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225E8F" w14:textId="77777777" w:rsidR="00114A9E" w:rsidRPr="00114A9E" w:rsidRDefault="00114A9E" w:rsidP="00114A9E">
      <w:pPr>
        <w:spacing w:after="200" w:line="276" w:lineRule="auto"/>
        <w:rPr>
          <w:rFonts w:ascii="Calibri" w:eastAsia="Calibri" w:hAnsi="Calibri" w:cs="Times New Roman"/>
          <w:b/>
          <w:sz w:val="28"/>
          <w:szCs w:val="28"/>
        </w:rPr>
      </w:pPr>
    </w:p>
    <w:p w14:paraId="0392567D" w14:textId="77777777" w:rsidR="00114A9E" w:rsidRPr="00114A9E" w:rsidRDefault="00114A9E" w:rsidP="00114A9E">
      <w:pPr>
        <w:numPr>
          <w:ilvl w:val="0"/>
          <w:numId w:val="1"/>
        </w:numPr>
        <w:spacing w:after="200" w:line="276" w:lineRule="auto"/>
        <w:contextualSpacing/>
        <w:rPr>
          <w:rFonts w:ascii="Calibri" w:eastAsia="Calibri" w:hAnsi="Calibri" w:cs="Times New Roman"/>
          <w:b/>
          <w:sz w:val="28"/>
          <w:szCs w:val="28"/>
        </w:rPr>
      </w:pPr>
      <w:r w:rsidRPr="00114A9E">
        <w:rPr>
          <w:rFonts w:ascii="Calibri" w:eastAsia="Calibri" w:hAnsi="Calibri" w:cs="Times New Roman"/>
          <w:b/>
          <w:sz w:val="28"/>
          <w:szCs w:val="28"/>
        </w:rPr>
        <w:t>07.Informácie o účtovnej jednotke:</w:t>
      </w:r>
    </w:p>
    <w:p w14:paraId="200CB847" w14:textId="77777777" w:rsidR="00114A9E" w:rsidRPr="00114A9E" w:rsidRDefault="00114A9E" w:rsidP="00114A9E">
      <w:pPr>
        <w:spacing w:after="200" w:line="276" w:lineRule="auto"/>
        <w:ind w:left="720"/>
        <w:contextualSpacing/>
        <w:rPr>
          <w:rFonts w:ascii="Calibri" w:eastAsia="Calibri" w:hAnsi="Calibri" w:cs="Times New Roman"/>
          <w:b/>
          <w:sz w:val="28"/>
          <w:szCs w:val="28"/>
        </w:rPr>
      </w:pPr>
    </w:p>
    <w:p w14:paraId="23063E7B" w14:textId="77777777" w:rsidR="00114A9E" w:rsidRPr="00114A9E" w:rsidRDefault="00114A9E" w:rsidP="00114A9E">
      <w:pPr>
        <w:numPr>
          <w:ilvl w:val="0"/>
          <w:numId w:val="2"/>
        </w:numPr>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 xml:space="preserve">Spoločnosť </w:t>
      </w:r>
      <w:r>
        <w:rPr>
          <w:rFonts w:ascii="Calibri" w:eastAsia="Calibri" w:hAnsi="Calibri" w:cs="Times New Roman"/>
          <w:sz w:val="24"/>
          <w:szCs w:val="24"/>
        </w:rPr>
        <w:t>Podlaha pre každého</w:t>
      </w:r>
      <w:r w:rsidRPr="00114A9E">
        <w:rPr>
          <w:rFonts w:ascii="Calibri" w:eastAsia="Calibri" w:hAnsi="Calibri" w:cs="Times New Roman"/>
          <w:sz w:val="24"/>
          <w:szCs w:val="24"/>
        </w:rPr>
        <w:t xml:space="preserve">, s.r.o., bola založená v obchodnom registri zakladateľskou listinou dňa </w:t>
      </w:r>
      <w:r>
        <w:rPr>
          <w:rFonts w:ascii="Calibri" w:eastAsia="Calibri" w:hAnsi="Calibri" w:cs="Times New Roman"/>
          <w:sz w:val="24"/>
          <w:szCs w:val="24"/>
        </w:rPr>
        <w:t>20.6.201</w:t>
      </w:r>
      <w:r w:rsidR="006647E9">
        <w:rPr>
          <w:rFonts w:ascii="Calibri" w:eastAsia="Calibri" w:hAnsi="Calibri" w:cs="Times New Roman"/>
          <w:sz w:val="24"/>
          <w:szCs w:val="24"/>
        </w:rPr>
        <w:t>3</w:t>
      </w:r>
      <w:r w:rsidRPr="00114A9E">
        <w:rPr>
          <w:rFonts w:ascii="Calibri" w:eastAsia="Calibri" w:hAnsi="Calibri" w:cs="Times New Roman"/>
          <w:sz w:val="24"/>
          <w:szCs w:val="24"/>
        </w:rPr>
        <w:t xml:space="preserve">  . Je zapísaná v obchodnom registri Okresného súdu Banská Bystrica, oddiel s.r.o., vložka </w:t>
      </w:r>
      <w:r>
        <w:rPr>
          <w:rFonts w:ascii="Calibri" w:eastAsia="Calibri" w:hAnsi="Calibri" w:cs="Times New Roman"/>
          <w:sz w:val="24"/>
          <w:szCs w:val="24"/>
        </w:rPr>
        <w:t>26799</w:t>
      </w:r>
      <w:r w:rsidRPr="00114A9E">
        <w:rPr>
          <w:rFonts w:ascii="Calibri" w:eastAsia="Calibri" w:hAnsi="Calibri" w:cs="Times New Roman"/>
          <w:sz w:val="24"/>
          <w:szCs w:val="24"/>
        </w:rPr>
        <w:t xml:space="preserve">/S. Deň zápisu </w:t>
      </w:r>
      <w:r>
        <w:rPr>
          <w:rFonts w:ascii="Calibri" w:eastAsia="Calibri" w:hAnsi="Calibri" w:cs="Times New Roman"/>
          <w:sz w:val="24"/>
          <w:szCs w:val="24"/>
        </w:rPr>
        <w:t>20</w:t>
      </w:r>
      <w:r w:rsidRPr="00114A9E">
        <w:rPr>
          <w:rFonts w:ascii="Calibri" w:eastAsia="Calibri" w:hAnsi="Calibri" w:cs="Times New Roman"/>
          <w:sz w:val="24"/>
          <w:szCs w:val="24"/>
        </w:rPr>
        <w:t>.</w:t>
      </w:r>
      <w:r>
        <w:rPr>
          <w:rFonts w:ascii="Calibri" w:eastAsia="Calibri" w:hAnsi="Calibri" w:cs="Times New Roman"/>
          <w:sz w:val="24"/>
          <w:szCs w:val="24"/>
        </w:rPr>
        <w:t>6</w:t>
      </w:r>
      <w:r w:rsidRPr="00114A9E">
        <w:rPr>
          <w:rFonts w:ascii="Calibri" w:eastAsia="Calibri" w:hAnsi="Calibri" w:cs="Times New Roman"/>
          <w:sz w:val="24"/>
          <w:szCs w:val="24"/>
        </w:rPr>
        <w:t>.</w:t>
      </w:r>
      <w:r>
        <w:rPr>
          <w:rFonts w:ascii="Calibri" w:eastAsia="Calibri" w:hAnsi="Calibri" w:cs="Times New Roman"/>
          <w:sz w:val="24"/>
          <w:szCs w:val="24"/>
        </w:rPr>
        <w:t>201</w:t>
      </w:r>
      <w:r w:rsidR="006647E9">
        <w:rPr>
          <w:rFonts w:ascii="Calibri" w:eastAsia="Calibri" w:hAnsi="Calibri" w:cs="Times New Roman"/>
          <w:sz w:val="24"/>
          <w:szCs w:val="24"/>
        </w:rPr>
        <w:t>3</w:t>
      </w:r>
      <w:r w:rsidRPr="00114A9E">
        <w:rPr>
          <w:rFonts w:ascii="Calibri" w:eastAsia="Calibri" w:hAnsi="Calibri" w:cs="Times New Roman"/>
          <w:sz w:val="24"/>
          <w:szCs w:val="24"/>
        </w:rPr>
        <w:t>.</w:t>
      </w:r>
    </w:p>
    <w:p w14:paraId="4197C17C" w14:textId="77777777" w:rsidR="00114A9E" w:rsidRPr="00114A9E" w:rsidRDefault="00114A9E" w:rsidP="00114A9E">
      <w:pPr>
        <w:numPr>
          <w:ilvl w:val="0"/>
          <w:numId w:val="2"/>
        </w:numPr>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 xml:space="preserve">Hlavné činnosti spoločnosti sú: </w:t>
      </w:r>
    </w:p>
    <w:p w14:paraId="75E692DA" w14:textId="77777777" w:rsidR="00114A9E" w:rsidRPr="00114A9E" w:rsidRDefault="00114A9E" w:rsidP="00114A9E">
      <w:pPr>
        <w:spacing w:after="200" w:line="276" w:lineRule="auto"/>
        <w:ind w:left="1080"/>
        <w:contextualSpacing/>
        <w:rPr>
          <w:rFonts w:ascii="Calibri" w:eastAsia="Calibri" w:hAnsi="Calibri" w:cs="Times New Roman"/>
          <w:sz w:val="24"/>
          <w:szCs w:val="24"/>
        </w:rPr>
      </w:pPr>
      <w:r w:rsidRPr="00114A9E">
        <w:rPr>
          <w:rFonts w:ascii="Calibri" w:eastAsia="Calibri" w:hAnsi="Calibri" w:cs="Times New Roman"/>
          <w:sz w:val="24"/>
          <w:szCs w:val="24"/>
        </w:rPr>
        <w:t xml:space="preserve">Predaj </w:t>
      </w:r>
      <w:r w:rsidR="00B25FD8">
        <w:rPr>
          <w:rFonts w:ascii="Calibri" w:eastAsia="Calibri" w:hAnsi="Calibri" w:cs="Times New Roman"/>
          <w:sz w:val="24"/>
          <w:szCs w:val="24"/>
        </w:rPr>
        <w:t>tovaru na účely jeho predaja konečnému spotrebiteľovi/maloobchod/ alebo iným prevádzkovateľom živnosti/veľkoobchod/</w:t>
      </w:r>
      <w:r w:rsidRPr="00114A9E">
        <w:rPr>
          <w:rFonts w:ascii="Calibri" w:eastAsia="Calibri" w:hAnsi="Calibri" w:cs="Times New Roman"/>
          <w:sz w:val="24"/>
          <w:szCs w:val="24"/>
        </w:rPr>
        <w:t>.</w:t>
      </w:r>
    </w:p>
    <w:p w14:paraId="299CA91C" w14:textId="77777777" w:rsidR="00114A9E" w:rsidRPr="00114A9E" w:rsidRDefault="00114A9E" w:rsidP="00114A9E">
      <w:pPr>
        <w:numPr>
          <w:ilvl w:val="0"/>
          <w:numId w:val="2"/>
        </w:numPr>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 xml:space="preserve">K dátumu zostavenia účtovnej uzávierky mala spoločnosť </w:t>
      </w:r>
      <w:r w:rsidR="0096795B">
        <w:rPr>
          <w:rFonts w:ascii="Calibri" w:eastAsia="Calibri" w:hAnsi="Calibri" w:cs="Times New Roman"/>
          <w:sz w:val="24"/>
          <w:szCs w:val="24"/>
        </w:rPr>
        <w:t>4</w:t>
      </w:r>
      <w:r w:rsidRPr="00114A9E">
        <w:rPr>
          <w:rFonts w:ascii="Calibri" w:eastAsia="Calibri" w:hAnsi="Calibri" w:cs="Times New Roman"/>
          <w:sz w:val="24"/>
          <w:szCs w:val="24"/>
        </w:rPr>
        <w:t xml:space="preserve"> zamestnancov, z toho </w:t>
      </w:r>
      <w:r w:rsidR="0096795B">
        <w:rPr>
          <w:rFonts w:ascii="Calibri" w:eastAsia="Calibri" w:hAnsi="Calibri" w:cs="Times New Roman"/>
          <w:sz w:val="24"/>
          <w:szCs w:val="24"/>
        </w:rPr>
        <w:t>1 vedúceho.</w:t>
      </w:r>
    </w:p>
    <w:p w14:paraId="7A107102" w14:textId="77777777" w:rsidR="00114A9E" w:rsidRPr="00114A9E" w:rsidRDefault="00114A9E" w:rsidP="00114A9E">
      <w:pPr>
        <w:numPr>
          <w:ilvl w:val="0"/>
          <w:numId w:val="2"/>
        </w:numPr>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Obchodná spoločnosť nie je obmedzene ručiacim spoločníkom v žiadnej spoločnosti.</w:t>
      </w:r>
    </w:p>
    <w:p w14:paraId="63CC51C3" w14:textId="3F2E6334" w:rsidR="00114A9E" w:rsidRPr="00114A9E" w:rsidRDefault="00114A9E" w:rsidP="00114A9E">
      <w:pPr>
        <w:numPr>
          <w:ilvl w:val="0"/>
          <w:numId w:val="2"/>
        </w:numPr>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Účtovná uzávier</w:t>
      </w:r>
      <w:r w:rsidR="00F90D50">
        <w:rPr>
          <w:rFonts w:ascii="Calibri" w:eastAsia="Calibri" w:hAnsi="Calibri" w:cs="Times New Roman"/>
          <w:sz w:val="24"/>
          <w:szCs w:val="24"/>
        </w:rPr>
        <w:t>ka spoločnosti bola k 31.12.201</w:t>
      </w:r>
      <w:r w:rsidR="000963C6">
        <w:rPr>
          <w:rFonts w:ascii="Calibri" w:eastAsia="Calibri" w:hAnsi="Calibri" w:cs="Times New Roman"/>
          <w:sz w:val="24"/>
          <w:szCs w:val="24"/>
        </w:rPr>
        <w:t>9</w:t>
      </w:r>
      <w:r w:rsidRPr="00114A9E">
        <w:rPr>
          <w:rFonts w:ascii="Calibri" w:eastAsia="Calibri" w:hAnsi="Calibri" w:cs="Times New Roman"/>
          <w:sz w:val="24"/>
          <w:szCs w:val="24"/>
        </w:rPr>
        <w:t xml:space="preserve"> zostavená ako riadna účtovná uzávierka podľa § 17ods. 6 zákona č. 431/2002 Z.z. o účtovníctve v znení neskorších predpisov.</w:t>
      </w:r>
    </w:p>
    <w:p w14:paraId="30697F61" w14:textId="5D8F3C15" w:rsidR="00114A9E" w:rsidRPr="00114A9E" w:rsidRDefault="00F90D50" w:rsidP="00114A9E">
      <w:pPr>
        <w:numPr>
          <w:ilvl w:val="0"/>
          <w:numId w:val="2"/>
        </w:numPr>
        <w:spacing w:after="200" w:line="276" w:lineRule="auto"/>
        <w:contextualSpacing/>
        <w:rPr>
          <w:rFonts w:ascii="Calibri" w:eastAsia="Calibri" w:hAnsi="Calibri" w:cs="Times New Roman"/>
          <w:sz w:val="24"/>
          <w:szCs w:val="24"/>
        </w:rPr>
      </w:pPr>
      <w:r>
        <w:rPr>
          <w:rFonts w:ascii="Calibri" w:eastAsia="Calibri" w:hAnsi="Calibri" w:cs="Times New Roman"/>
          <w:sz w:val="24"/>
          <w:szCs w:val="24"/>
        </w:rPr>
        <w:t>Účtovná uzávierka za rok 201</w:t>
      </w:r>
      <w:r w:rsidR="00F234DB">
        <w:rPr>
          <w:rFonts w:ascii="Calibri" w:eastAsia="Calibri" w:hAnsi="Calibri" w:cs="Times New Roman"/>
          <w:sz w:val="24"/>
          <w:szCs w:val="24"/>
        </w:rPr>
        <w:t>8</w:t>
      </w:r>
      <w:r>
        <w:rPr>
          <w:rFonts w:ascii="Calibri" w:eastAsia="Calibri" w:hAnsi="Calibri" w:cs="Times New Roman"/>
          <w:sz w:val="24"/>
          <w:szCs w:val="24"/>
        </w:rPr>
        <w:t xml:space="preserve"> </w:t>
      </w:r>
      <w:r w:rsidR="00114A9E" w:rsidRPr="00114A9E">
        <w:rPr>
          <w:rFonts w:ascii="Calibri" w:eastAsia="Calibri" w:hAnsi="Calibri" w:cs="Times New Roman"/>
          <w:sz w:val="24"/>
          <w:szCs w:val="24"/>
        </w:rPr>
        <w:t xml:space="preserve">bola uložená do registra účtovných uzávierok </w:t>
      </w:r>
      <w:r w:rsidR="00E821A5">
        <w:rPr>
          <w:rFonts w:ascii="Calibri" w:eastAsia="Calibri" w:hAnsi="Calibri" w:cs="Times New Roman"/>
          <w:sz w:val="24"/>
          <w:szCs w:val="24"/>
        </w:rPr>
        <w:t>10</w:t>
      </w:r>
      <w:r w:rsidR="00114A9E" w:rsidRPr="00114A9E">
        <w:rPr>
          <w:rFonts w:ascii="Calibri" w:eastAsia="Calibri" w:hAnsi="Calibri" w:cs="Times New Roman"/>
          <w:sz w:val="24"/>
          <w:szCs w:val="24"/>
        </w:rPr>
        <w:t>.</w:t>
      </w:r>
      <w:r w:rsidR="00BB21E6">
        <w:rPr>
          <w:rFonts w:ascii="Calibri" w:eastAsia="Calibri" w:hAnsi="Calibri" w:cs="Times New Roman"/>
          <w:sz w:val="24"/>
          <w:szCs w:val="24"/>
        </w:rPr>
        <w:t>6</w:t>
      </w:r>
      <w:r>
        <w:rPr>
          <w:rFonts w:ascii="Calibri" w:eastAsia="Calibri" w:hAnsi="Calibri" w:cs="Times New Roman"/>
          <w:sz w:val="24"/>
          <w:szCs w:val="24"/>
        </w:rPr>
        <w:t>.201</w:t>
      </w:r>
      <w:r w:rsidR="00E821A5">
        <w:rPr>
          <w:rFonts w:ascii="Calibri" w:eastAsia="Calibri" w:hAnsi="Calibri" w:cs="Times New Roman"/>
          <w:sz w:val="24"/>
          <w:szCs w:val="24"/>
        </w:rPr>
        <w:t>9</w:t>
      </w:r>
      <w:r>
        <w:rPr>
          <w:rFonts w:ascii="Calibri" w:eastAsia="Calibri" w:hAnsi="Calibri" w:cs="Times New Roman"/>
          <w:sz w:val="24"/>
          <w:szCs w:val="24"/>
        </w:rPr>
        <w:t xml:space="preserve"> schválená dňa </w:t>
      </w:r>
      <w:r w:rsidR="00E821A5">
        <w:rPr>
          <w:rFonts w:ascii="Calibri" w:eastAsia="Calibri" w:hAnsi="Calibri" w:cs="Times New Roman"/>
          <w:sz w:val="24"/>
          <w:szCs w:val="24"/>
        </w:rPr>
        <w:t>10</w:t>
      </w:r>
      <w:r>
        <w:rPr>
          <w:rFonts w:ascii="Calibri" w:eastAsia="Calibri" w:hAnsi="Calibri" w:cs="Times New Roman"/>
          <w:sz w:val="24"/>
          <w:szCs w:val="24"/>
        </w:rPr>
        <w:t>.6.201</w:t>
      </w:r>
      <w:r w:rsidR="00E821A5">
        <w:rPr>
          <w:rFonts w:ascii="Calibri" w:eastAsia="Calibri" w:hAnsi="Calibri" w:cs="Times New Roman"/>
          <w:sz w:val="24"/>
          <w:szCs w:val="24"/>
        </w:rPr>
        <w:t>9</w:t>
      </w:r>
      <w:r>
        <w:rPr>
          <w:rFonts w:ascii="Calibri" w:eastAsia="Calibri" w:hAnsi="Calibri" w:cs="Times New Roman"/>
          <w:sz w:val="24"/>
          <w:szCs w:val="24"/>
        </w:rPr>
        <w:t xml:space="preserve"> </w:t>
      </w:r>
      <w:r w:rsidR="00114A9E" w:rsidRPr="00114A9E">
        <w:rPr>
          <w:rFonts w:ascii="Calibri" w:eastAsia="Calibri" w:hAnsi="Calibri" w:cs="Times New Roman"/>
          <w:sz w:val="24"/>
          <w:szCs w:val="24"/>
        </w:rPr>
        <w:t>.</w:t>
      </w:r>
    </w:p>
    <w:p w14:paraId="5A488866" w14:textId="77777777" w:rsidR="00114A9E" w:rsidRPr="00114A9E" w:rsidRDefault="00114A9E" w:rsidP="00114A9E">
      <w:pPr>
        <w:spacing w:after="200" w:line="276" w:lineRule="auto"/>
        <w:rPr>
          <w:rFonts w:ascii="Calibri" w:eastAsia="Calibri" w:hAnsi="Calibri" w:cs="Times New Roman"/>
          <w:sz w:val="24"/>
          <w:szCs w:val="24"/>
        </w:rPr>
      </w:pPr>
    </w:p>
    <w:p w14:paraId="2BA59AEE" w14:textId="77777777" w:rsidR="00114A9E" w:rsidRPr="00114A9E" w:rsidRDefault="00114A9E" w:rsidP="00114A9E">
      <w:pPr>
        <w:numPr>
          <w:ilvl w:val="0"/>
          <w:numId w:val="3"/>
        </w:numPr>
        <w:spacing w:after="200" w:line="276" w:lineRule="auto"/>
        <w:contextualSpacing/>
        <w:rPr>
          <w:rFonts w:ascii="Calibri" w:eastAsia="Calibri" w:hAnsi="Calibri" w:cs="Times New Roman"/>
          <w:b/>
        </w:rPr>
      </w:pPr>
      <w:r w:rsidRPr="00114A9E">
        <w:rPr>
          <w:rFonts w:ascii="Calibri" w:eastAsia="Calibri" w:hAnsi="Calibri" w:cs="Times New Roman"/>
          <w:b/>
          <w:sz w:val="24"/>
          <w:szCs w:val="24"/>
        </w:rPr>
        <w:t>Informácie o počte zamestnancov</w:t>
      </w:r>
    </w:p>
    <w:tbl>
      <w:tblPr>
        <w:tblStyle w:val="Mriekatabuky1"/>
        <w:tblW w:w="9782" w:type="dxa"/>
        <w:tblInd w:w="-318" w:type="dxa"/>
        <w:tblLook w:val="04A0" w:firstRow="1" w:lastRow="0" w:firstColumn="1" w:lastColumn="0" w:noHBand="0" w:noVBand="1"/>
      </w:tblPr>
      <w:tblGrid>
        <w:gridCol w:w="3085"/>
        <w:gridCol w:w="2778"/>
        <w:gridCol w:w="3919"/>
      </w:tblGrid>
      <w:tr w:rsidR="00114A9E" w:rsidRPr="00114A9E" w14:paraId="782C2988" w14:textId="77777777" w:rsidTr="002D2998">
        <w:tc>
          <w:tcPr>
            <w:tcW w:w="3085" w:type="dxa"/>
          </w:tcPr>
          <w:p w14:paraId="0B356931" w14:textId="77777777" w:rsidR="00114A9E" w:rsidRPr="00114A9E" w:rsidRDefault="00114A9E" w:rsidP="00114A9E">
            <w:pPr>
              <w:rPr>
                <w:rFonts w:ascii="Calibri" w:eastAsia="Calibri" w:hAnsi="Calibri" w:cs="Times New Roman"/>
                <w:b/>
                <w:sz w:val="28"/>
                <w:szCs w:val="28"/>
              </w:rPr>
            </w:pPr>
            <w:r w:rsidRPr="00114A9E">
              <w:rPr>
                <w:rFonts w:ascii="Calibri" w:eastAsia="Calibri" w:hAnsi="Calibri" w:cs="Times New Roman"/>
                <w:b/>
                <w:sz w:val="28"/>
                <w:szCs w:val="28"/>
              </w:rPr>
              <w:t xml:space="preserve">      Názov položky</w:t>
            </w:r>
          </w:p>
          <w:p w14:paraId="1B113047" w14:textId="77777777" w:rsidR="00114A9E" w:rsidRPr="00114A9E" w:rsidRDefault="00114A9E" w:rsidP="00114A9E">
            <w:pPr>
              <w:rPr>
                <w:rFonts w:ascii="Calibri" w:eastAsia="Calibri" w:hAnsi="Calibri" w:cs="Times New Roman"/>
                <w:b/>
                <w:sz w:val="28"/>
                <w:szCs w:val="28"/>
              </w:rPr>
            </w:pPr>
          </w:p>
        </w:tc>
        <w:tc>
          <w:tcPr>
            <w:tcW w:w="2778" w:type="dxa"/>
          </w:tcPr>
          <w:p w14:paraId="7D75E576" w14:textId="77777777" w:rsidR="00114A9E" w:rsidRPr="00114A9E" w:rsidRDefault="00114A9E" w:rsidP="00114A9E">
            <w:pPr>
              <w:rPr>
                <w:rFonts w:ascii="Calibri" w:eastAsia="Calibri" w:hAnsi="Calibri" w:cs="Times New Roman"/>
                <w:b/>
                <w:sz w:val="28"/>
                <w:szCs w:val="28"/>
              </w:rPr>
            </w:pPr>
            <w:r w:rsidRPr="00114A9E">
              <w:rPr>
                <w:rFonts w:ascii="Calibri" w:eastAsia="Calibri" w:hAnsi="Calibri" w:cs="Times New Roman"/>
                <w:b/>
                <w:sz w:val="28"/>
                <w:szCs w:val="28"/>
              </w:rPr>
              <w:t>Bežné účtovné obdobie</w:t>
            </w:r>
          </w:p>
        </w:tc>
        <w:tc>
          <w:tcPr>
            <w:tcW w:w="3919" w:type="dxa"/>
          </w:tcPr>
          <w:p w14:paraId="2EF0DF9F" w14:textId="77777777" w:rsidR="00114A9E" w:rsidRPr="00114A9E" w:rsidRDefault="00114A9E" w:rsidP="00114A9E">
            <w:pPr>
              <w:rPr>
                <w:rFonts w:ascii="Calibri" w:eastAsia="Calibri" w:hAnsi="Calibri" w:cs="Times New Roman"/>
                <w:b/>
                <w:sz w:val="28"/>
                <w:szCs w:val="28"/>
              </w:rPr>
            </w:pPr>
            <w:r w:rsidRPr="00114A9E">
              <w:rPr>
                <w:rFonts w:ascii="Calibri" w:eastAsia="Calibri" w:hAnsi="Calibri" w:cs="Times New Roman"/>
                <w:b/>
                <w:sz w:val="28"/>
                <w:szCs w:val="28"/>
              </w:rPr>
              <w:t xml:space="preserve">Bezprostredne predchádzajúce </w:t>
            </w:r>
          </w:p>
          <w:p w14:paraId="69BFA50F" w14:textId="77777777" w:rsidR="00114A9E" w:rsidRPr="00114A9E" w:rsidRDefault="00114A9E" w:rsidP="00114A9E">
            <w:pPr>
              <w:rPr>
                <w:rFonts w:ascii="Calibri" w:eastAsia="Calibri" w:hAnsi="Calibri" w:cs="Times New Roman"/>
                <w:b/>
                <w:sz w:val="28"/>
                <w:szCs w:val="28"/>
              </w:rPr>
            </w:pPr>
            <w:r w:rsidRPr="00114A9E">
              <w:rPr>
                <w:rFonts w:ascii="Calibri" w:eastAsia="Calibri" w:hAnsi="Calibri" w:cs="Times New Roman"/>
                <w:b/>
                <w:sz w:val="28"/>
                <w:szCs w:val="28"/>
              </w:rPr>
              <w:t xml:space="preserve">            účtovné obdobie</w:t>
            </w:r>
          </w:p>
        </w:tc>
      </w:tr>
      <w:tr w:rsidR="00114A9E" w:rsidRPr="00114A9E" w14:paraId="0CF1B607" w14:textId="77777777" w:rsidTr="002D2998">
        <w:tc>
          <w:tcPr>
            <w:tcW w:w="3085" w:type="dxa"/>
          </w:tcPr>
          <w:p w14:paraId="514234A0" w14:textId="77777777" w:rsidR="00114A9E" w:rsidRPr="00114A9E" w:rsidRDefault="00114A9E" w:rsidP="00114A9E">
            <w:pPr>
              <w:rPr>
                <w:rFonts w:ascii="Calibri" w:eastAsia="Calibri" w:hAnsi="Calibri" w:cs="Times New Roman"/>
                <w:sz w:val="24"/>
                <w:szCs w:val="24"/>
              </w:rPr>
            </w:pPr>
            <w:r w:rsidRPr="00114A9E">
              <w:rPr>
                <w:rFonts w:ascii="Calibri" w:eastAsia="Calibri" w:hAnsi="Calibri" w:cs="Times New Roman"/>
                <w:sz w:val="24"/>
                <w:szCs w:val="24"/>
              </w:rPr>
              <w:t xml:space="preserve">Priemerný prepočítaný počet zamestnancov </w:t>
            </w:r>
          </w:p>
        </w:tc>
        <w:tc>
          <w:tcPr>
            <w:tcW w:w="2778" w:type="dxa"/>
          </w:tcPr>
          <w:p w14:paraId="73E9BF74" w14:textId="77777777" w:rsidR="00114A9E" w:rsidRPr="00114A9E" w:rsidRDefault="00D550F5" w:rsidP="00114A9E">
            <w:pPr>
              <w:rPr>
                <w:rFonts w:ascii="Calibri" w:eastAsia="Calibri" w:hAnsi="Calibri" w:cs="Times New Roman"/>
                <w:b/>
              </w:rPr>
            </w:pPr>
            <w:r>
              <w:rPr>
                <w:rFonts w:ascii="Calibri" w:eastAsia="Calibri" w:hAnsi="Calibri" w:cs="Times New Roman"/>
                <w:b/>
              </w:rPr>
              <w:t>4</w:t>
            </w:r>
          </w:p>
        </w:tc>
        <w:tc>
          <w:tcPr>
            <w:tcW w:w="3919" w:type="dxa"/>
          </w:tcPr>
          <w:p w14:paraId="6962C378" w14:textId="77777777" w:rsidR="00114A9E" w:rsidRPr="00114A9E" w:rsidRDefault="00F90D50" w:rsidP="00114A9E">
            <w:pPr>
              <w:rPr>
                <w:rFonts w:ascii="Calibri" w:eastAsia="Calibri" w:hAnsi="Calibri" w:cs="Times New Roman"/>
                <w:b/>
              </w:rPr>
            </w:pPr>
            <w:r>
              <w:rPr>
                <w:rFonts w:ascii="Calibri" w:eastAsia="Calibri" w:hAnsi="Calibri" w:cs="Times New Roman"/>
                <w:b/>
              </w:rPr>
              <w:t>4</w:t>
            </w:r>
          </w:p>
        </w:tc>
      </w:tr>
      <w:tr w:rsidR="00114A9E" w:rsidRPr="00114A9E" w14:paraId="6BCE6D8C" w14:textId="77777777" w:rsidTr="002D2998">
        <w:tc>
          <w:tcPr>
            <w:tcW w:w="3085" w:type="dxa"/>
          </w:tcPr>
          <w:p w14:paraId="2FE0DF72" w14:textId="77777777" w:rsidR="00114A9E" w:rsidRPr="00114A9E" w:rsidRDefault="00114A9E" w:rsidP="00114A9E">
            <w:pPr>
              <w:rPr>
                <w:rFonts w:ascii="Calibri" w:eastAsia="Calibri" w:hAnsi="Calibri" w:cs="Times New Roman"/>
                <w:sz w:val="24"/>
                <w:szCs w:val="24"/>
              </w:rPr>
            </w:pPr>
            <w:r w:rsidRPr="00114A9E">
              <w:rPr>
                <w:rFonts w:ascii="Calibri" w:eastAsia="Calibri" w:hAnsi="Calibri" w:cs="Times New Roman"/>
                <w:sz w:val="24"/>
                <w:szCs w:val="24"/>
              </w:rPr>
              <w:t>Stav zamestnancov ku dňu, ku ktorému sa zostavuje účtovná závierka , z toho:</w:t>
            </w:r>
          </w:p>
        </w:tc>
        <w:tc>
          <w:tcPr>
            <w:tcW w:w="2778" w:type="dxa"/>
          </w:tcPr>
          <w:p w14:paraId="60E8D508" w14:textId="77777777" w:rsidR="00114A9E" w:rsidRPr="00114A9E" w:rsidRDefault="00D550F5" w:rsidP="00114A9E">
            <w:pPr>
              <w:rPr>
                <w:rFonts w:ascii="Calibri" w:eastAsia="Calibri" w:hAnsi="Calibri" w:cs="Times New Roman"/>
                <w:b/>
              </w:rPr>
            </w:pPr>
            <w:r>
              <w:rPr>
                <w:rFonts w:ascii="Calibri" w:eastAsia="Calibri" w:hAnsi="Calibri" w:cs="Times New Roman"/>
                <w:b/>
              </w:rPr>
              <w:t>4</w:t>
            </w:r>
          </w:p>
        </w:tc>
        <w:tc>
          <w:tcPr>
            <w:tcW w:w="3919" w:type="dxa"/>
          </w:tcPr>
          <w:p w14:paraId="5F416BB8" w14:textId="77777777" w:rsidR="00114A9E" w:rsidRPr="00114A9E" w:rsidRDefault="00F90D50" w:rsidP="00114A9E">
            <w:pPr>
              <w:rPr>
                <w:rFonts w:ascii="Calibri" w:eastAsia="Calibri" w:hAnsi="Calibri" w:cs="Times New Roman"/>
                <w:b/>
              </w:rPr>
            </w:pPr>
            <w:r>
              <w:rPr>
                <w:rFonts w:ascii="Calibri" w:eastAsia="Calibri" w:hAnsi="Calibri" w:cs="Times New Roman"/>
                <w:b/>
              </w:rPr>
              <w:t>4</w:t>
            </w:r>
          </w:p>
        </w:tc>
      </w:tr>
      <w:tr w:rsidR="00114A9E" w:rsidRPr="00114A9E" w14:paraId="6A1C9822" w14:textId="77777777" w:rsidTr="002D2998">
        <w:tc>
          <w:tcPr>
            <w:tcW w:w="3085" w:type="dxa"/>
          </w:tcPr>
          <w:p w14:paraId="694D8FCA" w14:textId="77777777" w:rsidR="00114A9E" w:rsidRPr="00114A9E" w:rsidRDefault="00114A9E" w:rsidP="00114A9E">
            <w:pPr>
              <w:rPr>
                <w:rFonts w:ascii="Calibri" w:eastAsia="Calibri" w:hAnsi="Calibri" w:cs="Times New Roman"/>
              </w:rPr>
            </w:pPr>
            <w:r w:rsidRPr="00114A9E">
              <w:rPr>
                <w:rFonts w:ascii="Calibri" w:eastAsia="Calibri" w:hAnsi="Calibri" w:cs="Times New Roman"/>
              </w:rPr>
              <w:t>Počet vedúcich zamestnancov</w:t>
            </w:r>
          </w:p>
        </w:tc>
        <w:tc>
          <w:tcPr>
            <w:tcW w:w="2778" w:type="dxa"/>
          </w:tcPr>
          <w:p w14:paraId="5F922301" w14:textId="77777777" w:rsidR="00114A9E" w:rsidRPr="00114A9E" w:rsidRDefault="00114A9E" w:rsidP="00114A9E">
            <w:pPr>
              <w:rPr>
                <w:rFonts w:ascii="Calibri" w:eastAsia="Calibri" w:hAnsi="Calibri" w:cs="Times New Roman"/>
                <w:b/>
              </w:rPr>
            </w:pPr>
            <w:r w:rsidRPr="00114A9E">
              <w:rPr>
                <w:rFonts w:ascii="Calibri" w:eastAsia="Calibri" w:hAnsi="Calibri" w:cs="Times New Roman"/>
                <w:b/>
              </w:rPr>
              <w:t>1</w:t>
            </w:r>
          </w:p>
        </w:tc>
        <w:tc>
          <w:tcPr>
            <w:tcW w:w="3919" w:type="dxa"/>
          </w:tcPr>
          <w:p w14:paraId="0455C96A" w14:textId="77777777" w:rsidR="00114A9E" w:rsidRPr="00114A9E" w:rsidRDefault="00114A9E" w:rsidP="00114A9E">
            <w:pPr>
              <w:rPr>
                <w:rFonts w:ascii="Calibri" w:eastAsia="Calibri" w:hAnsi="Calibri" w:cs="Times New Roman"/>
                <w:b/>
              </w:rPr>
            </w:pPr>
            <w:r w:rsidRPr="00114A9E">
              <w:rPr>
                <w:rFonts w:ascii="Calibri" w:eastAsia="Calibri" w:hAnsi="Calibri" w:cs="Times New Roman"/>
                <w:b/>
              </w:rPr>
              <w:t>1</w:t>
            </w:r>
          </w:p>
        </w:tc>
      </w:tr>
    </w:tbl>
    <w:p w14:paraId="66054C22" w14:textId="77777777" w:rsidR="00114A9E" w:rsidRPr="00114A9E" w:rsidRDefault="00114A9E" w:rsidP="00114A9E">
      <w:pPr>
        <w:spacing w:after="200" w:line="276" w:lineRule="auto"/>
        <w:rPr>
          <w:rFonts w:ascii="Calibri" w:eastAsia="Calibri" w:hAnsi="Calibri" w:cs="Times New Roman"/>
          <w:b/>
        </w:rPr>
      </w:pPr>
    </w:p>
    <w:p w14:paraId="744690E3" w14:textId="77777777" w:rsidR="00114A9E" w:rsidRPr="00114A9E" w:rsidRDefault="00114A9E" w:rsidP="00114A9E">
      <w:pPr>
        <w:spacing w:after="200" w:line="276" w:lineRule="auto"/>
        <w:rPr>
          <w:rFonts w:ascii="Calibri" w:eastAsia="Calibri" w:hAnsi="Calibri" w:cs="Times New Roman"/>
          <w:b/>
        </w:rPr>
      </w:pPr>
    </w:p>
    <w:p w14:paraId="52313AD1" w14:textId="77777777" w:rsidR="00114A9E" w:rsidRPr="00114A9E" w:rsidRDefault="00114A9E" w:rsidP="00114A9E">
      <w:pPr>
        <w:spacing w:after="200" w:line="276" w:lineRule="auto"/>
        <w:rPr>
          <w:rFonts w:ascii="Calibri" w:eastAsia="Calibri" w:hAnsi="Calibri" w:cs="Times New Roman"/>
          <w:b/>
        </w:rPr>
      </w:pPr>
      <w:r w:rsidRPr="00114A9E">
        <w:rPr>
          <w:rFonts w:ascii="Calibri" w:eastAsia="Calibri" w:hAnsi="Calibri" w:cs="Times New Roman"/>
          <w:b/>
        </w:rPr>
        <w:t xml:space="preserve">                 Informácie o konsolidovanom celku :</w:t>
      </w:r>
    </w:p>
    <w:p w14:paraId="45AA428F" w14:textId="77777777" w:rsidR="00114A9E" w:rsidRPr="00114A9E" w:rsidRDefault="00114A9E" w:rsidP="00114A9E">
      <w:pPr>
        <w:tabs>
          <w:tab w:val="left" w:pos="1365"/>
        </w:tabs>
        <w:spacing w:after="200" w:line="276" w:lineRule="auto"/>
        <w:rPr>
          <w:rFonts w:ascii="Calibri" w:eastAsia="Calibri" w:hAnsi="Calibri" w:cs="Times New Roman"/>
        </w:rPr>
      </w:pPr>
      <w:r w:rsidRPr="00114A9E">
        <w:rPr>
          <w:rFonts w:ascii="Calibri" w:eastAsia="Calibri" w:hAnsi="Calibri" w:cs="Times New Roman"/>
          <w:b/>
        </w:rPr>
        <w:t xml:space="preserve">                 </w:t>
      </w:r>
      <w:r w:rsidRPr="00114A9E">
        <w:rPr>
          <w:rFonts w:ascii="Calibri" w:eastAsia="Calibri" w:hAnsi="Calibri" w:cs="Times New Roman"/>
        </w:rPr>
        <w:t>Spoločnosť nie je súčasťou konsolidovaného celku.</w:t>
      </w:r>
    </w:p>
    <w:p w14:paraId="2FC85199" w14:textId="77777777" w:rsidR="00114A9E" w:rsidRPr="00114A9E" w:rsidRDefault="00114A9E" w:rsidP="00114A9E">
      <w:pPr>
        <w:tabs>
          <w:tab w:val="left" w:pos="1365"/>
        </w:tabs>
        <w:spacing w:after="200" w:line="276" w:lineRule="auto"/>
        <w:rPr>
          <w:rFonts w:ascii="Calibri" w:eastAsia="Calibri" w:hAnsi="Calibri" w:cs="Times New Roman"/>
        </w:rPr>
      </w:pPr>
    </w:p>
    <w:p w14:paraId="32EF38C5" w14:textId="77777777" w:rsidR="00114A9E" w:rsidRPr="00114A9E" w:rsidRDefault="00114A9E" w:rsidP="00114A9E">
      <w:pPr>
        <w:tabs>
          <w:tab w:val="left" w:pos="1365"/>
        </w:tabs>
        <w:spacing w:after="200" w:line="276" w:lineRule="auto"/>
        <w:rPr>
          <w:rFonts w:ascii="Calibri" w:eastAsia="Calibri" w:hAnsi="Calibri" w:cs="Times New Roman"/>
          <w:b/>
        </w:rPr>
      </w:pPr>
    </w:p>
    <w:p w14:paraId="1E619D68" w14:textId="77777777" w:rsidR="00114A9E" w:rsidRPr="00114A9E" w:rsidRDefault="00114A9E" w:rsidP="00114A9E">
      <w:pPr>
        <w:numPr>
          <w:ilvl w:val="0"/>
          <w:numId w:val="1"/>
        </w:numPr>
        <w:tabs>
          <w:tab w:val="left" w:pos="1365"/>
        </w:tabs>
        <w:spacing w:after="200" w:line="276" w:lineRule="auto"/>
        <w:contextualSpacing/>
        <w:rPr>
          <w:rFonts w:ascii="Calibri" w:eastAsia="Calibri" w:hAnsi="Calibri" w:cs="Times New Roman"/>
          <w:b/>
          <w:sz w:val="28"/>
          <w:szCs w:val="28"/>
        </w:rPr>
      </w:pPr>
      <w:r w:rsidRPr="00114A9E">
        <w:rPr>
          <w:rFonts w:ascii="Calibri" w:eastAsia="Calibri" w:hAnsi="Calibri" w:cs="Times New Roman"/>
          <w:b/>
          <w:sz w:val="28"/>
          <w:szCs w:val="28"/>
        </w:rPr>
        <w:t>Informácie o orgánoch účtovnej jednotky</w:t>
      </w:r>
    </w:p>
    <w:p w14:paraId="21E06F55" w14:textId="77777777" w:rsidR="00114A9E" w:rsidRPr="00114A9E" w:rsidRDefault="00114A9E" w:rsidP="00114A9E">
      <w:pPr>
        <w:tabs>
          <w:tab w:val="left" w:pos="1365"/>
        </w:tabs>
        <w:spacing w:after="200" w:line="276" w:lineRule="auto"/>
        <w:ind w:left="720"/>
        <w:contextualSpacing/>
        <w:rPr>
          <w:rFonts w:ascii="Calibri" w:eastAsia="Calibri" w:hAnsi="Calibri" w:cs="Times New Roman"/>
          <w:b/>
          <w:sz w:val="28"/>
          <w:szCs w:val="28"/>
        </w:rPr>
      </w:pPr>
    </w:p>
    <w:p w14:paraId="3A1BCD78" w14:textId="77777777" w:rsidR="00114A9E" w:rsidRPr="00114A9E" w:rsidRDefault="00830C34" w:rsidP="00114A9E">
      <w:pPr>
        <w:tabs>
          <w:tab w:val="left" w:pos="1365"/>
        </w:tabs>
        <w:spacing w:after="200" w:line="276" w:lineRule="auto"/>
        <w:ind w:left="720"/>
        <w:contextualSpacing/>
        <w:rPr>
          <w:rFonts w:ascii="Calibri" w:eastAsia="Calibri" w:hAnsi="Calibri" w:cs="Times New Roman"/>
          <w:sz w:val="24"/>
          <w:szCs w:val="24"/>
        </w:rPr>
      </w:pPr>
      <w:r>
        <w:rPr>
          <w:rFonts w:ascii="Calibri" w:eastAsia="Calibri" w:hAnsi="Calibri" w:cs="Times New Roman"/>
          <w:sz w:val="24"/>
          <w:szCs w:val="24"/>
        </w:rPr>
        <w:lastRenderedPageBreak/>
        <w:t>Konatel</w:t>
      </w:r>
      <w:r w:rsidR="001F5B90">
        <w:rPr>
          <w:rFonts w:ascii="Calibri" w:eastAsia="Calibri" w:hAnsi="Calibri" w:cs="Times New Roman"/>
          <w:sz w:val="24"/>
          <w:szCs w:val="24"/>
        </w:rPr>
        <w:t>ia</w:t>
      </w:r>
      <w:r w:rsidR="00114A9E" w:rsidRPr="00114A9E">
        <w:rPr>
          <w:rFonts w:ascii="Calibri" w:eastAsia="Calibri" w:hAnsi="Calibri" w:cs="Times New Roman"/>
          <w:sz w:val="24"/>
          <w:szCs w:val="24"/>
        </w:rPr>
        <w:t xml:space="preserve">: </w:t>
      </w:r>
      <w:r w:rsidR="00817F84">
        <w:rPr>
          <w:rFonts w:ascii="Calibri" w:eastAsia="Calibri" w:hAnsi="Calibri" w:cs="Times New Roman"/>
          <w:sz w:val="24"/>
          <w:szCs w:val="24"/>
        </w:rPr>
        <w:t xml:space="preserve"> Andrej Radovič, Roman Janšo, Milan Strigáč</w:t>
      </w:r>
    </w:p>
    <w:p w14:paraId="57A65A45" w14:textId="593B72DD" w:rsidR="00114A9E" w:rsidRPr="00114A9E" w:rsidRDefault="00BA7AAC" w:rsidP="00114A9E">
      <w:pPr>
        <w:tabs>
          <w:tab w:val="left" w:pos="1365"/>
        </w:tabs>
        <w:spacing w:after="200" w:line="276" w:lineRule="auto"/>
        <w:ind w:left="720"/>
        <w:contextualSpacing/>
        <w:rPr>
          <w:rFonts w:ascii="Calibri" w:eastAsia="Calibri" w:hAnsi="Calibri" w:cs="Times New Roman"/>
          <w:sz w:val="24"/>
          <w:szCs w:val="24"/>
        </w:rPr>
      </w:pPr>
      <w:r>
        <w:rPr>
          <w:rFonts w:ascii="Calibri" w:eastAsia="Calibri" w:hAnsi="Calibri" w:cs="Times New Roman"/>
          <w:sz w:val="24"/>
          <w:szCs w:val="24"/>
        </w:rPr>
        <w:t>Konateľom</w:t>
      </w:r>
      <w:r w:rsidR="00F90D50">
        <w:rPr>
          <w:rFonts w:ascii="Calibri" w:eastAsia="Calibri" w:hAnsi="Calibri" w:cs="Times New Roman"/>
          <w:sz w:val="24"/>
          <w:szCs w:val="24"/>
        </w:rPr>
        <w:t xml:space="preserve"> neboli v roku 201</w:t>
      </w:r>
      <w:r w:rsidR="0067324A">
        <w:rPr>
          <w:rFonts w:ascii="Calibri" w:eastAsia="Calibri" w:hAnsi="Calibri" w:cs="Times New Roman"/>
          <w:sz w:val="24"/>
          <w:szCs w:val="24"/>
        </w:rPr>
        <w:t>9</w:t>
      </w:r>
      <w:r w:rsidR="00114A9E" w:rsidRPr="00114A9E">
        <w:rPr>
          <w:rFonts w:ascii="Calibri" w:eastAsia="Calibri" w:hAnsi="Calibri" w:cs="Times New Roman"/>
          <w:sz w:val="24"/>
          <w:szCs w:val="24"/>
        </w:rPr>
        <w:t xml:space="preserve"> poskytnuté pôžičky, záruky alebo iné formy zabezpečenia, ani finančné prostriedky alebo iné plnenia na súkromné účely.</w:t>
      </w:r>
    </w:p>
    <w:p w14:paraId="23E1F591" w14:textId="77777777" w:rsidR="00114A9E" w:rsidRPr="00114A9E" w:rsidRDefault="00114A9E" w:rsidP="00114A9E">
      <w:pPr>
        <w:tabs>
          <w:tab w:val="left" w:pos="1365"/>
        </w:tabs>
        <w:spacing w:after="200" w:line="276" w:lineRule="auto"/>
        <w:ind w:left="720"/>
        <w:contextualSpacing/>
        <w:rPr>
          <w:rFonts w:ascii="Calibri" w:eastAsia="Calibri" w:hAnsi="Calibri" w:cs="Times New Roman"/>
          <w:sz w:val="24"/>
          <w:szCs w:val="24"/>
        </w:rPr>
      </w:pPr>
      <w:r w:rsidRPr="00114A9E">
        <w:rPr>
          <w:rFonts w:ascii="Calibri" w:eastAsia="Calibri" w:hAnsi="Calibri" w:cs="Times New Roman"/>
          <w:sz w:val="24"/>
          <w:szCs w:val="24"/>
        </w:rPr>
        <w:t>Spoločníci:</w:t>
      </w:r>
      <w:r w:rsidR="001F5B90">
        <w:rPr>
          <w:rFonts w:ascii="Calibri" w:eastAsia="Calibri" w:hAnsi="Calibri" w:cs="Times New Roman"/>
          <w:sz w:val="24"/>
          <w:szCs w:val="24"/>
        </w:rPr>
        <w:t xml:space="preserve"> Andrej Radovič, Roman Janšo, Milan Strigáč</w:t>
      </w:r>
    </w:p>
    <w:p w14:paraId="2E966FC1" w14:textId="77777777" w:rsidR="00114A9E" w:rsidRPr="00114A9E" w:rsidRDefault="00114A9E" w:rsidP="00114A9E">
      <w:pPr>
        <w:tabs>
          <w:tab w:val="left" w:pos="1365"/>
        </w:tabs>
        <w:spacing w:after="200" w:line="276" w:lineRule="auto"/>
        <w:ind w:left="720"/>
        <w:contextualSpacing/>
        <w:rPr>
          <w:rFonts w:ascii="Calibri" w:eastAsia="Calibri" w:hAnsi="Calibri" w:cs="Times New Roman"/>
          <w:sz w:val="24"/>
          <w:szCs w:val="24"/>
        </w:rPr>
      </w:pPr>
    </w:p>
    <w:p w14:paraId="5C49FBCE" w14:textId="77777777" w:rsidR="00114A9E" w:rsidRPr="00114A9E" w:rsidRDefault="00114A9E" w:rsidP="00114A9E">
      <w:pPr>
        <w:tabs>
          <w:tab w:val="left" w:pos="1365"/>
        </w:tabs>
        <w:spacing w:after="200" w:line="276" w:lineRule="auto"/>
        <w:ind w:left="720"/>
        <w:contextualSpacing/>
        <w:rPr>
          <w:rFonts w:ascii="Calibri" w:eastAsia="Calibri" w:hAnsi="Calibri" w:cs="Times New Roman"/>
          <w:sz w:val="24"/>
          <w:szCs w:val="24"/>
        </w:rPr>
      </w:pPr>
    </w:p>
    <w:p w14:paraId="1D4DEC9F" w14:textId="77777777" w:rsidR="00114A9E" w:rsidRPr="00114A9E" w:rsidRDefault="00114A9E" w:rsidP="00114A9E">
      <w:pPr>
        <w:numPr>
          <w:ilvl w:val="0"/>
          <w:numId w:val="1"/>
        </w:numPr>
        <w:tabs>
          <w:tab w:val="left" w:pos="1365"/>
        </w:tabs>
        <w:spacing w:after="200" w:line="276" w:lineRule="auto"/>
        <w:contextualSpacing/>
        <w:rPr>
          <w:rFonts w:ascii="Calibri" w:eastAsia="Calibri" w:hAnsi="Calibri" w:cs="Times New Roman"/>
          <w:b/>
          <w:sz w:val="28"/>
          <w:szCs w:val="28"/>
        </w:rPr>
      </w:pPr>
      <w:r w:rsidRPr="00114A9E">
        <w:rPr>
          <w:rFonts w:ascii="Calibri" w:eastAsia="Calibri" w:hAnsi="Calibri" w:cs="Times New Roman"/>
          <w:b/>
          <w:sz w:val="28"/>
          <w:szCs w:val="28"/>
        </w:rPr>
        <w:t xml:space="preserve">Informácie o použitých účtovných zásadách a účtovných metódach :  </w:t>
      </w:r>
    </w:p>
    <w:p w14:paraId="517B60FC" w14:textId="77777777" w:rsidR="00114A9E" w:rsidRPr="00114A9E" w:rsidRDefault="00114A9E" w:rsidP="00114A9E">
      <w:pPr>
        <w:tabs>
          <w:tab w:val="left" w:pos="1365"/>
        </w:tabs>
        <w:spacing w:after="200" w:line="276" w:lineRule="auto"/>
        <w:ind w:left="644"/>
        <w:contextualSpacing/>
        <w:rPr>
          <w:rFonts w:ascii="Calibri" w:eastAsia="Calibri" w:hAnsi="Calibri" w:cs="Times New Roman"/>
          <w:sz w:val="24"/>
          <w:szCs w:val="24"/>
        </w:rPr>
      </w:pPr>
      <w:r w:rsidRPr="00114A9E">
        <w:rPr>
          <w:rFonts w:ascii="Calibri" w:eastAsia="Calibri" w:hAnsi="Calibri" w:cs="Times New Roman"/>
          <w:sz w:val="24"/>
          <w:szCs w:val="24"/>
        </w:rPr>
        <w:t>Základné účtovné metódy použité pri zostavovaní tejto individuálnej účtovnej závierky sú opísané nižšie . Tieto metódy sa uplatňujú konzistentne počas všetkých účtovných období, ak nie je uvedené inak.</w:t>
      </w:r>
    </w:p>
    <w:p w14:paraId="0544797E" w14:textId="77777777" w:rsidR="00114A9E" w:rsidRPr="00114A9E" w:rsidRDefault="00114A9E" w:rsidP="00114A9E">
      <w:pPr>
        <w:tabs>
          <w:tab w:val="left" w:pos="1365"/>
        </w:tabs>
        <w:spacing w:after="200" w:line="276" w:lineRule="auto"/>
        <w:ind w:left="644"/>
        <w:contextualSpacing/>
        <w:rPr>
          <w:rFonts w:ascii="Calibri" w:eastAsia="Calibri" w:hAnsi="Calibri" w:cs="Times New Roman"/>
          <w:sz w:val="24"/>
          <w:szCs w:val="24"/>
        </w:rPr>
      </w:pPr>
      <w:r w:rsidRPr="00114A9E">
        <w:rPr>
          <w:rFonts w:ascii="Calibri" w:eastAsia="Calibri" w:hAnsi="Calibri" w:cs="Times New Roman"/>
          <w:sz w:val="24"/>
          <w:szCs w:val="24"/>
        </w:rPr>
        <w:t>Spoločnosť zostavila účtovnú závierku za predpokladu nepretržitého pokračovania vo svojej činnosti.</w:t>
      </w:r>
    </w:p>
    <w:p w14:paraId="2EF5975D" w14:textId="77777777" w:rsidR="00114A9E" w:rsidRPr="00114A9E" w:rsidRDefault="00114A9E" w:rsidP="00114A9E">
      <w:pPr>
        <w:tabs>
          <w:tab w:val="left" w:pos="1365"/>
        </w:tabs>
        <w:spacing w:after="200" w:line="276" w:lineRule="auto"/>
        <w:ind w:left="644"/>
        <w:contextualSpacing/>
        <w:rPr>
          <w:rFonts w:ascii="Calibri" w:eastAsia="Calibri" w:hAnsi="Calibri" w:cs="Times New Roman"/>
          <w:sz w:val="24"/>
          <w:szCs w:val="24"/>
        </w:rPr>
      </w:pPr>
    </w:p>
    <w:p w14:paraId="1EBC944B" w14:textId="77777777" w:rsidR="00114A9E" w:rsidRPr="00114A9E" w:rsidRDefault="00114A9E" w:rsidP="00114A9E">
      <w:pPr>
        <w:tabs>
          <w:tab w:val="left" w:pos="1365"/>
        </w:tabs>
        <w:spacing w:after="200" w:line="276" w:lineRule="auto"/>
        <w:rPr>
          <w:rFonts w:ascii="Calibri" w:eastAsia="Calibri" w:hAnsi="Calibri" w:cs="Times New Roman"/>
          <w:b/>
          <w:sz w:val="24"/>
          <w:szCs w:val="24"/>
        </w:rPr>
      </w:pPr>
      <w:r w:rsidRPr="00114A9E">
        <w:rPr>
          <w:rFonts w:ascii="Calibri" w:eastAsia="Calibri" w:hAnsi="Calibri" w:cs="Times New Roman"/>
          <w:b/>
          <w:sz w:val="24"/>
          <w:szCs w:val="24"/>
        </w:rPr>
        <w:t>Spôsob oceňovania jednotlivých zložiek majetku a záväzkov :</w:t>
      </w:r>
    </w:p>
    <w:p w14:paraId="4391BBFD" w14:textId="77777777" w:rsidR="00114A9E" w:rsidRPr="00114A9E" w:rsidRDefault="00114A9E" w:rsidP="00114A9E">
      <w:pPr>
        <w:tabs>
          <w:tab w:val="left" w:pos="1365"/>
        </w:tabs>
        <w:spacing w:after="200" w:line="276" w:lineRule="auto"/>
        <w:ind w:left="644"/>
        <w:contextualSpacing/>
        <w:rPr>
          <w:rFonts w:ascii="Calibri" w:eastAsia="Calibri" w:hAnsi="Calibri" w:cs="Times New Roman"/>
          <w:b/>
          <w:sz w:val="24"/>
          <w:szCs w:val="24"/>
        </w:rPr>
      </w:pPr>
      <w:r w:rsidRPr="00114A9E">
        <w:rPr>
          <w:rFonts w:ascii="Calibri" w:eastAsia="Calibri" w:hAnsi="Calibri" w:cs="Times New Roman"/>
          <w:b/>
          <w:sz w:val="24"/>
          <w:szCs w:val="24"/>
        </w:rPr>
        <w:t>Dlhodobý nehmotný majetok</w:t>
      </w:r>
    </w:p>
    <w:p w14:paraId="48E5C256" w14:textId="77777777" w:rsidR="00114A9E" w:rsidRPr="00114A9E" w:rsidRDefault="00114A9E" w:rsidP="00114A9E">
      <w:pPr>
        <w:numPr>
          <w:ilvl w:val="0"/>
          <w:numId w:val="4"/>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Dlhodobý nehmotný majetok nakupovaný sa oceňuje obstarávacou cenou, ktorá zahŕňa cenu obstarania a náklady súvisiace s obstaraním ( clo, prepravu, montáž, poistné a pod.) Súčasťou obstarávacej ceny dlhodobého nehmotného majetku nie sú úroky z úverov súvisiacich s obstaraním majetku, ktoré vznikli do momentu zaradenia majetku do užívania.</w:t>
      </w:r>
    </w:p>
    <w:p w14:paraId="315D2686" w14:textId="77777777" w:rsidR="00114A9E" w:rsidRPr="00114A9E" w:rsidRDefault="00114A9E" w:rsidP="00114A9E">
      <w:pPr>
        <w:numPr>
          <w:ilvl w:val="0"/>
          <w:numId w:val="4"/>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Dlhodobý nehmotný majetok vytvorený vlastnou činnosťou sa oceňuje vlastnými nákladmi. Vlastnými nákladmi sú všetky priame náklady vynaložené na výrobu alebo na inú činnosť a nepriame náklady, ktoré sa vzťahujú na výrobu a činnosť.</w:t>
      </w:r>
    </w:p>
    <w:p w14:paraId="5D9BAEE1" w14:textId="77777777" w:rsidR="00114A9E" w:rsidRPr="00114A9E" w:rsidRDefault="00114A9E" w:rsidP="00114A9E">
      <w:pPr>
        <w:tabs>
          <w:tab w:val="left" w:pos="1365"/>
        </w:tabs>
        <w:spacing w:after="200" w:line="276" w:lineRule="auto"/>
        <w:ind w:left="644"/>
        <w:rPr>
          <w:rFonts w:ascii="Calibri" w:eastAsia="Calibri" w:hAnsi="Calibri" w:cs="Times New Roman"/>
          <w:sz w:val="24"/>
          <w:szCs w:val="24"/>
        </w:rPr>
      </w:pPr>
      <w:r w:rsidRPr="00114A9E">
        <w:rPr>
          <w:rFonts w:ascii="Calibri" w:eastAsia="Calibri" w:hAnsi="Calibri" w:cs="Times New Roman"/>
          <w:b/>
          <w:sz w:val="24"/>
          <w:szCs w:val="24"/>
        </w:rPr>
        <w:t>Dlhodobý hmotný majetok</w:t>
      </w:r>
    </w:p>
    <w:p w14:paraId="3890E387" w14:textId="77777777" w:rsidR="00114A9E" w:rsidRPr="00114A9E" w:rsidRDefault="00114A9E" w:rsidP="00114A9E">
      <w:pPr>
        <w:numPr>
          <w:ilvl w:val="0"/>
          <w:numId w:val="5"/>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Dlhodobý hmotný majetok nakupovaný sa oceňuje obstarávacou cenou, ktorá zahŕňa cenu obstarania a náklady súvisiace s obstaraním (clo, prepravu, montáž, poistné a pod.) Súčasťou obstarávacej ceny dlhodobého hmotného majetku nie sú úroku z úverov súvisiacich s obstaraním majetku, ktoré vznikli do momentu zaradenia majetku do užívania.</w:t>
      </w:r>
    </w:p>
    <w:p w14:paraId="29757A33" w14:textId="77777777" w:rsidR="00114A9E" w:rsidRPr="00114A9E" w:rsidRDefault="00114A9E" w:rsidP="00114A9E">
      <w:pPr>
        <w:numPr>
          <w:ilvl w:val="0"/>
          <w:numId w:val="5"/>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Do dlhodobého hmotného majetku patrí majetok, ku ktorému má účtovná jednotka vlastnícke právo. Súčasťou dlhodobého hmot. majetku je aj majetok, ktorý spoločnosť obstarala na základe zmluvy o finančnom prenájme.</w:t>
      </w:r>
    </w:p>
    <w:p w14:paraId="1ADDCD4C" w14:textId="77777777" w:rsidR="00114A9E" w:rsidRPr="00114A9E" w:rsidRDefault="00114A9E" w:rsidP="00114A9E">
      <w:pPr>
        <w:numPr>
          <w:ilvl w:val="0"/>
          <w:numId w:val="5"/>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Odpisy dlhodobého hmot. majetku sú stanovené podľa predpokladanej doby jeho používania a predpokladaného priebehu jeho opotrebenia. Pozemky sa neodpisujú.</w:t>
      </w:r>
    </w:p>
    <w:p w14:paraId="4A199D1F" w14:textId="77777777" w:rsidR="00114A9E" w:rsidRPr="00114A9E" w:rsidRDefault="00114A9E" w:rsidP="00114A9E">
      <w:pPr>
        <w:numPr>
          <w:ilvl w:val="0"/>
          <w:numId w:val="5"/>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Vypracuje sa odpisový plán pre jednotlivé druhy majetku so stanovenou metódou odpisovania a ročnou odpisovou sadzbou.</w:t>
      </w:r>
    </w:p>
    <w:p w14:paraId="53AD9729" w14:textId="77777777" w:rsidR="00114A9E" w:rsidRPr="00114A9E" w:rsidRDefault="00114A9E" w:rsidP="00114A9E">
      <w:pPr>
        <w:numPr>
          <w:ilvl w:val="0"/>
          <w:numId w:val="5"/>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Technické zhodnotenie dlhodobého hmotného majetku nie je technickým zhodnotením, ak neprevyšuje úhrnne za účtovné obdobie sumu 1700 eur.</w:t>
      </w:r>
    </w:p>
    <w:p w14:paraId="458CE51F" w14:textId="77777777" w:rsidR="00114A9E" w:rsidRPr="00114A9E" w:rsidRDefault="00114A9E" w:rsidP="00114A9E">
      <w:pPr>
        <w:tabs>
          <w:tab w:val="left" w:pos="1365"/>
        </w:tabs>
        <w:spacing w:after="200" w:line="276" w:lineRule="auto"/>
        <w:ind w:left="1004"/>
        <w:contextualSpacing/>
        <w:rPr>
          <w:rFonts w:ascii="Calibri" w:eastAsia="Calibri" w:hAnsi="Calibri" w:cs="Times New Roman"/>
          <w:sz w:val="24"/>
          <w:szCs w:val="24"/>
        </w:rPr>
      </w:pPr>
    </w:p>
    <w:p w14:paraId="493EBF50" w14:textId="77777777" w:rsidR="00114A9E" w:rsidRPr="00114A9E" w:rsidRDefault="00114A9E" w:rsidP="00114A9E">
      <w:pPr>
        <w:tabs>
          <w:tab w:val="left" w:pos="1365"/>
        </w:tabs>
        <w:spacing w:after="200" w:line="276" w:lineRule="auto"/>
        <w:ind w:left="1004"/>
        <w:contextualSpacing/>
        <w:rPr>
          <w:rFonts w:ascii="Calibri" w:eastAsia="Calibri" w:hAnsi="Calibri" w:cs="Times New Roman"/>
          <w:sz w:val="24"/>
          <w:szCs w:val="24"/>
        </w:rPr>
      </w:pPr>
    </w:p>
    <w:p w14:paraId="073E2CDE" w14:textId="77777777" w:rsidR="00114A9E" w:rsidRPr="00114A9E" w:rsidRDefault="00114A9E" w:rsidP="00114A9E">
      <w:pPr>
        <w:tabs>
          <w:tab w:val="left" w:pos="1365"/>
        </w:tabs>
        <w:spacing w:after="200" w:line="276" w:lineRule="auto"/>
        <w:ind w:left="1004"/>
        <w:contextualSpacing/>
        <w:rPr>
          <w:rFonts w:ascii="Calibri" w:eastAsia="Calibri" w:hAnsi="Calibri" w:cs="Times New Roman"/>
          <w:sz w:val="24"/>
          <w:szCs w:val="24"/>
        </w:rPr>
      </w:pPr>
    </w:p>
    <w:p w14:paraId="774BFB17" w14:textId="77777777" w:rsidR="00114A9E" w:rsidRPr="00114A9E" w:rsidRDefault="00114A9E" w:rsidP="00114A9E">
      <w:pPr>
        <w:tabs>
          <w:tab w:val="left" w:pos="1365"/>
        </w:tabs>
        <w:spacing w:after="200" w:line="276" w:lineRule="auto"/>
        <w:rPr>
          <w:rFonts w:ascii="Calibri" w:eastAsia="Calibri" w:hAnsi="Calibri" w:cs="Times New Roman"/>
          <w:b/>
          <w:sz w:val="24"/>
          <w:szCs w:val="24"/>
        </w:rPr>
      </w:pPr>
      <w:r w:rsidRPr="00114A9E">
        <w:rPr>
          <w:rFonts w:ascii="Calibri" w:eastAsia="Calibri" w:hAnsi="Calibri" w:cs="Times New Roman"/>
          <w:b/>
          <w:sz w:val="24"/>
          <w:szCs w:val="24"/>
        </w:rPr>
        <w:t>Cenné papiere a podiely</w:t>
      </w:r>
    </w:p>
    <w:p w14:paraId="38EC9545" w14:textId="77777777" w:rsidR="00114A9E" w:rsidRPr="00114A9E" w:rsidRDefault="00114A9E" w:rsidP="00114A9E">
      <w:pPr>
        <w:numPr>
          <w:ilvl w:val="0"/>
          <w:numId w:val="6"/>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Cenné papiere a podiely sa oceňujú pri nadobudnutí obstarávacou cenou, vrátane nákladov súvisiacich s obstaraním.</w:t>
      </w:r>
    </w:p>
    <w:p w14:paraId="672751E7" w14:textId="77777777" w:rsidR="00114A9E" w:rsidRPr="00114A9E" w:rsidRDefault="00114A9E" w:rsidP="00114A9E">
      <w:pPr>
        <w:numPr>
          <w:ilvl w:val="0"/>
          <w:numId w:val="6"/>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Ku dňu, ku ktorému sa zostavuje účtovná závierka spoločnosť nevlastnila cenné papiere a podiely</w:t>
      </w:r>
    </w:p>
    <w:p w14:paraId="6A7E02F3" w14:textId="77777777" w:rsidR="00114A9E" w:rsidRPr="00114A9E" w:rsidRDefault="00114A9E" w:rsidP="00114A9E">
      <w:pPr>
        <w:tabs>
          <w:tab w:val="left" w:pos="1365"/>
        </w:tabs>
        <w:spacing w:after="200" w:line="276" w:lineRule="auto"/>
        <w:rPr>
          <w:rFonts w:ascii="Calibri" w:eastAsia="Calibri" w:hAnsi="Calibri" w:cs="Times New Roman"/>
          <w:b/>
          <w:sz w:val="24"/>
          <w:szCs w:val="24"/>
        </w:rPr>
      </w:pPr>
      <w:r w:rsidRPr="00114A9E">
        <w:rPr>
          <w:rFonts w:ascii="Calibri" w:eastAsia="Calibri" w:hAnsi="Calibri" w:cs="Times New Roman"/>
          <w:b/>
          <w:sz w:val="24"/>
          <w:szCs w:val="24"/>
        </w:rPr>
        <w:t xml:space="preserve">       Zásoby</w:t>
      </w:r>
    </w:p>
    <w:p w14:paraId="7F442407" w14:textId="77777777" w:rsidR="00114A9E" w:rsidRPr="00114A9E" w:rsidRDefault="00114A9E" w:rsidP="00114A9E">
      <w:pPr>
        <w:numPr>
          <w:ilvl w:val="0"/>
          <w:numId w:val="7"/>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Do zásob patrí skladovaný materiál a skladovaný tovar a priame náklady na neukončené servisné opravy.</w:t>
      </w:r>
    </w:p>
    <w:p w14:paraId="74271521" w14:textId="77777777" w:rsidR="00114A9E" w:rsidRPr="00114A9E" w:rsidRDefault="00114A9E" w:rsidP="00114A9E">
      <w:pPr>
        <w:numPr>
          <w:ilvl w:val="0"/>
          <w:numId w:val="7"/>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Materiál a tovar sa prvotne oceňujú obstarávacou cenou, ktorú tvorí cena obstarania a náklady súvisiace s obstaraním (prepravné, poistné, provízie, skonto). Úroky z úverov nie sú súčasťou obstarávacej ceny.</w:t>
      </w:r>
    </w:p>
    <w:p w14:paraId="1A62851B" w14:textId="77777777" w:rsidR="00114A9E" w:rsidRPr="00114A9E" w:rsidRDefault="00114A9E" w:rsidP="00114A9E">
      <w:pPr>
        <w:numPr>
          <w:ilvl w:val="0"/>
          <w:numId w:val="7"/>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Nakupované zásoby sa:</w:t>
      </w:r>
    </w:p>
    <w:p w14:paraId="509928DC" w14:textId="77777777" w:rsidR="00114A9E" w:rsidRPr="00114A9E" w:rsidRDefault="00114A9E" w:rsidP="00114A9E">
      <w:pPr>
        <w:numPr>
          <w:ilvl w:val="0"/>
          <w:numId w:val="8"/>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Vyskladňujú váženým aritmetickým priemerom z obstarávaných cien</w:t>
      </w:r>
    </w:p>
    <w:p w14:paraId="1EC167C6" w14:textId="77777777" w:rsidR="00114A9E" w:rsidRPr="00114A9E" w:rsidRDefault="00114A9E" w:rsidP="00114A9E">
      <w:pPr>
        <w:numPr>
          <w:ilvl w:val="0"/>
          <w:numId w:val="8"/>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Úbytok vedľajších nákladov, pripadajúcich na spotrebované zásoby sa určí – úbytok zásob za mesiac*priemerné percento /100</w:t>
      </w:r>
    </w:p>
    <w:p w14:paraId="7CB6E753" w14:textId="77777777" w:rsidR="00114A9E" w:rsidRPr="00114A9E" w:rsidRDefault="00114A9E" w:rsidP="00114A9E">
      <w:pPr>
        <w:tabs>
          <w:tab w:val="left" w:pos="1365"/>
        </w:tabs>
        <w:spacing w:after="200" w:line="276" w:lineRule="auto"/>
        <w:ind w:left="1080"/>
        <w:contextualSpacing/>
        <w:rPr>
          <w:rFonts w:ascii="Calibri" w:eastAsia="Calibri" w:hAnsi="Calibri" w:cs="Times New Roman"/>
          <w:sz w:val="24"/>
          <w:szCs w:val="24"/>
        </w:rPr>
      </w:pPr>
    </w:p>
    <w:p w14:paraId="0FD55789" w14:textId="77777777" w:rsidR="00114A9E" w:rsidRPr="00114A9E" w:rsidRDefault="00114A9E" w:rsidP="00114A9E">
      <w:pPr>
        <w:tabs>
          <w:tab w:val="left" w:pos="1365"/>
        </w:tabs>
        <w:spacing w:after="200" w:line="276" w:lineRule="auto"/>
        <w:rPr>
          <w:rFonts w:ascii="Calibri" w:eastAsia="Calibri" w:hAnsi="Calibri" w:cs="Times New Roman"/>
          <w:b/>
          <w:sz w:val="24"/>
          <w:szCs w:val="24"/>
        </w:rPr>
      </w:pPr>
      <w:r w:rsidRPr="00114A9E">
        <w:rPr>
          <w:rFonts w:ascii="Calibri" w:eastAsia="Calibri" w:hAnsi="Calibri" w:cs="Times New Roman"/>
          <w:b/>
          <w:sz w:val="24"/>
          <w:szCs w:val="24"/>
        </w:rPr>
        <w:t>Pohľadávky</w:t>
      </w:r>
    </w:p>
    <w:p w14:paraId="068BEA54" w14:textId="77777777" w:rsidR="00114A9E" w:rsidRPr="00114A9E" w:rsidRDefault="00114A9E" w:rsidP="00114A9E">
      <w:pPr>
        <w:numPr>
          <w:ilvl w:val="0"/>
          <w:numId w:val="9"/>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Pohľadávky pri ich vzniku sa oceňujú menovitou hodnotou. Postúpené pohľadávky sa oceňujú obstarávacou cenou vrátane nákladov súvisiacich s obstaraním. Zníženie ocenenia pohľadávok prostredníctvom tvorby opravných položiek sa tvorí k pochybným pohľadávkam a nevymožiteľným pohľadávkam.</w:t>
      </w:r>
    </w:p>
    <w:p w14:paraId="40A95DE6" w14:textId="77777777" w:rsidR="00114A9E" w:rsidRPr="00114A9E" w:rsidRDefault="00114A9E" w:rsidP="00114A9E">
      <w:pPr>
        <w:numPr>
          <w:ilvl w:val="0"/>
          <w:numId w:val="9"/>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Pohľadávky s dobou splatnosti od dňa, ktorému sa zostavuje účtovná závierka menej ako 12 mesiacov sú dlhodobé a pohľadávky s dobou splatnosti odo dňa ku ktorému sa zostavuje účtovná závierka menej ako 12 mesiacov sa vykazujú ako krátkodobé.</w:t>
      </w:r>
    </w:p>
    <w:p w14:paraId="3C842209" w14:textId="77777777" w:rsidR="00114A9E" w:rsidRPr="00114A9E" w:rsidRDefault="00114A9E" w:rsidP="00114A9E">
      <w:pPr>
        <w:numPr>
          <w:ilvl w:val="0"/>
          <w:numId w:val="9"/>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Ak je zostatková doba splatnosti pohľadávky dlhšia ako jeden rok, vytvára sa opravná položka, ktorá predstavuje rozdiel medzi menovitou a súčasnou hodnotou pohľadávky.</w:t>
      </w:r>
    </w:p>
    <w:p w14:paraId="341A992C" w14:textId="77777777" w:rsidR="00114A9E" w:rsidRPr="00114A9E" w:rsidRDefault="00114A9E" w:rsidP="00114A9E">
      <w:pPr>
        <w:numPr>
          <w:ilvl w:val="0"/>
          <w:numId w:val="9"/>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Opravná položka na pohľadávky z obchodného styku sa vytvára vtedy, ak existuje objektívny dôkaz, že obchodná spoločnosť nebude schopná zinkasovať všetky dlžné čiastky podľa pôvodných podmienok pohľadávok. Významné finančné problémy dlžníka, pravdepodobnosť, že dlžník vstúpi do konkurzu, platobná neschopnosť alebo omeškanie platieb sa považujú za indikátory toho, že pohľadávka z obchodného styku je znehodnotená. Výška opravnej položky predstavuje rozdiel medzi účtovnou hodnotou daného majetku a hodnotou predpokladaných budúcich peňažných tokov.</w:t>
      </w:r>
    </w:p>
    <w:p w14:paraId="7B730805" w14:textId="77777777" w:rsidR="00114A9E" w:rsidRPr="00114A9E" w:rsidRDefault="00114A9E" w:rsidP="00114A9E">
      <w:pPr>
        <w:tabs>
          <w:tab w:val="left" w:pos="1365"/>
        </w:tabs>
        <w:spacing w:after="200" w:line="276" w:lineRule="auto"/>
        <w:ind w:left="840"/>
        <w:contextualSpacing/>
        <w:rPr>
          <w:rFonts w:ascii="Calibri" w:eastAsia="Calibri" w:hAnsi="Calibri" w:cs="Times New Roman"/>
          <w:sz w:val="24"/>
          <w:szCs w:val="24"/>
        </w:rPr>
      </w:pPr>
    </w:p>
    <w:p w14:paraId="07079C42" w14:textId="77777777" w:rsidR="00114A9E" w:rsidRPr="00114A9E" w:rsidRDefault="00114A9E" w:rsidP="00114A9E">
      <w:pPr>
        <w:tabs>
          <w:tab w:val="left" w:pos="1365"/>
        </w:tabs>
        <w:spacing w:after="200" w:line="276" w:lineRule="auto"/>
        <w:ind w:left="840"/>
        <w:contextualSpacing/>
        <w:rPr>
          <w:rFonts w:ascii="Calibri" w:eastAsia="Calibri" w:hAnsi="Calibri" w:cs="Times New Roman"/>
          <w:sz w:val="24"/>
          <w:szCs w:val="24"/>
        </w:rPr>
      </w:pPr>
    </w:p>
    <w:p w14:paraId="4A024DF1" w14:textId="77777777" w:rsidR="00114A9E" w:rsidRPr="00114A9E" w:rsidRDefault="00114A9E" w:rsidP="00114A9E">
      <w:pPr>
        <w:tabs>
          <w:tab w:val="left" w:pos="1365"/>
        </w:tabs>
        <w:spacing w:after="200" w:line="276" w:lineRule="auto"/>
        <w:ind w:left="840"/>
        <w:contextualSpacing/>
        <w:rPr>
          <w:rFonts w:ascii="Calibri" w:eastAsia="Calibri" w:hAnsi="Calibri" w:cs="Times New Roman"/>
          <w:sz w:val="24"/>
          <w:szCs w:val="24"/>
        </w:rPr>
      </w:pPr>
    </w:p>
    <w:p w14:paraId="5574F8B5" w14:textId="77777777" w:rsidR="00114A9E" w:rsidRPr="00114A9E" w:rsidRDefault="00114A9E" w:rsidP="00114A9E">
      <w:pPr>
        <w:tabs>
          <w:tab w:val="left" w:pos="1365"/>
        </w:tabs>
        <w:spacing w:after="200" w:line="276" w:lineRule="auto"/>
        <w:ind w:left="840"/>
        <w:contextualSpacing/>
        <w:rPr>
          <w:rFonts w:ascii="Calibri" w:eastAsia="Calibri" w:hAnsi="Calibri" w:cs="Times New Roman"/>
          <w:sz w:val="24"/>
          <w:szCs w:val="24"/>
        </w:rPr>
      </w:pPr>
    </w:p>
    <w:p w14:paraId="03760FA6" w14:textId="77777777" w:rsidR="00114A9E" w:rsidRPr="00114A9E" w:rsidRDefault="00114A9E" w:rsidP="00114A9E">
      <w:pPr>
        <w:tabs>
          <w:tab w:val="left" w:pos="1365"/>
        </w:tabs>
        <w:spacing w:after="200" w:line="276" w:lineRule="auto"/>
        <w:rPr>
          <w:rFonts w:ascii="Calibri" w:eastAsia="Calibri" w:hAnsi="Calibri" w:cs="Times New Roman"/>
          <w:b/>
          <w:sz w:val="24"/>
          <w:szCs w:val="24"/>
        </w:rPr>
      </w:pPr>
      <w:r w:rsidRPr="00114A9E">
        <w:rPr>
          <w:rFonts w:ascii="Calibri" w:eastAsia="Calibri" w:hAnsi="Calibri" w:cs="Times New Roman"/>
          <w:b/>
          <w:sz w:val="24"/>
          <w:szCs w:val="24"/>
        </w:rPr>
        <w:t>Peňažné prostriedky, ekvivalenty peňažných prostriedkov a peňažné ekvivalenty</w:t>
      </w:r>
    </w:p>
    <w:p w14:paraId="63430940"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r w:rsidRPr="00114A9E">
        <w:rPr>
          <w:rFonts w:ascii="Calibri" w:eastAsia="Calibri" w:hAnsi="Calibri" w:cs="Times New Roman"/>
          <w:b/>
          <w:sz w:val="24"/>
          <w:szCs w:val="24"/>
        </w:rPr>
        <w:t xml:space="preserve">            </w:t>
      </w:r>
      <w:r w:rsidRPr="00114A9E">
        <w:rPr>
          <w:rFonts w:ascii="Calibri" w:eastAsia="Calibri" w:hAnsi="Calibri" w:cs="Times New Roman"/>
          <w:sz w:val="24"/>
          <w:szCs w:val="24"/>
        </w:rPr>
        <w:t>Peňažné prostriedky a ceniny sa oceňujú ich menovitou hodnotou. Zníženie ich hodnoty sa vyjadruje opravnou položkou. Peňažné prostriedky a peňažné ekvivalenty zahŕňajú peňažnú hotovosť, termínované vklady v bankách, iné krátkodobé vysoko likvidné investície s pôvodnou lehotou splatnosti do troch mesiacov a kontokorentné úvery. V súvahe sú kontokorentné úvery vykázané ako krátkodobé bankové úvery.</w:t>
      </w:r>
    </w:p>
    <w:p w14:paraId="1DC6D410"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p>
    <w:p w14:paraId="6FC22E4B" w14:textId="77777777" w:rsidR="00114A9E" w:rsidRPr="00114A9E" w:rsidRDefault="00114A9E" w:rsidP="00114A9E">
      <w:pPr>
        <w:tabs>
          <w:tab w:val="left" w:pos="1365"/>
        </w:tabs>
        <w:spacing w:after="200" w:line="276" w:lineRule="auto"/>
        <w:rPr>
          <w:rFonts w:ascii="Calibri" w:eastAsia="Calibri" w:hAnsi="Calibri" w:cs="Times New Roman"/>
          <w:b/>
          <w:sz w:val="24"/>
          <w:szCs w:val="24"/>
        </w:rPr>
      </w:pPr>
      <w:r w:rsidRPr="00114A9E">
        <w:rPr>
          <w:rFonts w:ascii="Calibri" w:eastAsia="Calibri" w:hAnsi="Calibri" w:cs="Times New Roman"/>
          <w:b/>
          <w:sz w:val="24"/>
          <w:szCs w:val="24"/>
        </w:rPr>
        <w:t>Náklady budúcich období a príjmy budúcich období</w:t>
      </w:r>
    </w:p>
    <w:p w14:paraId="0776F434"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r w:rsidRPr="00114A9E">
        <w:rPr>
          <w:rFonts w:ascii="Calibri" w:eastAsia="Calibri" w:hAnsi="Calibri" w:cs="Times New Roman"/>
          <w:sz w:val="24"/>
          <w:szCs w:val="24"/>
        </w:rPr>
        <w:t>Náklady budúcich období a príjmy budúcich období sa vykazujú vo výške, ktorá je potrebná na dodržanie zásady vecnej a časovej súvislosti s účtovným obdobím.</w:t>
      </w:r>
    </w:p>
    <w:p w14:paraId="7983133A" w14:textId="77777777" w:rsidR="00114A9E" w:rsidRPr="00114A9E" w:rsidRDefault="00114A9E" w:rsidP="00114A9E">
      <w:pPr>
        <w:tabs>
          <w:tab w:val="left" w:pos="1365"/>
        </w:tabs>
        <w:spacing w:after="200" w:line="276" w:lineRule="auto"/>
        <w:rPr>
          <w:rFonts w:ascii="Calibri" w:eastAsia="Calibri" w:hAnsi="Calibri" w:cs="Times New Roman"/>
          <w:b/>
          <w:sz w:val="24"/>
          <w:szCs w:val="24"/>
        </w:rPr>
      </w:pPr>
      <w:r w:rsidRPr="00114A9E">
        <w:rPr>
          <w:rFonts w:ascii="Calibri" w:eastAsia="Calibri" w:hAnsi="Calibri" w:cs="Times New Roman"/>
          <w:b/>
          <w:sz w:val="24"/>
          <w:szCs w:val="24"/>
        </w:rPr>
        <w:t>Rezervy</w:t>
      </w:r>
    </w:p>
    <w:p w14:paraId="34859BF2"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r w:rsidRPr="00114A9E">
        <w:rPr>
          <w:rFonts w:ascii="Calibri" w:eastAsia="Calibri" w:hAnsi="Calibri" w:cs="Times New Roman"/>
          <w:sz w:val="24"/>
          <w:szCs w:val="24"/>
        </w:rPr>
        <w:t>Rezervy sa vytvárajú, ak má obchodná spoločnosť súčasný zákonný, zmluvný alebo mimozmluvný záväzok, ktorý je dôsledkom minulých udalostí a na základe ktorého pravdepodobne dôjde k úbytku ekonomických úžitkov, a zároveň je možné vykonať spoľahlivý odhad výšky týchto záväzkov. Rezervy sú záväzky s neurčitým časovým vymedzením alebo výškou, tvoria sa na krytie známych rizík alebo strát z podnikania. Oceňujú sa v očakávanej výške záväzku. Rezervy sa oceňujú odhadom v sume dostatočnej na splnenie existujúcej povinnosti ku dňu , ku ktorému sa zostavuje účtovná závierka pri zohľadnení rizík a neistôt.</w:t>
      </w:r>
    </w:p>
    <w:p w14:paraId="04BC60C5" w14:textId="77777777" w:rsidR="00114A9E" w:rsidRPr="00114A9E" w:rsidRDefault="00114A9E" w:rsidP="00114A9E">
      <w:pPr>
        <w:tabs>
          <w:tab w:val="left" w:pos="1365"/>
        </w:tabs>
        <w:spacing w:after="200" w:line="276" w:lineRule="auto"/>
        <w:rPr>
          <w:rFonts w:ascii="Calibri" w:eastAsia="Calibri" w:hAnsi="Calibri" w:cs="Times New Roman"/>
          <w:b/>
          <w:sz w:val="24"/>
          <w:szCs w:val="24"/>
        </w:rPr>
      </w:pPr>
      <w:r w:rsidRPr="00114A9E">
        <w:rPr>
          <w:rFonts w:ascii="Calibri" w:eastAsia="Calibri" w:hAnsi="Calibri" w:cs="Times New Roman"/>
          <w:b/>
          <w:sz w:val="24"/>
          <w:szCs w:val="24"/>
        </w:rPr>
        <w:t xml:space="preserve">Záväzky </w:t>
      </w:r>
    </w:p>
    <w:p w14:paraId="49D90E7A"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r w:rsidRPr="00114A9E">
        <w:rPr>
          <w:rFonts w:ascii="Calibri" w:eastAsia="Calibri" w:hAnsi="Calibri" w:cs="Times New Roman"/>
          <w:sz w:val="24"/>
          <w:szCs w:val="24"/>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270D3EE8"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r w:rsidRPr="00114A9E">
        <w:rPr>
          <w:rFonts w:ascii="Calibri" w:eastAsia="Calibri" w:hAnsi="Calibri" w:cs="Times New Roman"/>
          <w:b/>
          <w:sz w:val="24"/>
          <w:szCs w:val="24"/>
        </w:rPr>
        <w:t>Odložené dane</w:t>
      </w:r>
    </w:p>
    <w:p w14:paraId="423302ED"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r w:rsidRPr="00114A9E">
        <w:rPr>
          <w:rFonts w:ascii="Calibri" w:eastAsia="Calibri" w:hAnsi="Calibri" w:cs="Times New Roman"/>
          <w:sz w:val="24"/>
          <w:szCs w:val="24"/>
        </w:rPr>
        <w:t>Odložené dane sa vzťahujú na :</w:t>
      </w:r>
    </w:p>
    <w:p w14:paraId="3A04243A" w14:textId="77777777" w:rsidR="00114A9E" w:rsidRPr="00114A9E" w:rsidRDefault="00114A9E" w:rsidP="00114A9E">
      <w:pPr>
        <w:numPr>
          <w:ilvl w:val="0"/>
          <w:numId w:val="10"/>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Dočasné rozdiely medzi účtovnou hodnotou majetku a účtovnou hodnotou záväzkov vykázanou v súvahe a ich daňovou základňou,</w:t>
      </w:r>
    </w:p>
    <w:p w14:paraId="4BEE8EA6" w14:textId="77777777" w:rsidR="00114A9E" w:rsidRPr="00114A9E" w:rsidRDefault="00114A9E" w:rsidP="00114A9E">
      <w:pPr>
        <w:numPr>
          <w:ilvl w:val="0"/>
          <w:numId w:val="10"/>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Možnosť umorovať daňovú stratu v budúcnosti, ktorou sa rozumie možnosť odpočítať daňovú stratu od základu dane v budúcnosti,</w:t>
      </w:r>
    </w:p>
    <w:p w14:paraId="19E35E62" w14:textId="77777777" w:rsidR="00114A9E" w:rsidRPr="00114A9E" w:rsidRDefault="00114A9E" w:rsidP="00114A9E">
      <w:pPr>
        <w:numPr>
          <w:ilvl w:val="0"/>
          <w:numId w:val="10"/>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 xml:space="preserve">Možnosť previesť nevyužité daňové odpočty a iné daňové nároky do budúcich období. Odložená daň z príjmov sa účtuje použitím záväzkovej metódy. </w:t>
      </w:r>
      <w:r w:rsidRPr="00114A9E">
        <w:rPr>
          <w:rFonts w:ascii="Calibri" w:eastAsia="Calibri" w:hAnsi="Calibri" w:cs="Times New Roman"/>
          <w:sz w:val="24"/>
          <w:szCs w:val="24"/>
        </w:rPr>
        <w:lastRenderedPageBreak/>
        <w:t>O odloženej dani z príjmov sa neúčtuje , ak vzniká pri prvotnom zaúčtovaní majetku alebo záväzku v účtovníctve , ak v čase prvotného zaúčtovania nemá tento účtovný prípad vplyv ani na výsledok hospodárenia ani na základ dane a zároveň nejde o účtovný prípad vznikajúci u kupujúceho pri kúpe podniku alebo časti podniku, u prijímateľa vkladu pri vklade podniku alebo časti podniku alebo u nástupníckej účtovnej jednotky pri zlúčení, splynutí alebo rozdelení. Odložená daň z príjmov sa stanovuje pomocou daňovej sadzby, ktoré boli známe ku dňu, ku ktorému sa zostavuje účtovná závierka a očakáva sa ich platnosť v čase realizácie príslušnej odloženej daňovej pohľadávky alebo vyrovnania odloženého daňového záväzku. Odložené daňové pohľadávky sa účtujú, ak je pravdepodobné, že v budúcnosti bude generovaný zisk, voči ktorému sa budú môcť dočasné rozdiely zrealizovať.</w:t>
      </w:r>
    </w:p>
    <w:p w14:paraId="42A8948B" w14:textId="77777777" w:rsidR="00114A9E" w:rsidRPr="00114A9E" w:rsidRDefault="00114A9E" w:rsidP="00114A9E">
      <w:pPr>
        <w:tabs>
          <w:tab w:val="left" w:pos="1365"/>
        </w:tabs>
        <w:spacing w:after="200" w:line="276" w:lineRule="auto"/>
        <w:ind w:left="990"/>
        <w:contextualSpacing/>
        <w:rPr>
          <w:rFonts w:ascii="Calibri" w:eastAsia="Calibri" w:hAnsi="Calibri" w:cs="Times New Roman"/>
          <w:sz w:val="24"/>
          <w:szCs w:val="24"/>
        </w:rPr>
      </w:pPr>
    </w:p>
    <w:p w14:paraId="58576226" w14:textId="77777777" w:rsidR="00114A9E" w:rsidRPr="00114A9E" w:rsidRDefault="00114A9E" w:rsidP="00114A9E">
      <w:pPr>
        <w:tabs>
          <w:tab w:val="left" w:pos="1365"/>
        </w:tabs>
        <w:spacing w:after="200" w:line="276" w:lineRule="auto"/>
        <w:rPr>
          <w:rFonts w:ascii="Calibri" w:eastAsia="Calibri" w:hAnsi="Calibri" w:cs="Times New Roman"/>
          <w:b/>
          <w:sz w:val="24"/>
          <w:szCs w:val="24"/>
        </w:rPr>
      </w:pPr>
      <w:r w:rsidRPr="00114A9E">
        <w:rPr>
          <w:rFonts w:ascii="Calibri" w:eastAsia="Calibri" w:hAnsi="Calibri" w:cs="Times New Roman"/>
          <w:b/>
          <w:sz w:val="24"/>
          <w:szCs w:val="24"/>
        </w:rPr>
        <w:t>Výdavky budúcich období a výnosy budúcich období</w:t>
      </w:r>
    </w:p>
    <w:p w14:paraId="2B5D3ADA"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r w:rsidRPr="00114A9E">
        <w:rPr>
          <w:rFonts w:ascii="Calibri" w:eastAsia="Calibri" w:hAnsi="Calibri" w:cs="Times New Roman"/>
          <w:sz w:val="24"/>
          <w:szCs w:val="24"/>
        </w:rPr>
        <w:t>Výdavky budúcich období a výnosy budúcich období sa vykazujú vo výške, ktorá je potrebná na dodržanie zásady vecnej a časovej súvislosti s účtovným obdobím.</w:t>
      </w:r>
    </w:p>
    <w:p w14:paraId="32A77804" w14:textId="77777777" w:rsidR="00114A9E" w:rsidRPr="00114A9E" w:rsidRDefault="00114A9E" w:rsidP="00114A9E">
      <w:pPr>
        <w:tabs>
          <w:tab w:val="left" w:pos="1365"/>
        </w:tabs>
        <w:spacing w:after="200" w:line="276" w:lineRule="auto"/>
        <w:rPr>
          <w:rFonts w:ascii="Calibri" w:eastAsia="Calibri" w:hAnsi="Calibri" w:cs="Times New Roman"/>
          <w:b/>
          <w:sz w:val="24"/>
          <w:szCs w:val="24"/>
        </w:rPr>
      </w:pPr>
      <w:r w:rsidRPr="00114A9E">
        <w:rPr>
          <w:rFonts w:ascii="Calibri" w:eastAsia="Calibri" w:hAnsi="Calibri" w:cs="Times New Roman"/>
          <w:b/>
          <w:sz w:val="24"/>
          <w:szCs w:val="24"/>
        </w:rPr>
        <w:t>Cudzia mena</w:t>
      </w:r>
    </w:p>
    <w:p w14:paraId="5DB3FB7B"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r w:rsidRPr="00114A9E">
        <w:rPr>
          <w:rFonts w:ascii="Calibri" w:eastAsia="Calibri" w:hAnsi="Calibri" w:cs="Times New Roman"/>
          <w:sz w:val="24"/>
          <w:szCs w:val="24"/>
        </w:rPr>
        <w:t>Majetok a záväzky vyjadrené v cudzej mene sa ku dňu uskutočnenia účtovného prípadu prepočítavajú a menu euro referenčným výmenným kurzom určeným a vyhláseným Európskou centrálnou bankou alebo Národnou bankou Slovenskej republiky v deň predchádzajúci dňu uskutočnenia účtovného prípadu.</w:t>
      </w:r>
    </w:p>
    <w:p w14:paraId="5CC38934"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r w:rsidRPr="00114A9E">
        <w:rPr>
          <w:rFonts w:ascii="Calibri" w:eastAsia="Calibri" w:hAnsi="Calibri" w:cs="Times New Roman"/>
          <w:sz w:val="24"/>
          <w:szCs w:val="24"/>
        </w:rPr>
        <w:t>Majetok a záväzky vyjadrené v cudzej mene (okrem prijatých a poskytnutých preddavkov)sa ku dňu, ku ktorému sa zostavuje účtovná závierka, prepočítavajú na menu euro referenčným výmenným kurzom určeným a vyhláseným Európskou centrálnou bankou alebo Národnou bankou Slovenska v deň, ku ktorému sa zostavuje účtovná závierka a účtujú sa vplyvom na výsledok hospodárenia.</w:t>
      </w:r>
    </w:p>
    <w:p w14:paraId="547382D4"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r w:rsidRPr="00114A9E">
        <w:rPr>
          <w:rFonts w:ascii="Calibri" w:eastAsia="Calibri" w:hAnsi="Calibri" w:cs="Times New Roman"/>
          <w:sz w:val="24"/>
          <w:szCs w:val="24"/>
        </w:rPr>
        <w:t xml:space="preserve">Prijaté a poskytnuté preddavky v cudzej mene sa prepočítavajú a menu euro referenčným výmenným kurzom určeným a vyhláseným Európskou centrálnou bankou alebo Národnou </w:t>
      </w:r>
    </w:p>
    <w:p w14:paraId="6E6EF147"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p>
    <w:p w14:paraId="312B3112"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r w:rsidRPr="00114A9E">
        <w:rPr>
          <w:rFonts w:ascii="Calibri" w:eastAsia="Calibri" w:hAnsi="Calibri" w:cs="Times New Roman"/>
          <w:sz w:val="24"/>
          <w:szCs w:val="24"/>
        </w:rPr>
        <w:t>bankou Slovenska v deň predchádzajúci dňu uskutočnenia účtovného prípadu. Ku dňu,ku ktorému sa zostavuje účtovná závierka sa na menu euro neprepočítavajú.</w:t>
      </w:r>
    </w:p>
    <w:p w14:paraId="6106582D" w14:textId="77777777" w:rsidR="00114A9E" w:rsidRPr="00114A9E" w:rsidRDefault="00114A9E" w:rsidP="00114A9E">
      <w:pPr>
        <w:tabs>
          <w:tab w:val="left" w:pos="1365"/>
        </w:tabs>
        <w:spacing w:after="200" w:line="276" w:lineRule="auto"/>
        <w:rPr>
          <w:rFonts w:ascii="Calibri" w:eastAsia="Calibri" w:hAnsi="Calibri" w:cs="Times New Roman"/>
          <w:b/>
          <w:sz w:val="24"/>
          <w:szCs w:val="24"/>
        </w:rPr>
      </w:pPr>
      <w:r w:rsidRPr="00114A9E">
        <w:rPr>
          <w:rFonts w:ascii="Calibri" w:eastAsia="Calibri" w:hAnsi="Calibri" w:cs="Times New Roman"/>
          <w:b/>
          <w:sz w:val="24"/>
          <w:szCs w:val="24"/>
        </w:rPr>
        <w:t xml:space="preserve">Výnosy </w:t>
      </w:r>
    </w:p>
    <w:p w14:paraId="4B71B1FB"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r w:rsidRPr="00114A9E">
        <w:rPr>
          <w:rFonts w:ascii="Calibri" w:eastAsia="Calibri" w:hAnsi="Calibri" w:cs="Times New Roman"/>
          <w:sz w:val="24"/>
          <w:szCs w:val="24"/>
        </w:rPr>
        <w:t>Tržba za vlastné výkony a tovar neobsahuje daň z pridanej hodnoty. Sú tiež znížené o zľavy a zrážky (rabaty, bonusy, skontá, dobropisy a pod.)bez ohľadu na to, či zákazník mal vopred nárok, alebo či ide o dodatočne uznanú zľavu.</w:t>
      </w:r>
    </w:p>
    <w:p w14:paraId="63C5B8C8" w14:textId="77777777" w:rsidR="00114A9E" w:rsidRPr="00114A9E" w:rsidRDefault="00114A9E" w:rsidP="00114A9E">
      <w:pPr>
        <w:tabs>
          <w:tab w:val="left" w:pos="1365"/>
        </w:tabs>
        <w:spacing w:after="200" w:line="276" w:lineRule="auto"/>
        <w:rPr>
          <w:rFonts w:ascii="Calibri" w:eastAsia="Calibri" w:hAnsi="Calibri" w:cs="Times New Roman"/>
          <w:b/>
          <w:sz w:val="24"/>
          <w:szCs w:val="24"/>
        </w:rPr>
      </w:pPr>
      <w:r w:rsidRPr="00114A9E">
        <w:rPr>
          <w:rFonts w:ascii="Calibri" w:eastAsia="Calibri" w:hAnsi="Calibri" w:cs="Times New Roman"/>
          <w:b/>
          <w:sz w:val="24"/>
          <w:szCs w:val="24"/>
        </w:rPr>
        <w:lastRenderedPageBreak/>
        <w:t>Oprava chýb minulých účtovných období</w:t>
      </w:r>
    </w:p>
    <w:p w14:paraId="334EBF40" w14:textId="25990ECD" w:rsidR="00114A9E" w:rsidRPr="00114A9E" w:rsidRDefault="00F90D50" w:rsidP="00114A9E">
      <w:pPr>
        <w:tabs>
          <w:tab w:val="left" w:pos="1365"/>
        </w:tabs>
        <w:spacing w:after="200" w:line="276" w:lineRule="auto"/>
        <w:rPr>
          <w:rFonts w:ascii="Calibri" w:eastAsia="Calibri" w:hAnsi="Calibri" w:cs="Times New Roman"/>
          <w:sz w:val="24"/>
          <w:szCs w:val="24"/>
        </w:rPr>
      </w:pPr>
      <w:r>
        <w:rPr>
          <w:rFonts w:ascii="Calibri" w:eastAsia="Calibri" w:hAnsi="Calibri" w:cs="Times New Roman"/>
          <w:sz w:val="24"/>
          <w:szCs w:val="24"/>
        </w:rPr>
        <w:t>V roku 201</w:t>
      </w:r>
      <w:r w:rsidR="00CE29C7">
        <w:rPr>
          <w:rFonts w:ascii="Calibri" w:eastAsia="Calibri" w:hAnsi="Calibri" w:cs="Times New Roman"/>
          <w:sz w:val="24"/>
          <w:szCs w:val="24"/>
        </w:rPr>
        <w:t>9</w:t>
      </w:r>
      <w:r w:rsidR="00114A9E" w:rsidRPr="00114A9E">
        <w:rPr>
          <w:rFonts w:ascii="Calibri" w:eastAsia="Calibri" w:hAnsi="Calibri" w:cs="Times New Roman"/>
          <w:sz w:val="24"/>
          <w:szCs w:val="24"/>
        </w:rPr>
        <w:t xml:space="preserve"> spoločnosť neúčtovala o oprave chýb minulých účtovných období.</w:t>
      </w:r>
    </w:p>
    <w:p w14:paraId="6F0BD7FC"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r w:rsidRPr="00114A9E">
        <w:rPr>
          <w:rFonts w:ascii="Calibri" w:eastAsia="Calibri" w:hAnsi="Calibri" w:cs="Times New Roman"/>
          <w:sz w:val="24"/>
          <w:szCs w:val="24"/>
        </w:rPr>
        <w:t xml:space="preserve"> </w:t>
      </w:r>
    </w:p>
    <w:p w14:paraId="3469C14E" w14:textId="77777777" w:rsidR="00114A9E" w:rsidRPr="00114A9E" w:rsidRDefault="00114A9E" w:rsidP="00114A9E">
      <w:pPr>
        <w:numPr>
          <w:ilvl w:val="0"/>
          <w:numId w:val="1"/>
        </w:numPr>
        <w:tabs>
          <w:tab w:val="left" w:pos="1365"/>
        </w:tabs>
        <w:spacing w:after="200" w:line="276" w:lineRule="auto"/>
        <w:contextualSpacing/>
        <w:rPr>
          <w:rFonts w:ascii="Calibri" w:eastAsia="Calibri" w:hAnsi="Calibri" w:cs="Times New Roman"/>
          <w:b/>
          <w:sz w:val="28"/>
          <w:szCs w:val="28"/>
        </w:rPr>
      </w:pPr>
      <w:r w:rsidRPr="00114A9E">
        <w:rPr>
          <w:rFonts w:ascii="Calibri" w:eastAsia="Calibri" w:hAnsi="Calibri" w:cs="Times New Roman"/>
          <w:b/>
          <w:sz w:val="28"/>
          <w:szCs w:val="28"/>
        </w:rPr>
        <w:t>Informácie k položkám úvahy z výkazu ziskov a strát</w:t>
      </w:r>
    </w:p>
    <w:p w14:paraId="58299065" w14:textId="77777777" w:rsidR="00114A9E" w:rsidRPr="00114A9E" w:rsidRDefault="00114A9E" w:rsidP="00114A9E">
      <w:pPr>
        <w:tabs>
          <w:tab w:val="left" w:pos="1365"/>
        </w:tabs>
        <w:spacing w:after="200" w:line="276" w:lineRule="auto"/>
        <w:ind w:left="644"/>
        <w:contextualSpacing/>
        <w:rPr>
          <w:rFonts w:ascii="Calibri" w:eastAsia="Calibri" w:hAnsi="Calibri" w:cs="Times New Roman"/>
          <w:b/>
          <w:sz w:val="28"/>
          <w:szCs w:val="28"/>
        </w:rPr>
      </w:pPr>
    </w:p>
    <w:p w14:paraId="4D956256" w14:textId="77777777" w:rsidR="00114A9E" w:rsidRPr="00114A9E" w:rsidRDefault="00114A9E" w:rsidP="00114A9E">
      <w:pPr>
        <w:tabs>
          <w:tab w:val="left" w:pos="1365"/>
        </w:tabs>
        <w:spacing w:after="200" w:line="276" w:lineRule="auto"/>
        <w:ind w:left="644"/>
        <w:contextualSpacing/>
        <w:rPr>
          <w:rFonts w:ascii="Calibri" w:eastAsia="Calibri" w:hAnsi="Calibri" w:cs="Times New Roman"/>
          <w:b/>
          <w:sz w:val="28"/>
          <w:szCs w:val="28"/>
        </w:rPr>
      </w:pPr>
    </w:p>
    <w:tbl>
      <w:tblPr>
        <w:tblStyle w:val="Mriekatabuky1"/>
        <w:tblW w:w="9923" w:type="dxa"/>
        <w:tblInd w:w="-176" w:type="dxa"/>
        <w:tblLook w:val="04A0" w:firstRow="1" w:lastRow="0" w:firstColumn="1" w:lastColumn="0" w:noHBand="0" w:noVBand="1"/>
      </w:tblPr>
      <w:tblGrid>
        <w:gridCol w:w="3424"/>
        <w:gridCol w:w="2615"/>
        <w:gridCol w:w="3884"/>
      </w:tblGrid>
      <w:tr w:rsidR="00114A9E" w:rsidRPr="00114A9E" w14:paraId="26D7521C" w14:textId="77777777" w:rsidTr="00114A9E">
        <w:tc>
          <w:tcPr>
            <w:tcW w:w="3424" w:type="dxa"/>
            <w:tcBorders>
              <w:top w:val="single" w:sz="4" w:space="0" w:color="auto"/>
              <w:left w:val="single" w:sz="4" w:space="0" w:color="auto"/>
              <w:bottom w:val="nil"/>
              <w:right w:val="single" w:sz="4" w:space="0" w:color="auto"/>
            </w:tcBorders>
            <w:shd w:val="clear" w:color="auto" w:fill="FDE9D9"/>
          </w:tcPr>
          <w:p w14:paraId="76EA4971" w14:textId="77777777" w:rsidR="00114A9E" w:rsidRPr="00114A9E" w:rsidRDefault="00114A9E" w:rsidP="00114A9E">
            <w:pPr>
              <w:tabs>
                <w:tab w:val="left" w:pos="1365"/>
              </w:tabs>
              <w:contextualSpacing/>
              <w:rPr>
                <w:rFonts w:ascii="Calibri" w:eastAsia="Calibri" w:hAnsi="Calibri" w:cs="Times New Roman"/>
                <w:b/>
                <w:sz w:val="28"/>
                <w:szCs w:val="28"/>
              </w:rPr>
            </w:pPr>
            <w:r w:rsidRPr="00114A9E">
              <w:rPr>
                <w:rFonts w:ascii="Calibri" w:eastAsia="Calibri" w:hAnsi="Calibri" w:cs="Times New Roman"/>
                <w:b/>
                <w:sz w:val="28"/>
                <w:szCs w:val="28"/>
              </w:rPr>
              <w:t xml:space="preserve">      Názov položky</w:t>
            </w:r>
          </w:p>
        </w:tc>
        <w:tc>
          <w:tcPr>
            <w:tcW w:w="2615" w:type="dxa"/>
            <w:tcBorders>
              <w:top w:val="single" w:sz="4" w:space="0" w:color="auto"/>
              <w:left w:val="single" w:sz="4" w:space="0" w:color="auto"/>
              <w:bottom w:val="nil"/>
              <w:right w:val="single" w:sz="4" w:space="0" w:color="auto"/>
            </w:tcBorders>
            <w:shd w:val="clear" w:color="auto" w:fill="FDE9D9"/>
          </w:tcPr>
          <w:p w14:paraId="151069D7" w14:textId="77777777" w:rsidR="00114A9E" w:rsidRPr="00114A9E" w:rsidRDefault="00114A9E" w:rsidP="00114A9E">
            <w:pPr>
              <w:tabs>
                <w:tab w:val="left" w:pos="1365"/>
              </w:tabs>
              <w:contextualSpacing/>
              <w:rPr>
                <w:rFonts w:ascii="Calibri" w:eastAsia="Calibri" w:hAnsi="Calibri" w:cs="Times New Roman"/>
                <w:b/>
                <w:sz w:val="28"/>
                <w:szCs w:val="28"/>
              </w:rPr>
            </w:pPr>
            <w:r w:rsidRPr="00114A9E">
              <w:rPr>
                <w:rFonts w:ascii="Calibri" w:eastAsia="Calibri" w:hAnsi="Calibri" w:cs="Times New Roman"/>
                <w:b/>
                <w:sz w:val="28"/>
                <w:szCs w:val="28"/>
              </w:rPr>
              <w:t xml:space="preserve">     Bežné účtovné </w:t>
            </w:r>
          </w:p>
        </w:tc>
        <w:tc>
          <w:tcPr>
            <w:tcW w:w="3884" w:type="dxa"/>
            <w:tcBorders>
              <w:top w:val="single" w:sz="4" w:space="0" w:color="auto"/>
              <w:left w:val="single" w:sz="4" w:space="0" w:color="auto"/>
              <w:bottom w:val="nil"/>
              <w:right w:val="single" w:sz="4" w:space="0" w:color="auto"/>
            </w:tcBorders>
            <w:shd w:val="clear" w:color="auto" w:fill="FDE9D9"/>
          </w:tcPr>
          <w:p w14:paraId="31B92543" w14:textId="77777777" w:rsidR="00114A9E" w:rsidRPr="00114A9E" w:rsidRDefault="00114A9E" w:rsidP="00114A9E">
            <w:pPr>
              <w:tabs>
                <w:tab w:val="left" w:pos="1365"/>
              </w:tabs>
              <w:contextualSpacing/>
              <w:rPr>
                <w:rFonts w:ascii="Calibri" w:eastAsia="Calibri" w:hAnsi="Calibri" w:cs="Times New Roman"/>
                <w:b/>
                <w:sz w:val="28"/>
                <w:szCs w:val="28"/>
              </w:rPr>
            </w:pPr>
            <w:r w:rsidRPr="00114A9E">
              <w:rPr>
                <w:rFonts w:ascii="Calibri" w:eastAsia="Calibri" w:hAnsi="Calibri" w:cs="Times New Roman"/>
                <w:b/>
                <w:sz w:val="28"/>
                <w:szCs w:val="28"/>
              </w:rPr>
              <w:t xml:space="preserve">Bezprostredne predchádzajúce </w:t>
            </w:r>
          </w:p>
        </w:tc>
      </w:tr>
      <w:tr w:rsidR="00114A9E" w:rsidRPr="00114A9E" w14:paraId="7663DD1F" w14:textId="77777777" w:rsidTr="00114A9E">
        <w:tc>
          <w:tcPr>
            <w:tcW w:w="3424" w:type="dxa"/>
            <w:tcBorders>
              <w:top w:val="nil"/>
              <w:left w:val="single" w:sz="4" w:space="0" w:color="auto"/>
              <w:bottom w:val="single" w:sz="4" w:space="0" w:color="auto"/>
              <w:right w:val="single" w:sz="4" w:space="0" w:color="auto"/>
            </w:tcBorders>
            <w:shd w:val="clear" w:color="auto" w:fill="FDE9D9"/>
          </w:tcPr>
          <w:p w14:paraId="2D75BCB0" w14:textId="77777777" w:rsidR="00114A9E" w:rsidRPr="00114A9E" w:rsidRDefault="00114A9E" w:rsidP="00114A9E">
            <w:pPr>
              <w:tabs>
                <w:tab w:val="left" w:pos="1365"/>
              </w:tabs>
              <w:contextualSpacing/>
              <w:rPr>
                <w:rFonts w:ascii="Calibri" w:eastAsia="Calibri" w:hAnsi="Calibri" w:cs="Times New Roman"/>
                <w:b/>
                <w:sz w:val="28"/>
                <w:szCs w:val="28"/>
              </w:rPr>
            </w:pPr>
          </w:p>
        </w:tc>
        <w:tc>
          <w:tcPr>
            <w:tcW w:w="2615" w:type="dxa"/>
            <w:tcBorders>
              <w:top w:val="nil"/>
              <w:left w:val="single" w:sz="4" w:space="0" w:color="auto"/>
              <w:bottom w:val="single" w:sz="4" w:space="0" w:color="auto"/>
              <w:right w:val="single" w:sz="4" w:space="0" w:color="auto"/>
            </w:tcBorders>
            <w:shd w:val="clear" w:color="auto" w:fill="FDE9D9"/>
          </w:tcPr>
          <w:p w14:paraId="18D46E7A" w14:textId="77777777" w:rsidR="00114A9E" w:rsidRPr="00114A9E" w:rsidRDefault="00114A9E" w:rsidP="00114A9E">
            <w:pPr>
              <w:tabs>
                <w:tab w:val="left" w:pos="1365"/>
              </w:tabs>
              <w:contextualSpacing/>
              <w:rPr>
                <w:rFonts w:ascii="Calibri" w:eastAsia="Calibri" w:hAnsi="Calibri" w:cs="Times New Roman"/>
                <w:b/>
                <w:sz w:val="28"/>
                <w:szCs w:val="28"/>
              </w:rPr>
            </w:pPr>
            <w:r w:rsidRPr="00114A9E">
              <w:rPr>
                <w:rFonts w:ascii="Calibri" w:eastAsia="Calibri" w:hAnsi="Calibri" w:cs="Times New Roman"/>
                <w:b/>
                <w:sz w:val="28"/>
                <w:szCs w:val="28"/>
              </w:rPr>
              <w:t xml:space="preserve">           obdobie</w:t>
            </w:r>
          </w:p>
        </w:tc>
        <w:tc>
          <w:tcPr>
            <w:tcW w:w="3884" w:type="dxa"/>
            <w:tcBorders>
              <w:top w:val="nil"/>
              <w:left w:val="single" w:sz="4" w:space="0" w:color="auto"/>
              <w:bottom w:val="single" w:sz="4" w:space="0" w:color="auto"/>
              <w:right w:val="single" w:sz="4" w:space="0" w:color="auto"/>
            </w:tcBorders>
            <w:shd w:val="clear" w:color="auto" w:fill="FDE9D9"/>
          </w:tcPr>
          <w:p w14:paraId="289EFD30" w14:textId="77777777" w:rsidR="00114A9E" w:rsidRPr="00114A9E" w:rsidRDefault="00114A9E" w:rsidP="00114A9E">
            <w:pPr>
              <w:tabs>
                <w:tab w:val="left" w:pos="1365"/>
              </w:tabs>
              <w:contextualSpacing/>
              <w:rPr>
                <w:rFonts w:ascii="Calibri" w:eastAsia="Calibri" w:hAnsi="Calibri" w:cs="Times New Roman"/>
                <w:b/>
                <w:sz w:val="28"/>
                <w:szCs w:val="28"/>
              </w:rPr>
            </w:pPr>
            <w:r w:rsidRPr="00114A9E">
              <w:rPr>
                <w:rFonts w:ascii="Calibri" w:eastAsia="Calibri" w:hAnsi="Calibri" w:cs="Times New Roman"/>
                <w:b/>
                <w:sz w:val="28"/>
                <w:szCs w:val="28"/>
              </w:rPr>
              <w:t xml:space="preserve">            účtovné obdobie</w:t>
            </w:r>
          </w:p>
        </w:tc>
      </w:tr>
      <w:tr w:rsidR="00114A9E" w:rsidRPr="00114A9E" w14:paraId="41BCA268" w14:textId="77777777" w:rsidTr="002D2998">
        <w:tc>
          <w:tcPr>
            <w:tcW w:w="3424" w:type="dxa"/>
            <w:tcBorders>
              <w:top w:val="single" w:sz="4" w:space="0" w:color="auto"/>
              <w:bottom w:val="single" w:sz="4" w:space="0" w:color="auto"/>
            </w:tcBorders>
          </w:tcPr>
          <w:p w14:paraId="7026E16D" w14:textId="77777777" w:rsidR="00114A9E" w:rsidRPr="00114A9E" w:rsidRDefault="00114A9E" w:rsidP="00114A9E">
            <w:pPr>
              <w:tabs>
                <w:tab w:val="left" w:pos="1365"/>
              </w:tabs>
              <w:contextualSpacing/>
              <w:rPr>
                <w:rFonts w:ascii="Calibri" w:eastAsia="Calibri" w:hAnsi="Calibri" w:cs="Times New Roman"/>
                <w:sz w:val="24"/>
                <w:szCs w:val="24"/>
              </w:rPr>
            </w:pPr>
            <w:r w:rsidRPr="00114A9E">
              <w:rPr>
                <w:rFonts w:ascii="Calibri" w:eastAsia="Calibri" w:hAnsi="Calibri" w:cs="Times New Roman"/>
                <w:sz w:val="24"/>
                <w:szCs w:val="24"/>
              </w:rPr>
              <w:t>Záväzky po lehote splatnosti</w:t>
            </w:r>
          </w:p>
        </w:tc>
        <w:tc>
          <w:tcPr>
            <w:tcW w:w="2615" w:type="dxa"/>
            <w:tcBorders>
              <w:top w:val="single" w:sz="4" w:space="0" w:color="auto"/>
              <w:bottom w:val="single" w:sz="4" w:space="0" w:color="auto"/>
            </w:tcBorders>
          </w:tcPr>
          <w:p w14:paraId="1EA2F37B" w14:textId="77777777" w:rsidR="00114A9E" w:rsidRPr="00114A9E" w:rsidRDefault="00F90D50" w:rsidP="00114A9E">
            <w:pPr>
              <w:tabs>
                <w:tab w:val="left" w:pos="1365"/>
              </w:tabs>
              <w:contextualSpacing/>
              <w:rPr>
                <w:rFonts w:ascii="Calibri" w:eastAsia="Calibri" w:hAnsi="Calibri" w:cs="Times New Roman"/>
                <w:b/>
                <w:sz w:val="28"/>
                <w:szCs w:val="28"/>
              </w:rPr>
            </w:pPr>
            <w:r>
              <w:rPr>
                <w:rFonts w:ascii="Calibri" w:eastAsia="Calibri" w:hAnsi="Calibri" w:cs="Times New Roman"/>
                <w:b/>
                <w:sz w:val="28"/>
                <w:szCs w:val="28"/>
              </w:rPr>
              <w:t>528,46</w:t>
            </w:r>
          </w:p>
        </w:tc>
        <w:tc>
          <w:tcPr>
            <w:tcW w:w="3884" w:type="dxa"/>
            <w:tcBorders>
              <w:top w:val="single" w:sz="4" w:space="0" w:color="auto"/>
              <w:bottom w:val="single" w:sz="4" w:space="0" w:color="auto"/>
            </w:tcBorders>
          </w:tcPr>
          <w:p w14:paraId="6C638A46" w14:textId="7377EA08" w:rsidR="00114A9E" w:rsidRPr="00114A9E" w:rsidRDefault="006B009F" w:rsidP="00114A9E">
            <w:pPr>
              <w:tabs>
                <w:tab w:val="left" w:pos="1365"/>
              </w:tabs>
              <w:contextualSpacing/>
              <w:rPr>
                <w:rFonts w:ascii="Calibri" w:eastAsia="Calibri" w:hAnsi="Calibri" w:cs="Times New Roman"/>
                <w:b/>
                <w:sz w:val="28"/>
                <w:szCs w:val="28"/>
              </w:rPr>
            </w:pPr>
            <w:r>
              <w:rPr>
                <w:rFonts w:ascii="Calibri" w:eastAsia="Calibri" w:hAnsi="Calibri" w:cs="Times New Roman"/>
                <w:b/>
                <w:sz w:val="28"/>
                <w:szCs w:val="28"/>
              </w:rPr>
              <w:t>528,46</w:t>
            </w:r>
          </w:p>
        </w:tc>
      </w:tr>
      <w:tr w:rsidR="00114A9E" w:rsidRPr="00114A9E" w14:paraId="1A11B05A" w14:textId="77777777" w:rsidTr="002D2998">
        <w:tc>
          <w:tcPr>
            <w:tcW w:w="3424" w:type="dxa"/>
            <w:tcBorders>
              <w:top w:val="single" w:sz="4" w:space="0" w:color="auto"/>
              <w:left w:val="single" w:sz="4" w:space="0" w:color="auto"/>
              <w:bottom w:val="nil"/>
              <w:right w:val="single" w:sz="4" w:space="0" w:color="auto"/>
            </w:tcBorders>
          </w:tcPr>
          <w:p w14:paraId="7CAF36BC" w14:textId="77777777" w:rsidR="00114A9E" w:rsidRPr="00114A9E" w:rsidRDefault="00114A9E" w:rsidP="00114A9E">
            <w:pPr>
              <w:tabs>
                <w:tab w:val="left" w:pos="1365"/>
              </w:tabs>
              <w:contextualSpacing/>
              <w:rPr>
                <w:rFonts w:ascii="Calibri" w:eastAsia="Calibri" w:hAnsi="Calibri" w:cs="Times New Roman"/>
                <w:sz w:val="24"/>
                <w:szCs w:val="24"/>
              </w:rPr>
            </w:pPr>
            <w:r w:rsidRPr="00114A9E">
              <w:rPr>
                <w:rFonts w:ascii="Calibri" w:eastAsia="Calibri" w:hAnsi="Calibri" w:cs="Times New Roman"/>
                <w:sz w:val="24"/>
                <w:szCs w:val="24"/>
              </w:rPr>
              <w:t>Záväzky so zostatkovou dobou splatnosti do jedného roka vrátane</w:t>
            </w:r>
          </w:p>
        </w:tc>
        <w:tc>
          <w:tcPr>
            <w:tcW w:w="2615" w:type="dxa"/>
            <w:tcBorders>
              <w:top w:val="single" w:sz="4" w:space="0" w:color="auto"/>
              <w:left w:val="single" w:sz="4" w:space="0" w:color="auto"/>
              <w:bottom w:val="nil"/>
              <w:right w:val="single" w:sz="4" w:space="0" w:color="auto"/>
            </w:tcBorders>
          </w:tcPr>
          <w:p w14:paraId="68D3CB06" w14:textId="6BD2FC9E" w:rsidR="00114A9E" w:rsidRPr="00114A9E" w:rsidRDefault="00660173" w:rsidP="00114A9E">
            <w:pPr>
              <w:tabs>
                <w:tab w:val="left" w:pos="1365"/>
              </w:tabs>
              <w:contextualSpacing/>
              <w:rPr>
                <w:rFonts w:ascii="Calibri" w:eastAsia="Calibri" w:hAnsi="Calibri" w:cs="Times New Roman"/>
                <w:b/>
                <w:sz w:val="28"/>
                <w:szCs w:val="28"/>
              </w:rPr>
            </w:pPr>
            <w:r>
              <w:rPr>
                <w:rFonts w:ascii="Calibri" w:eastAsia="Calibri" w:hAnsi="Calibri" w:cs="Times New Roman"/>
                <w:b/>
                <w:sz w:val="28"/>
                <w:szCs w:val="28"/>
              </w:rPr>
              <w:t>7235,41</w:t>
            </w:r>
          </w:p>
        </w:tc>
        <w:tc>
          <w:tcPr>
            <w:tcW w:w="3884" w:type="dxa"/>
            <w:tcBorders>
              <w:top w:val="single" w:sz="4" w:space="0" w:color="auto"/>
              <w:left w:val="single" w:sz="4" w:space="0" w:color="auto"/>
              <w:bottom w:val="nil"/>
              <w:right w:val="single" w:sz="4" w:space="0" w:color="auto"/>
            </w:tcBorders>
          </w:tcPr>
          <w:p w14:paraId="2020816B" w14:textId="08B6FDC7" w:rsidR="00114A9E" w:rsidRPr="00114A9E" w:rsidRDefault="006B009F" w:rsidP="00114A9E">
            <w:pPr>
              <w:tabs>
                <w:tab w:val="left" w:pos="1365"/>
              </w:tabs>
              <w:contextualSpacing/>
              <w:rPr>
                <w:rFonts w:ascii="Calibri" w:eastAsia="Calibri" w:hAnsi="Calibri" w:cs="Times New Roman"/>
                <w:b/>
                <w:sz w:val="28"/>
                <w:szCs w:val="28"/>
              </w:rPr>
            </w:pPr>
            <w:r>
              <w:rPr>
                <w:rFonts w:ascii="Calibri" w:eastAsia="Calibri" w:hAnsi="Calibri" w:cs="Times New Roman"/>
                <w:b/>
                <w:sz w:val="28"/>
                <w:szCs w:val="28"/>
              </w:rPr>
              <w:t>16828,46</w:t>
            </w:r>
          </w:p>
        </w:tc>
      </w:tr>
      <w:tr w:rsidR="00114A9E" w:rsidRPr="00114A9E" w14:paraId="1FE795A4" w14:textId="77777777" w:rsidTr="002D2998">
        <w:tc>
          <w:tcPr>
            <w:tcW w:w="3424" w:type="dxa"/>
            <w:tcBorders>
              <w:top w:val="nil"/>
              <w:left w:val="single" w:sz="4" w:space="0" w:color="auto"/>
              <w:bottom w:val="single" w:sz="4" w:space="0" w:color="auto"/>
              <w:right w:val="single" w:sz="4" w:space="0" w:color="auto"/>
            </w:tcBorders>
          </w:tcPr>
          <w:p w14:paraId="33A7354D" w14:textId="77777777" w:rsidR="00114A9E" w:rsidRPr="00114A9E" w:rsidRDefault="00114A9E" w:rsidP="00114A9E">
            <w:pPr>
              <w:tabs>
                <w:tab w:val="left" w:pos="1365"/>
              </w:tabs>
              <w:contextualSpacing/>
              <w:rPr>
                <w:rFonts w:ascii="Calibri" w:eastAsia="Calibri" w:hAnsi="Calibri" w:cs="Times New Roman"/>
                <w:b/>
                <w:sz w:val="28"/>
                <w:szCs w:val="28"/>
              </w:rPr>
            </w:pPr>
          </w:p>
        </w:tc>
        <w:tc>
          <w:tcPr>
            <w:tcW w:w="2615" w:type="dxa"/>
            <w:tcBorders>
              <w:top w:val="nil"/>
              <w:left w:val="single" w:sz="4" w:space="0" w:color="auto"/>
              <w:bottom w:val="single" w:sz="4" w:space="0" w:color="auto"/>
              <w:right w:val="single" w:sz="4" w:space="0" w:color="auto"/>
            </w:tcBorders>
          </w:tcPr>
          <w:p w14:paraId="30B4A530" w14:textId="77777777" w:rsidR="00114A9E" w:rsidRPr="00114A9E" w:rsidRDefault="00114A9E" w:rsidP="00114A9E">
            <w:pPr>
              <w:tabs>
                <w:tab w:val="left" w:pos="1365"/>
              </w:tabs>
              <w:contextualSpacing/>
              <w:rPr>
                <w:rFonts w:ascii="Calibri" w:eastAsia="Calibri" w:hAnsi="Calibri" w:cs="Times New Roman"/>
                <w:b/>
                <w:sz w:val="28"/>
                <w:szCs w:val="28"/>
              </w:rPr>
            </w:pPr>
          </w:p>
        </w:tc>
        <w:tc>
          <w:tcPr>
            <w:tcW w:w="3884" w:type="dxa"/>
            <w:tcBorders>
              <w:top w:val="nil"/>
              <w:left w:val="single" w:sz="4" w:space="0" w:color="auto"/>
              <w:bottom w:val="single" w:sz="4" w:space="0" w:color="auto"/>
              <w:right w:val="single" w:sz="4" w:space="0" w:color="auto"/>
            </w:tcBorders>
          </w:tcPr>
          <w:p w14:paraId="1D31F097" w14:textId="77777777" w:rsidR="00114A9E" w:rsidRPr="00114A9E" w:rsidRDefault="00114A9E" w:rsidP="00114A9E">
            <w:pPr>
              <w:tabs>
                <w:tab w:val="left" w:pos="1365"/>
              </w:tabs>
              <w:contextualSpacing/>
              <w:rPr>
                <w:rFonts w:ascii="Calibri" w:eastAsia="Calibri" w:hAnsi="Calibri" w:cs="Times New Roman"/>
                <w:b/>
                <w:sz w:val="28"/>
                <w:szCs w:val="28"/>
              </w:rPr>
            </w:pPr>
          </w:p>
        </w:tc>
      </w:tr>
      <w:tr w:rsidR="00114A9E" w:rsidRPr="00114A9E" w14:paraId="7AD7E154" w14:textId="77777777" w:rsidTr="002D2998">
        <w:tc>
          <w:tcPr>
            <w:tcW w:w="3424" w:type="dxa"/>
            <w:tcBorders>
              <w:top w:val="single" w:sz="4" w:space="0" w:color="auto"/>
              <w:bottom w:val="single" w:sz="4" w:space="0" w:color="auto"/>
            </w:tcBorders>
          </w:tcPr>
          <w:p w14:paraId="126484AE" w14:textId="77777777" w:rsidR="00114A9E" w:rsidRPr="00114A9E" w:rsidRDefault="00114A9E" w:rsidP="00114A9E">
            <w:pPr>
              <w:tabs>
                <w:tab w:val="left" w:pos="1365"/>
              </w:tabs>
              <w:contextualSpacing/>
              <w:rPr>
                <w:rFonts w:ascii="Calibri" w:eastAsia="Calibri" w:hAnsi="Calibri" w:cs="Times New Roman"/>
                <w:b/>
                <w:sz w:val="24"/>
                <w:szCs w:val="24"/>
              </w:rPr>
            </w:pPr>
            <w:r w:rsidRPr="00114A9E">
              <w:rPr>
                <w:rFonts w:ascii="Calibri" w:eastAsia="Calibri" w:hAnsi="Calibri" w:cs="Times New Roman"/>
                <w:b/>
                <w:sz w:val="24"/>
                <w:szCs w:val="24"/>
              </w:rPr>
              <w:t>Krátkodobé záväzky spolu</w:t>
            </w:r>
          </w:p>
        </w:tc>
        <w:tc>
          <w:tcPr>
            <w:tcW w:w="2615" w:type="dxa"/>
            <w:tcBorders>
              <w:top w:val="single" w:sz="4" w:space="0" w:color="auto"/>
              <w:bottom w:val="single" w:sz="4" w:space="0" w:color="auto"/>
            </w:tcBorders>
          </w:tcPr>
          <w:p w14:paraId="3542C15B" w14:textId="09749295" w:rsidR="00114A9E" w:rsidRPr="00114A9E" w:rsidRDefault="00B22870" w:rsidP="00114A9E">
            <w:pPr>
              <w:tabs>
                <w:tab w:val="left" w:pos="1365"/>
              </w:tabs>
              <w:contextualSpacing/>
              <w:rPr>
                <w:rFonts w:ascii="Calibri" w:eastAsia="Calibri" w:hAnsi="Calibri" w:cs="Times New Roman"/>
                <w:b/>
                <w:sz w:val="28"/>
                <w:szCs w:val="28"/>
              </w:rPr>
            </w:pPr>
            <w:r>
              <w:rPr>
                <w:rFonts w:ascii="Calibri" w:eastAsia="Calibri" w:hAnsi="Calibri" w:cs="Times New Roman"/>
                <w:b/>
                <w:sz w:val="28"/>
                <w:szCs w:val="28"/>
              </w:rPr>
              <w:t>7763,87</w:t>
            </w:r>
          </w:p>
        </w:tc>
        <w:tc>
          <w:tcPr>
            <w:tcW w:w="3884" w:type="dxa"/>
            <w:tcBorders>
              <w:top w:val="single" w:sz="4" w:space="0" w:color="auto"/>
              <w:bottom w:val="single" w:sz="4" w:space="0" w:color="auto"/>
            </w:tcBorders>
          </w:tcPr>
          <w:p w14:paraId="5D009819" w14:textId="0204DDC9" w:rsidR="00114A9E" w:rsidRPr="00114A9E" w:rsidRDefault="006B009F" w:rsidP="00114A9E">
            <w:pPr>
              <w:tabs>
                <w:tab w:val="left" w:pos="1365"/>
              </w:tabs>
              <w:contextualSpacing/>
              <w:rPr>
                <w:rFonts w:ascii="Calibri" w:eastAsia="Calibri" w:hAnsi="Calibri" w:cs="Times New Roman"/>
                <w:b/>
                <w:sz w:val="28"/>
                <w:szCs w:val="28"/>
              </w:rPr>
            </w:pPr>
            <w:r>
              <w:rPr>
                <w:rFonts w:ascii="Calibri" w:eastAsia="Calibri" w:hAnsi="Calibri" w:cs="Times New Roman"/>
                <w:b/>
                <w:sz w:val="28"/>
                <w:szCs w:val="28"/>
              </w:rPr>
              <w:t>17356,92</w:t>
            </w:r>
          </w:p>
        </w:tc>
      </w:tr>
      <w:tr w:rsidR="00114A9E" w:rsidRPr="00114A9E" w14:paraId="0CF37B13" w14:textId="77777777" w:rsidTr="002D2998">
        <w:tc>
          <w:tcPr>
            <w:tcW w:w="3424" w:type="dxa"/>
            <w:tcBorders>
              <w:top w:val="single" w:sz="4" w:space="0" w:color="auto"/>
              <w:left w:val="single" w:sz="4" w:space="0" w:color="auto"/>
              <w:bottom w:val="nil"/>
              <w:right w:val="single" w:sz="4" w:space="0" w:color="auto"/>
            </w:tcBorders>
          </w:tcPr>
          <w:p w14:paraId="46EC4315" w14:textId="77777777" w:rsidR="00114A9E" w:rsidRPr="00114A9E" w:rsidRDefault="00114A9E" w:rsidP="00114A9E">
            <w:pPr>
              <w:tabs>
                <w:tab w:val="left" w:pos="1365"/>
              </w:tabs>
              <w:contextualSpacing/>
              <w:rPr>
                <w:rFonts w:ascii="Calibri" w:eastAsia="Calibri" w:hAnsi="Calibri" w:cs="Times New Roman"/>
                <w:sz w:val="24"/>
                <w:szCs w:val="24"/>
              </w:rPr>
            </w:pPr>
            <w:r w:rsidRPr="00114A9E">
              <w:rPr>
                <w:rFonts w:ascii="Calibri" w:eastAsia="Calibri" w:hAnsi="Calibri" w:cs="Times New Roman"/>
                <w:sz w:val="24"/>
                <w:szCs w:val="24"/>
              </w:rPr>
              <w:t xml:space="preserve">Záväzky so zostatkovou dobou splatnosti jeden rok až päť </w:t>
            </w:r>
          </w:p>
        </w:tc>
        <w:tc>
          <w:tcPr>
            <w:tcW w:w="2615" w:type="dxa"/>
            <w:tcBorders>
              <w:top w:val="single" w:sz="4" w:space="0" w:color="auto"/>
              <w:left w:val="single" w:sz="4" w:space="0" w:color="auto"/>
              <w:bottom w:val="nil"/>
              <w:right w:val="single" w:sz="4" w:space="0" w:color="auto"/>
            </w:tcBorders>
          </w:tcPr>
          <w:p w14:paraId="70D6684C" w14:textId="3DD7F8DA" w:rsidR="00114A9E" w:rsidRPr="00114A9E" w:rsidRDefault="006B009F" w:rsidP="00114A9E">
            <w:pPr>
              <w:tabs>
                <w:tab w:val="left" w:pos="1365"/>
              </w:tabs>
              <w:contextualSpacing/>
              <w:rPr>
                <w:rFonts w:ascii="Calibri" w:eastAsia="Calibri" w:hAnsi="Calibri" w:cs="Times New Roman"/>
                <w:b/>
                <w:sz w:val="28"/>
                <w:szCs w:val="28"/>
              </w:rPr>
            </w:pPr>
            <w:r>
              <w:rPr>
                <w:rFonts w:ascii="Calibri" w:eastAsia="Calibri" w:hAnsi="Calibri" w:cs="Times New Roman"/>
                <w:b/>
                <w:sz w:val="28"/>
                <w:szCs w:val="28"/>
              </w:rPr>
              <w:t>6106,63</w:t>
            </w:r>
          </w:p>
        </w:tc>
        <w:tc>
          <w:tcPr>
            <w:tcW w:w="3884" w:type="dxa"/>
            <w:tcBorders>
              <w:top w:val="single" w:sz="4" w:space="0" w:color="auto"/>
              <w:left w:val="single" w:sz="4" w:space="0" w:color="auto"/>
              <w:bottom w:val="nil"/>
              <w:right w:val="single" w:sz="4" w:space="0" w:color="auto"/>
            </w:tcBorders>
          </w:tcPr>
          <w:p w14:paraId="6C6C2C7C" w14:textId="4B6821EE" w:rsidR="00114A9E" w:rsidRPr="00114A9E" w:rsidRDefault="006B009F" w:rsidP="00114A9E">
            <w:pPr>
              <w:tabs>
                <w:tab w:val="left" w:pos="1365"/>
              </w:tabs>
              <w:contextualSpacing/>
              <w:rPr>
                <w:rFonts w:ascii="Calibri" w:eastAsia="Calibri" w:hAnsi="Calibri" w:cs="Times New Roman"/>
                <w:b/>
                <w:sz w:val="28"/>
                <w:szCs w:val="28"/>
              </w:rPr>
            </w:pPr>
            <w:r>
              <w:rPr>
                <w:rFonts w:ascii="Calibri" w:eastAsia="Calibri" w:hAnsi="Calibri" w:cs="Times New Roman"/>
                <w:b/>
                <w:sz w:val="28"/>
                <w:szCs w:val="28"/>
              </w:rPr>
              <w:t>11716,50</w:t>
            </w:r>
          </w:p>
        </w:tc>
      </w:tr>
      <w:tr w:rsidR="00114A9E" w:rsidRPr="00114A9E" w14:paraId="53F7AEBE" w14:textId="77777777" w:rsidTr="002D2998">
        <w:tc>
          <w:tcPr>
            <w:tcW w:w="3424" w:type="dxa"/>
            <w:tcBorders>
              <w:top w:val="nil"/>
              <w:left w:val="single" w:sz="4" w:space="0" w:color="auto"/>
              <w:bottom w:val="single" w:sz="4" w:space="0" w:color="auto"/>
              <w:right w:val="single" w:sz="4" w:space="0" w:color="auto"/>
            </w:tcBorders>
          </w:tcPr>
          <w:p w14:paraId="73C53C46" w14:textId="77777777" w:rsidR="00114A9E" w:rsidRPr="00114A9E" w:rsidRDefault="00114A9E" w:rsidP="00114A9E">
            <w:pPr>
              <w:tabs>
                <w:tab w:val="left" w:pos="1365"/>
              </w:tabs>
              <w:contextualSpacing/>
              <w:rPr>
                <w:rFonts w:ascii="Calibri" w:eastAsia="Calibri" w:hAnsi="Calibri" w:cs="Times New Roman"/>
                <w:sz w:val="24"/>
                <w:szCs w:val="24"/>
              </w:rPr>
            </w:pPr>
            <w:r w:rsidRPr="00114A9E">
              <w:rPr>
                <w:rFonts w:ascii="Calibri" w:eastAsia="Calibri" w:hAnsi="Calibri" w:cs="Times New Roman"/>
                <w:sz w:val="24"/>
                <w:szCs w:val="24"/>
              </w:rPr>
              <w:t>rokov</w:t>
            </w:r>
          </w:p>
        </w:tc>
        <w:tc>
          <w:tcPr>
            <w:tcW w:w="2615" w:type="dxa"/>
            <w:tcBorders>
              <w:top w:val="nil"/>
              <w:left w:val="single" w:sz="4" w:space="0" w:color="auto"/>
              <w:bottom w:val="single" w:sz="4" w:space="0" w:color="auto"/>
              <w:right w:val="single" w:sz="4" w:space="0" w:color="auto"/>
            </w:tcBorders>
          </w:tcPr>
          <w:p w14:paraId="70A6485B" w14:textId="77777777" w:rsidR="00114A9E" w:rsidRPr="00114A9E" w:rsidRDefault="00114A9E" w:rsidP="00114A9E">
            <w:pPr>
              <w:tabs>
                <w:tab w:val="left" w:pos="1365"/>
              </w:tabs>
              <w:contextualSpacing/>
              <w:rPr>
                <w:rFonts w:ascii="Calibri" w:eastAsia="Calibri" w:hAnsi="Calibri" w:cs="Times New Roman"/>
                <w:b/>
                <w:sz w:val="28"/>
                <w:szCs w:val="28"/>
              </w:rPr>
            </w:pPr>
          </w:p>
        </w:tc>
        <w:tc>
          <w:tcPr>
            <w:tcW w:w="3884" w:type="dxa"/>
            <w:tcBorders>
              <w:top w:val="nil"/>
              <w:left w:val="single" w:sz="4" w:space="0" w:color="auto"/>
              <w:bottom w:val="single" w:sz="4" w:space="0" w:color="auto"/>
              <w:right w:val="single" w:sz="4" w:space="0" w:color="auto"/>
            </w:tcBorders>
          </w:tcPr>
          <w:p w14:paraId="3632BFDF" w14:textId="77777777" w:rsidR="00114A9E" w:rsidRPr="00114A9E" w:rsidRDefault="00114A9E" w:rsidP="00114A9E">
            <w:pPr>
              <w:tabs>
                <w:tab w:val="left" w:pos="1365"/>
              </w:tabs>
              <w:contextualSpacing/>
              <w:rPr>
                <w:rFonts w:ascii="Calibri" w:eastAsia="Calibri" w:hAnsi="Calibri" w:cs="Times New Roman"/>
                <w:b/>
                <w:sz w:val="28"/>
                <w:szCs w:val="28"/>
              </w:rPr>
            </w:pPr>
          </w:p>
        </w:tc>
      </w:tr>
      <w:tr w:rsidR="00114A9E" w:rsidRPr="00114A9E" w14:paraId="0C1A73A0" w14:textId="77777777" w:rsidTr="002D2998">
        <w:tc>
          <w:tcPr>
            <w:tcW w:w="3424" w:type="dxa"/>
            <w:tcBorders>
              <w:top w:val="single" w:sz="4" w:space="0" w:color="auto"/>
              <w:left w:val="single" w:sz="4" w:space="0" w:color="auto"/>
              <w:bottom w:val="nil"/>
              <w:right w:val="single" w:sz="4" w:space="0" w:color="auto"/>
            </w:tcBorders>
          </w:tcPr>
          <w:p w14:paraId="5FF79BF8" w14:textId="77777777" w:rsidR="00114A9E" w:rsidRPr="00114A9E" w:rsidRDefault="00114A9E" w:rsidP="00114A9E">
            <w:pPr>
              <w:tabs>
                <w:tab w:val="left" w:pos="1365"/>
              </w:tabs>
              <w:contextualSpacing/>
              <w:rPr>
                <w:rFonts w:ascii="Calibri" w:eastAsia="Calibri" w:hAnsi="Calibri" w:cs="Times New Roman"/>
                <w:sz w:val="24"/>
                <w:szCs w:val="24"/>
              </w:rPr>
            </w:pPr>
            <w:r w:rsidRPr="00114A9E">
              <w:rPr>
                <w:rFonts w:ascii="Calibri" w:eastAsia="Calibri" w:hAnsi="Calibri" w:cs="Times New Roman"/>
                <w:sz w:val="24"/>
                <w:szCs w:val="24"/>
              </w:rPr>
              <w:t>Záväzky so zostatkovou dobou</w:t>
            </w:r>
          </w:p>
        </w:tc>
        <w:tc>
          <w:tcPr>
            <w:tcW w:w="2615" w:type="dxa"/>
            <w:tcBorders>
              <w:top w:val="single" w:sz="4" w:space="0" w:color="auto"/>
              <w:left w:val="single" w:sz="4" w:space="0" w:color="auto"/>
              <w:bottom w:val="nil"/>
              <w:right w:val="single" w:sz="4" w:space="0" w:color="auto"/>
            </w:tcBorders>
          </w:tcPr>
          <w:p w14:paraId="392756FB" w14:textId="77777777" w:rsidR="00114A9E" w:rsidRPr="00114A9E" w:rsidRDefault="00114A9E" w:rsidP="00114A9E">
            <w:pPr>
              <w:tabs>
                <w:tab w:val="left" w:pos="1365"/>
              </w:tabs>
              <w:contextualSpacing/>
              <w:rPr>
                <w:rFonts w:ascii="Calibri" w:eastAsia="Calibri" w:hAnsi="Calibri" w:cs="Times New Roman"/>
                <w:b/>
                <w:sz w:val="28"/>
                <w:szCs w:val="28"/>
              </w:rPr>
            </w:pPr>
          </w:p>
        </w:tc>
        <w:tc>
          <w:tcPr>
            <w:tcW w:w="3884" w:type="dxa"/>
            <w:tcBorders>
              <w:top w:val="single" w:sz="4" w:space="0" w:color="auto"/>
              <w:left w:val="single" w:sz="4" w:space="0" w:color="auto"/>
              <w:bottom w:val="nil"/>
              <w:right w:val="single" w:sz="4" w:space="0" w:color="auto"/>
            </w:tcBorders>
          </w:tcPr>
          <w:p w14:paraId="3540A583" w14:textId="77777777" w:rsidR="00114A9E" w:rsidRPr="00114A9E" w:rsidRDefault="00114A9E" w:rsidP="00114A9E">
            <w:pPr>
              <w:tabs>
                <w:tab w:val="left" w:pos="1365"/>
              </w:tabs>
              <w:contextualSpacing/>
              <w:rPr>
                <w:rFonts w:ascii="Calibri" w:eastAsia="Calibri" w:hAnsi="Calibri" w:cs="Times New Roman"/>
                <w:b/>
                <w:sz w:val="28"/>
                <w:szCs w:val="28"/>
              </w:rPr>
            </w:pPr>
          </w:p>
        </w:tc>
      </w:tr>
      <w:tr w:rsidR="00114A9E" w:rsidRPr="00114A9E" w14:paraId="349AB9CC" w14:textId="77777777" w:rsidTr="002D2998">
        <w:tc>
          <w:tcPr>
            <w:tcW w:w="3424" w:type="dxa"/>
            <w:tcBorders>
              <w:top w:val="nil"/>
              <w:left w:val="single" w:sz="4" w:space="0" w:color="auto"/>
              <w:bottom w:val="single" w:sz="4" w:space="0" w:color="auto"/>
              <w:right w:val="single" w:sz="4" w:space="0" w:color="auto"/>
            </w:tcBorders>
          </w:tcPr>
          <w:p w14:paraId="6DD27D37" w14:textId="77777777" w:rsidR="00114A9E" w:rsidRPr="00114A9E" w:rsidRDefault="00114A9E" w:rsidP="00114A9E">
            <w:pPr>
              <w:tabs>
                <w:tab w:val="left" w:pos="1365"/>
              </w:tabs>
              <w:contextualSpacing/>
              <w:rPr>
                <w:rFonts w:ascii="Calibri" w:eastAsia="Calibri" w:hAnsi="Calibri" w:cs="Times New Roman"/>
                <w:sz w:val="24"/>
                <w:szCs w:val="24"/>
              </w:rPr>
            </w:pPr>
            <w:r w:rsidRPr="00114A9E">
              <w:rPr>
                <w:rFonts w:ascii="Calibri" w:eastAsia="Calibri" w:hAnsi="Calibri" w:cs="Times New Roman"/>
                <w:sz w:val="24"/>
                <w:szCs w:val="24"/>
              </w:rPr>
              <w:t>splatnosti nad päť rokov</w:t>
            </w:r>
          </w:p>
        </w:tc>
        <w:tc>
          <w:tcPr>
            <w:tcW w:w="2615" w:type="dxa"/>
            <w:tcBorders>
              <w:top w:val="nil"/>
              <w:left w:val="single" w:sz="4" w:space="0" w:color="auto"/>
              <w:bottom w:val="single" w:sz="4" w:space="0" w:color="auto"/>
              <w:right w:val="single" w:sz="4" w:space="0" w:color="auto"/>
            </w:tcBorders>
          </w:tcPr>
          <w:p w14:paraId="3F1A9ABF" w14:textId="77777777" w:rsidR="00114A9E" w:rsidRPr="00114A9E" w:rsidRDefault="00114A9E" w:rsidP="00114A9E">
            <w:pPr>
              <w:tabs>
                <w:tab w:val="left" w:pos="1365"/>
              </w:tabs>
              <w:contextualSpacing/>
              <w:rPr>
                <w:rFonts w:ascii="Calibri" w:eastAsia="Calibri" w:hAnsi="Calibri" w:cs="Times New Roman"/>
                <w:b/>
                <w:sz w:val="28"/>
                <w:szCs w:val="28"/>
              </w:rPr>
            </w:pPr>
          </w:p>
        </w:tc>
        <w:tc>
          <w:tcPr>
            <w:tcW w:w="3884" w:type="dxa"/>
            <w:tcBorders>
              <w:top w:val="nil"/>
              <w:left w:val="single" w:sz="4" w:space="0" w:color="auto"/>
              <w:bottom w:val="single" w:sz="4" w:space="0" w:color="auto"/>
              <w:right w:val="single" w:sz="4" w:space="0" w:color="auto"/>
            </w:tcBorders>
          </w:tcPr>
          <w:p w14:paraId="7AAF5D49" w14:textId="77777777" w:rsidR="00114A9E" w:rsidRPr="00114A9E" w:rsidRDefault="00114A9E" w:rsidP="00114A9E">
            <w:pPr>
              <w:tabs>
                <w:tab w:val="left" w:pos="1365"/>
              </w:tabs>
              <w:contextualSpacing/>
              <w:rPr>
                <w:rFonts w:ascii="Calibri" w:eastAsia="Calibri" w:hAnsi="Calibri" w:cs="Times New Roman"/>
                <w:b/>
                <w:sz w:val="28"/>
                <w:szCs w:val="28"/>
              </w:rPr>
            </w:pPr>
          </w:p>
        </w:tc>
      </w:tr>
      <w:tr w:rsidR="00114A9E" w:rsidRPr="00114A9E" w14:paraId="45A0352D" w14:textId="77777777" w:rsidTr="002D2998">
        <w:tc>
          <w:tcPr>
            <w:tcW w:w="3424" w:type="dxa"/>
          </w:tcPr>
          <w:p w14:paraId="2ED69FC0" w14:textId="77777777" w:rsidR="00114A9E" w:rsidRPr="00114A9E" w:rsidRDefault="00114A9E" w:rsidP="00114A9E">
            <w:pPr>
              <w:tabs>
                <w:tab w:val="left" w:pos="1365"/>
              </w:tabs>
              <w:contextualSpacing/>
              <w:rPr>
                <w:rFonts w:ascii="Calibri" w:eastAsia="Calibri" w:hAnsi="Calibri" w:cs="Times New Roman"/>
                <w:b/>
                <w:sz w:val="24"/>
                <w:szCs w:val="24"/>
              </w:rPr>
            </w:pPr>
            <w:r w:rsidRPr="00114A9E">
              <w:rPr>
                <w:rFonts w:ascii="Calibri" w:eastAsia="Calibri" w:hAnsi="Calibri" w:cs="Times New Roman"/>
                <w:b/>
                <w:sz w:val="24"/>
                <w:szCs w:val="24"/>
              </w:rPr>
              <w:t>Dlhodobé záväzky spolu</w:t>
            </w:r>
          </w:p>
        </w:tc>
        <w:tc>
          <w:tcPr>
            <w:tcW w:w="2615" w:type="dxa"/>
          </w:tcPr>
          <w:p w14:paraId="7ABB5E04" w14:textId="08E01F99" w:rsidR="00114A9E" w:rsidRPr="00114A9E" w:rsidRDefault="000427D8" w:rsidP="00114A9E">
            <w:pPr>
              <w:tabs>
                <w:tab w:val="left" w:pos="1365"/>
              </w:tabs>
              <w:contextualSpacing/>
              <w:rPr>
                <w:rFonts w:ascii="Calibri" w:eastAsia="Calibri" w:hAnsi="Calibri" w:cs="Times New Roman"/>
                <w:b/>
                <w:sz w:val="28"/>
                <w:szCs w:val="28"/>
              </w:rPr>
            </w:pPr>
            <w:r>
              <w:rPr>
                <w:rFonts w:ascii="Calibri" w:eastAsia="Calibri" w:hAnsi="Calibri" w:cs="Times New Roman"/>
                <w:b/>
                <w:sz w:val="28"/>
                <w:szCs w:val="28"/>
              </w:rPr>
              <w:t>6106,63</w:t>
            </w:r>
          </w:p>
        </w:tc>
        <w:tc>
          <w:tcPr>
            <w:tcW w:w="3884" w:type="dxa"/>
          </w:tcPr>
          <w:p w14:paraId="0112B46C" w14:textId="271AC35F" w:rsidR="00114A9E" w:rsidRPr="00114A9E" w:rsidRDefault="006B009F" w:rsidP="00114A9E">
            <w:pPr>
              <w:tabs>
                <w:tab w:val="left" w:pos="1365"/>
              </w:tabs>
              <w:contextualSpacing/>
              <w:rPr>
                <w:rFonts w:ascii="Calibri" w:eastAsia="Calibri" w:hAnsi="Calibri" w:cs="Times New Roman"/>
                <w:b/>
                <w:sz w:val="28"/>
                <w:szCs w:val="28"/>
              </w:rPr>
            </w:pPr>
            <w:r>
              <w:rPr>
                <w:rFonts w:ascii="Calibri" w:eastAsia="Calibri" w:hAnsi="Calibri" w:cs="Times New Roman"/>
                <w:b/>
                <w:sz w:val="28"/>
                <w:szCs w:val="28"/>
              </w:rPr>
              <w:t>11716,50</w:t>
            </w:r>
          </w:p>
        </w:tc>
      </w:tr>
    </w:tbl>
    <w:p w14:paraId="2E24E40E" w14:textId="77777777" w:rsidR="00114A9E" w:rsidRPr="00114A9E" w:rsidRDefault="00114A9E" w:rsidP="00114A9E">
      <w:pPr>
        <w:tabs>
          <w:tab w:val="left" w:pos="1365"/>
        </w:tabs>
        <w:spacing w:after="200" w:line="276" w:lineRule="auto"/>
        <w:rPr>
          <w:rFonts w:ascii="Calibri" w:eastAsia="Calibri" w:hAnsi="Calibri" w:cs="Times New Roman"/>
          <w:b/>
          <w:sz w:val="24"/>
          <w:szCs w:val="24"/>
        </w:rPr>
      </w:pPr>
    </w:p>
    <w:p w14:paraId="584DB0D2" w14:textId="77777777" w:rsidR="00114A9E" w:rsidRPr="00114A9E" w:rsidRDefault="00114A9E" w:rsidP="00114A9E">
      <w:pPr>
        <w:tabs>
          <w:tab w:val="left" w:pos="1365"/>
        </w:tabs>
        <w:spacing w:after="200" w:line="276" w:lineRule="auto"/>
        <w:rPr>
          <w:rFonts w:ascii="Calibri" w:eastAsia="Calibri" w:hAnsi="Calibri" w:cs="Times New Roman"/>
          <w:b/>
          <w:sz w:val="28"/>
          <w:szCs w:val="28"/>
        </w:rPr>
      </w:pPr>
    </w:p>
    <w:p w14:paraId="378549EC" w14:textId="77777777" w:rsidR="00114A9E" w:rsidRPr="00114A9E" w:rsidRDefault="00114A9E" w:rsidP="00114A9E">
      <w:pPr>
        <w:tabs>
          <w:tab w:val="left" w:pos="1365"/>
        </w:tabs>
        <w:spacing w:after="200" w:line="276" w:lineRule="auto"/>
        <w:rPr>
          <w:rFonts w:ascii="Calibri" w:eastAsia="Calibri" w:hAnsi="Calibri" w:cs="Times New Roman"/>
          <w:b/>
          <w:sz w:val="28"/>
          <w:szCs w:val="28"/>
        </w:rPr>
      </w:pPr>
    </w:p>
    <w:p w14:paraId="0F71B037" w14:textId="77777777" w:rsidR="00114A9E" w:rsidRPr="00114A9E" w:rsidRDefault="00114A9E" w:rsidP="00114A9E">
      <w:pPr>
        <w:tabs>
          <w:tab w:val="left" w:pos="1365"/>
        </w:tabs>
        <w:spacing w:after="200" w:line="276" w:lineRule="auto"/>
        <w:rPr>
          <w:rFonts w:ascii="Calibri" w:eastAsia="Calibri" w:hAnsi="Calibri" w:cs="Times New Roman"/>
          <w:b/>
          <w:sz w:val="28"/>
          <w:szCs w:val="28"/>
        </w:rPr>
      </w:pPr>
    </w:p>
    <w:p w14:paraId="1781DA6A" w14:textId="77777777" w:rsidR="00114A9E" w:rsidRPr="00114A9E" w:rsidRDefault="00114A9E" w:rsidP="00114A9E">
      <w:pPr>
        <w:numPr>
          <w:ilvl w:val="0"/>
          <w:numId w:val="1"/>
        </w:numPr>
        <w:tabs>
          <w:tab w:val="left" w:pos="1365"/>
        </w:tabs>
        <w:spacing w:after="200" w:line="276" w:lineRule="auto"/>
        <w:contextualSpacing/>
        <w:rPr>
          <w:rFonts w:ascii="Calibri" w:eastAsia="Calibri" w:hAnsi="Calibri" w:cs="Times New Roman"/>
          <w:b/>
          <w:sz w:val="28"/>
          <w:szCs w:val="28"/>
        </w:rPr>
      </w:pPr>
      <w:r w:rsidRPr="00114A9E">
        <w:rPr>
          <w:rFonts w:ascii="Calibri" w:eastAsia="Calibri" w:hAnsi="Calibri" w:cs="Times New Roman"/>
          <w:b/>
          <w:sz w:val="28"/>
          <w:szCs w:val="28"/>
        </w:rPr>
        <w:t>Informácie o iných aktívach a pasívach</w:t>
      </w:r>
    </w:p>
    <w:p w14:paraId="6BA4E354"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r w:rsidRPr="00114A9E">
        <w:rPr>
          <w:rFonts w:ascii="Calibri" w:eastAsia="Calibri" w:hAnsi="Calibri" w:cs="Times New Roman"/>
          <w:sz w:val="24"/>
          <w:szCs w:val="24"/>
        </w:rPr>
        <w:t>Spoločnosť nemá podmienené záväzky.</w:t>
      </w:r>
    </w:p>
    <w:p w14:paraId="2FB21104" w14:textId="77777777" w:rsidR="00114A9E" w:rsidRPr="00114A9E" w:rsidRDefault="00114A9E" w:rsidP="00114A9E">
      <w:pPr>
        <w:tabs>
          <w:tab w:val="left" w:pos="1365"/>
        </w:tabs>
        <w:spacing w:after="200" w:line="276" w:lineRule="auto"/>
        <w:rPr>
          <w:rFonts w:ascii="Calibri" w:eastAsia="Calibri" w:hAnsi="Calibri" w:cs="Times New Roman"/>
          <w:b/>
          <w:sz w:val="24"/>
          <w:szCs w:val="24"/>
        </w:rPr>
      </w:pPr>
      <w:r w:rsidRPr="00114A9E">
        <w:rPr>
          <w:rFonts w:ascii="Calibri" w:eastAsia="Calibri" w:hAnsi="Calibri" w:cs="Times New Roman"/>
          <w:b/>
          <w:sz w:val="24"/>
          <w:szCs w:val="24"/>
        </w:rPr>
        <w:t xml:space="preserve">  Najatý majetok </w:t>
      </w:r>
    </w:p>
    <w:p w14:paraId="5D4397E6"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r w:rsidRPr="00114A9E">
        <w:rPr>
          <w:rFonts w:ascii="Calibri" w:eastAsia="Calibri" w:hAnsi="Calibri" w:cs="Times New Roman"/>
          <w:b/>
          <w:sz w:val="24"/>
          <w:szCs w:val="24"/>
        </w:rPr>
        <w:t xml:space="preserve">   </w:t>
      </w:r>
      <w:r w:rsidRPr="00114A9E">
        <w:rPr>
          <w:rFonts w:ascii="Calibri" w:eastAsia="Calibri" w:hAnsi="Calibri" w:cs="Times New Roman"/>
          <w:sz w:val="24"/>
          <w:szCs w:val="24"/>
        </w:rPr>
        <w:t>Spoločnosť má v nájme obchodné priestory, pre účel</w:t>
      </w:r>
      <w:r w:rsidR="00B64F50">
        <w:rPr>
          <w:rFonts w:ascii="Calibri" w:eastAsia="Calibri" w:hAnsi="Calibri" w:cs="Times New Roman"/>
          <w:sz w:val="24"/>
          <w:szCs w:val="24"/>
        </w:rPr>
        <w:t>y prevádzkovania maloobchodnej predajne Podlaha pre každého, Zvolenská cesta 37, 974 05 B. Bystrica</w:t>
      </w:r>
      <w:r w:rsidRPr="00114A9E">
        <w:rPr>
          <w:rFonts w:ascii="Calibri" w:eastAsia="Calibri" w:hAnsi="Calibri" w:cs="Times New Roman"/>
          <w:sz w:val="24"/>
          <w:szCs w:val="24"/>
        </w:rPr>
        <w:t>, zmluv</w:t>
      </w:r>
      <w:r w:rsidR="00B64F50">
        <w:rPr>
          <w:rFonts w:ascii="Calibri" w:eastAsia="Calibri" w:hAnsi="Calibri" w:cs="Times New Roman"/>
          <w:sz w:val="24"/>
          <w:szCs w:val="24"/>
        </w:rPr>
        <w:t>a je</w:t>
      </w:r>
      <w:r w:rsidRPr="00114A9E">
        <w:rPr>
          <w:rFonts w:ascii="Calibri" w:eastAsia="Calibri" w:hAnsi="Calibri" w:cs="Times New Roman"/>
          <w:sz w:val="24"/>
          <w:szCs w:val="24"/>
        </w:rPr>
        <w:t xml:space="preserve"> uzatvoren</w:t>
      </w:r>
      <w:r w:rsidR="00B64F50">
        <w:rPr>
          <w:rFonts w:ascii="Calibri" w:eastAsia="Calibri" w:hAnsi="Calibri" w:cs="Times New Roman"/>
          <w:sz w:val="24"/>
          <w:szCs w:val="24"/>
        </w:rPr>
        <w:t xml:space="preserve">á </w:t>
      </w:r>
      <w:r w:rsidRPr="00114A9E">
        <w:rPr>
          <w:rFonts w:ascii="Calibri" w:eastAsia="Calibri" w:hAnsi="Calibri" w:cs="Times New Roman"/>
          <w:sz w:val="24"/>
          <w:szCs w:val="24"/>
        </w:rPr>
        <w:t xml:space="preserve">na dobu určitú, </w:t>
      </w:r>
      <w:r w:rsidR="004B79AC">
        <w:rPr>
          <w:rFonts w:ascii="Calibri" w:eastAsia="Calibri" w:hAnsi="Calibri" w:cs="Times New Roman"/>
          <w:sz w:val="24"/>
          <w:szCs w:val="24"/>
        </w:rPr>
        <w:t xml:space="preserve"> na sedem</w:t>
      </w:r>
      <w:r w:rsidRPr="00114A9E">
        <w:rPr>
          <w:rFonts w:ascii="Calibri" w:eastAsia="Calibri" w:hAnsi="Calibri" w:cs="Times New Roman"/>
          <w:sz w:val="24"/>
          <w:szCs w:val="24"/>
        </w:rPr>
        <w:t xml:space="preserve"> rokov a mesačný nájom s energi</w:t>
      </w:r>
      <w:r w:rsidR="004B79AC">
        <w:rPr>
          <w:rFonts w:ascii="Calibri" w:eastAsia="Calibri" w:hAnsi="Calibri" w:cs="Times New Roman"/>
          <w:sz w:val="24"/>
          <w:szCs w:val="24"/>
        </w:rPr>
        <w:t>ami sa pohybuje v hodnote cca 2267</w:t>
      </w:r>
      <w:r w:rsidRPr="00114A9E">
        <w:rPr>
          <w:rFonts w:ascii="Calibri" w:eastAsia="Calibri" w:hAnsi="Calibri" w:cs="Times New Roman"/>
          <w:sz w:val="24"/>
          <w:szCs w:val="24"/>
        </w:rPr>
        <w:t xml:space="preserve"> Eur.</w:t>
      </w:r>
    </w:p>
    <w:p w14:paraId="05273D68"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p>
    <w:p w14:paraId="4D6B7301" w14:textId="77777777" w:rsidR="00114A9E" w:rsidRPr="00114A9E" w:rsidRDefault="00114A9E" w:rsidP="00114A9E">
      <w:pPr>
        <w:numPr>
          <w:ilvl w:val="0"/>
          <w:numId w:val="1"/>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b/>
          <w:sz w:val="28"/>
          <w:szCs w:val="28"/>
        </w:rPr>
        <w:lastRenderedPageBreak/>
        <w:t>Informácie o skutočnostiach, ktoré nastali po dni, ku ktorému sa zostavuje účtovná závierka do dňa zostavenia účtovnej závierky</w:t>
      </w:r>
    </w:p>
    <w:p w14:paraId="2E27DE5B" w14:textId="77777777" w:rsidR="00114A9E" w:rsidRPr="00114A9E" w:rsidRDefault="00114A9E" w:rsidP="00114A9E">
      <w:pPr>
        <w:tabs>
          <w:tab w:val="left" w:pos="1365"/>
        </w:tabs>
        <w:spacing w:after="200" w:line="276" w:lineRule="auto"/>
        <w:ind w:left="284"/>
        <w:rPr>
          <w:rFonts w:ascii="Calibri" w:eastAsia="Calibri" w:hAnsi="Calibri" w:cs="Times New Roman"/>
          <w:sz w:val="24"/>
          <w:szCs w:val="24"/>
        </w:rPr>
      </w:pPr>
      <w:r w:rsidRPr="00114A9E">
        <w:rPr>
          <w:rFonts w:ascii="Calibri" w:eastAsia="Calibri" w:hAnsi="Calibri" w:cs="Times New Roman"/>
          <w:sz w:val="24"/>
          <w:szCs w:val="24"/>
        </w:rPr>
        <w:t>Do dňa zostavenia účtovnej závierky nevnikli žiadne skutočnosti, ktoré by mali vplyv na finančnú situáciu spoločnosti.</w:t>
      </w:r>
    </w:p>
    <w:p w14:paraId="4A8A1F9A" w14:textId="77777777" w:rsidR="00114A9E" w:rsidRPr="00114A9E" w:rsidRDefault="00114A9E" w:rsidP="00114A9E">
      <w:pPr>
        <w:tabs>
          <w:tab w:val="left" w:pos="1365"/>
        </w:tabs>
        <w:spacing w:after="200" w:line="276" w:lineRule="auto"/>
        <w:ind w:left="644"/>
        <w:contextualSpacing/>
        <w:rPr>
          <w:rFonts w:ascii="Calibri" w:eastAsia="Calibri" w:hAnsi="Calibri" w:cs="Times New Roman"/>
          <w:sz w:val="24"/>
          <w:szCs w:val="24"/>
        </w:rPr>
      </w:pPr>
    </w:p>
    <w:p w14:paraId="2FEB28EB" w14:textId="77777777" w:rsidR="00114A9E" w:rsidRPr="00114A9E" w:rsidRDefault="00114A9E" w:rsidP="00114A9E">
      <w:pPr>
        <w:tabs>
          <w:tab w:val="left" w:pos="1365"/>
        </w:tabs>
        <w:spacing w:after="200" w:line="276" w:lineRule="auto"/>
        <w:rPr>
          <w:rFonts w:ascii="Calibri" w:eastAsia="Calibri" w:hAnsi="Calibri" w:cs="Times New Roman"/>
          <w:b/>
          <w:sz w:val="24"/>
          <w:szCs w:val="24"/>
        </w:rPr>
      </w:pPr>
    </w:p>
    <w:p w14:paraId="6B8D8E45" w14:textId="77777777" w:rsidR="00114A9E" w:rsidRPr="00114A9E" w:rsidRDefault="00114A9E" w:rsidP="00114A9E">
      <w:pPr>
        <w:tabs>
          <w:tab w:val="left" w:pos="1365"/>
        </w:tabs>
        <w:spacing w:after="200" w:line="276" w:lineRule="auto"/>
        <w:ind w:left="644"/>
        <w:contextualSpacing/>
        <w:rPr>
          <w:rFonts w:ascii="Calibri" w:eastAsia="Calibri" w:hAnsi="Calibri" w:cs="Times New Roman"/>
          <w:sz w:val="24"/>
          <w:szCs w:val="24"/>
        </w:rPr>
      </w:pPr>
    </w:p>
    <w:p w14:paraId="3097D12C"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p>
    <w:p w14:paraId="4B40523C" w14:textId="77777777" w:rsidR="00114A9E" w:rsidRPr="00114A9E" w:rsidRDefault="00114A9E" w:rsidP="00114A9E">
      <w:pPr>
        <w:tabs>
          <w:tab w:val="left" w:pos="1365"/>
        </w:tabs>
        <w:spacing w:after="200" w:line="276" w:lineRule="auto"/>
        <w:ind w:left="990"/>
        <w:contextualSpacing/>
        <w:rPr>
          <w:rFonts w:ascii="Calibri" w:eastAsia="Calibri" w:hAnsi="Calibri" w:cs="Times New Roman"/>
          <w:sz w:val="24"/>
          <w:szCs w:val="24"/>
        </w:rPr>
      </w:pPr>
      <w:r w:rsidRPr="00114A9E">
        <w:rPr>
          <w:rFonts w:ascii="Calibri" w:eastAsia="Calibri" w:hAnsi="Calibri" w:cs="Times New Roman"/>
          <w:sz w:val="24"/>
          <w:szCs w:val="24"/>
        </w:rPr>
        <w:t xml:space="preserve">  </w:t>
      </w:r>
    </w:p>
    <w:p w14:paraId="7D9FAC0C"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p>
    <w:p w14:paraId="719849E8"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p>
    <w:p w14:paraId="7A584BBA"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r w:rsidRPr="00114A9E">
        <w:rPr>
          <w:rFonts w:ascii="Calibri" w:eastAsia="Calibri" w:hAnsi="Calibri" w:cs="Times New Roman"/>
          <w:sz w:val="24"/>
          <w:szCs w:val="24"/>
        </w:rPr>
        <w:t xml:space="preserve"> </w:t>
      </w:r>
    </w:p>
    <w:p w14:paraId="285E27EA" w14:textId="77777777" w:rsidR="00114A9E" w:rsidRPr="00114A9E" w:rsidRDefault="00114A9E" w:rsidP="00114A9E">
      <w:pPr>
        <w:tabs>
          <w:tab w:val="left" w:pos="1365"/>
        </w:tabs>
        <w:spacing w:after="200" w:line="276" w:lineRule="auto"/>
        <w:rPr>
          <w:rFonts w:ascii="Calibri" w:eastAsia="Calibri" w:hAnsi="Calibri" w:cs="Times New Roman"/>
          <w:b/>
          <w:sz w:val="24"/>
          <w:szCs w:val="24"/>
        </w:rPr>
      </w:pPr>
    </w:p>
    <w:p w14:paraId="3F2E13E6" w14:textId="77777777" w:rsidR="00114A9E" w:rsidRPr="00114A9E" w:rsidRDefault="00114A9E" w:rsidP="00114A9E">
      <w:pPr>
        <w:tabs>
          <w:tab w:val="left" w:pos="1365"/>
        </w:tabs>
        <w:spacing w:after="200" w:line="276" w:lineRule="auto"/>
        <w:ind w:left="840"/>
        <w:contextualSpacing/>
        <w:rPr>
          <w:rFonts w:ascii="Calibri" w:eastAsia="Calibri" w:hAnsi="Calibri" w:cs="Times New Roman"/>
          <w:b/>
          <w:sz w:val="24"/>
          <w:szCs w:val="24"/>
        </w:rPr>
      </w:pPr>
    </w:p>
    <w:p w14:paraId="65BE3ADD" w14:textId="77777777" w:rsidR="00114A9E" w:rsidRPr="00114A9E" w:rsidRDefault="00114A9E" w:rsidP="00114A9E">
      <w:pPr>
        <w:tabs>
          <w:tab w:val="left" w:pos="1365"/>
        </w:tabs>
        <w:spacing w:after="200" w:line="276" w:lineRule="auto"/>
        <w:ind w:left="1004"/>
        <w:contextualSpacing/>
        <w:rPr>
          <w:rFonts w:ascii="Calibri" w:eastAsia="Calibri" w:hAnsi="Calibri" w:cs="Times New Roman"/>
          <w:sz w:val="24"/>
          <w:szCs w:val="24"/>
        </w:rPr>
      </w:pPr>
      <w:r w:rsidRPr="00114A9E">
        <w:rPr>
          <w:rFonts w:ascii="Calibri" w:eastAsia="Calibri" w:hAnsi="Calibri" w:cs="Times New Roman"/>
          <w:sz w:val="24"/>
          <w:szCs w:val="24"/>
        </w:rPr>
        <w:t xml:space="preserve"> </w:t>
      </w:r>
    </w:p>
    <w:p w14:paraId="4DE52818" w14:textId="77777777" w:rsidR="00114A9E" w:rsidRPr="00114A9E" w:rsidRDefault="00114A9E" w:rsidP="00114A9E">
      <w:pPr>
        <w:tabs>
          <w:tab w:val="left" w:pos="1365"/>
        </w:tabs>
        <w:spacing w:after="200" w:line="276" w:lineRule="auto"/>
        <w:ind w:left="644"/>
        <w:contextualSpacing/>
        <w:rPr>
          <w:rFonts w:ascii="Calibri" w:eastAsia="Calibri" w:hAnsi="Calibri" w:cs="Times New Roman"/>
          <w:b/>
          <w:sz w:val="24"/>
          <w:szCs w:val="24"/>
        </w:rPr>
      </w:pPr>
    </w:p>
    <w:p w14:paraId="6B400B90" w14:textId="77777777" w:rsidR="007414D2" w:rsidRDefault="007414D2"/>
    <w:sectPr w:rsidR="007414D2" w:rsidSect="002C17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1559C2"/>
    <w:multiLevelType w:val="hybridMultilevel"/>
    <w:tmpl w:val="00A620C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5003950"/>
    <w:multiLevelType w:val="hybridMultilevel"/>
    <w:tmpl w:val="2D8010BE"/>
    <w:lvl w:ilvl="0" w:tplc="28628B44">
      <w:start w:val="1"/>
      <w:numFmt w:val="decimal"/>
      <w:lvlText w:val="%1."/>
      <w:lvlJc w:val="left"/>
      <w:pPr>
        <w:ind w:left="1004" w:hanging="360"/>
      </w:pPr>
      <w:rPr>
        <w:rFonts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 w15:restartNumberingAfterBreak="0">
    <w:nsid w:val="286E3F17"/>
    <w:multiLevelType w:val="hybridMultilevel"/>
    <w:tmpl w:val="DC2AF69A"/>
    <w:lvl w:ilvl="0" w:tplc="0214FE5C">
      <w:start w:val="1"/>
      <w:numFmt w:val="decimal"/>
      <w:lvlText w:val="%1."/>
      <w:lvlJc w:val="left"/>
      <w:pPr>
        <w:ind w:left="840" w:hanging="360"/>
      </w:pPr>
      <w:rPr>
        <w:rFonts w:hint="default"/>
      </w:rPr>
    </w:lvl>
    <w:lvl w:ilvl="1" w:tplc="041B0019" w:tentative="1">
      <w:start w:val="1"/>
      <w:numFmt w:val="lowerLetter"/>
      <w:lvlText w:val="%2."/>
      <w:lvlJc w:val="left"/>
      <w:pPr>
        <w:ind w:left="1560" w:hanging="360"/>
      </w:pPr>
    </w:lvl>
    <w:lvl w:ilvl="2" w:tplc="041B001B" w:tentative="1">
      <w:start w:val="1"/>
      <w:numFmt w:val="lowerRoman"/>
      <w:lvlText w:val="%3."/>
      <w:lvlJc w:val="right"/>
      <w:pPr>
        <w:ind w:left="2280" w:hanging="180"/>
      </w:pPr>
    </w:lvl>
    <w:lvl w:ilvl="3" w:tplc="041B000F" w:tentative="1">
      <w:start w:val="1"/>
      <w:numFmt w:val="decimal"/>
      <w:lvlText w:val="%4."/>
      <w:lvlJc w:val="left"/>
      <w:pPr>
        <w:ind w:left="3000" w:hanging="360"/>
      </w:pPr>
    </w:lvl>
    <w:lvl w:ilvl="4" w:tplc="041B0019" w:tentative="1">
      <w:start w:val="1"/>
      <w:numFmt w:val="lowerLetter"/>
      <w:lvlText w:val="%5."/>
      <w:lvlJc w:val="left"/>
      <w:pPr>
        <w:ind w:left="3720" w:hanging="360"/>
      </w:pPr>
    </w:lvl>
    <w:lvl w:ilvl="5" w:tplc="041B001B" w:tentative="1">
      <w:start w:val="1"/>
      <w:numFmt w:val="lowerRoman"/>
      <w:lvlText w:val="%6."/>
      <w:lvlJc w:val="right"/>
      <w:pPr>
        <w:ind w:left="4440" w:hanging="180"/>
      </w:pPr>
    </w:lvl>
    <w:lvl w:ilvl="6" w:tplc="041B000F" w:tentative="1">
      <w:start w:val="1"/>
      <w:numFmt w:val="decimal"/>
      <w:lvlText w:val="%7."/>
      <w:lvlJc w:val="left"/>
      <w:pPr>
        <w:ind w:left="5160" w:hanging="360"/>
      </w:pPr>
    </w:lvl>
    <w:lvl w:ilvl="7" w:tplc="041B0019" w:tentative="1">
      <w:start w:val="1"/>
      <w:numFmt w:val="lowerLetter"/>
      <w:lvlText w:val="%8."/>
      <w:lvlJc w:val="left"/>
      <w:pPr>
        <w:ind w:left="5880" w:hanging="360"/>
      </w:pPr>
    </w:lvl>
    <w:lvl w:ilvl="8" w:tplc="041B001B" w:tentative="1">
      <w:start w:val="1"/>
      <w:numFmt w:val="lowerRoman"/>
      <w:lvlText w:val="%9."/>
      <w:lvlJc w:val="right"/>
      <w:pPr>
        <w:ind w:left="6600" w:hanging="180"/>
      </w:pPr>
    </w:lvl>
  </w:abstractNum>
  <w:abstractNum w:abstractNumId="3" w15:restartNumberingAfterBreak="0">
    <w:nsid w:val="29AA1533"/>
    <w:multiLevelType w:val="hybridMultilevel"/>
    <w:tmpl w:val="CB94A022"/>
    <w:lvl w:ilvl="0" w:tplc="47864D02">
      <w:start w:val="1"/>
      <w:numFmt w:val="lowerLetter"/>
      <w:lvlText w:val="%1)"/>
      <w:lvlJc w:val="left"/>
      <w:pPr>
        <w:ind w:left="990" w:hanging="360"/>
      </w:pPr>
      <w:rPr>
        <w:rFonts w:hint="default"/>
      </w:rPr>
    </w:lvl>
    <w:lvl w:ilvl="1" w:tplc="041B0019" w:tentative="1">
      <w:start w:val="1"/>
      <w:numFmt w:val="lowerLetter"/>
      <w:lvlText w:val="%2."/>
      <w:lvlJc w:val="left"/>
      <w:pPr>
        <w:ind w:left="1710" w:hanging="360"/>
      </w:pPr>
    </w:lvl>
    <w:lvl w:ilvl="2" w:tplc="041B001B" w:tentative="1">
      <w:start w:val="1"/>
      <w:numFmt w:val="lowerRoman"/>
      <w:lvlText w:val="%3."/>
      <w:lvlJc w:val="right"/>
      <w:pPr>
        <w:ind w:left="2430" w:hanging="180"/>
      </w:pPr>
    </w:lvl>
    <w:lvl w:ilvl="3" w:tplc="041B000F" w:tentative="1">
      <w:start w:val="1"/>
      <w:numFmt w:val="decimal"/>
      <w:lvlText w:val="%4."/>
      <w:lvlJc w:val="left"/>
      <w:pPr>
        <w:ind w:left="3150" w:hanging="360"/>
      </w:pPr>
    </w:lvl>
    <w:lvl w:ilvl="4" w:tplc="041B0019" w:tentative="1">
      <w:start w:val="1"/>
      <w:numFmt w:val="lowerLetter"/>
      <w:lvlText w:val="%5."/>
      <w:lvlJc w:val="left"/>
      <w:pPr>
        <w:ind w:left="3870" w:hanging="360"/>
      </w:pPr>
    </w:lvl>
    <w:lvl w:ilvl="5" w:tplc="041B001B" w:tentative="1">
      <w:start w:val="1"/>
      <w:numFmt w:val="lowerRoman"/>
      <w:lvlText w:val="%6."/>
      <w:lvlJc w:val="right"/>
      <w:pPr>
        <w:ind w:left="4590" w:hanging="180"/>
      </w:pPr>
    </w:lvl>
    <w:lvl w:ilvl="6" w:tplc="041B000F" w:tentative="1">
      <w:start w:val="1"/>
      <w:numFmt w:val="decimal"/>
      <w:lvlText w:val="%7."/>
      <w:lvlJc w:val="left"/>
      <w:pPr>
        <w:ind w:left="5310" w:hanging="360"/>
      </w:pPr>
    </w:lvl>
    <w:lvl w:ilvl="7" w:tplc="041B0019" w:tentative="1">
      <w:start w:val="1"/>
      <w:numFmt w:val="lowerLetter"/>
      <w:lvlText w:val="%8."/>
      <w:lvlJc w:val="left"/>
      <w:pPr>
        <w:ind w:left="6030" w:hanging="360"/>
      </w:pPr>
    </w:lvl>
    <w:lvl w:ilvl="8" w:tplc="041B001B" w:tentative="1">
      <w:start w:val="1"/>
      <w:numFmt w:val="lowerRoman"/>
      <w:lvlText w:val="%9."/>
      <w:lvlJc w:val="right"/>
      <w:pPr>
        <w:ind w:left="6750" w:hanging="180"/>
      </w:pPr>
    </w:lvl>
  </w:abstractNum>
  <w:abstractNum w:abstractNumId="4" w15:restartNumberingAfterBreak="0">
    <w:nsid w:val="2B575710"/>
    <w:multiLevelType w:val="hybridMultilevel"/>
    <w:tmpl w:val="4D5AEDC6"/>
    <w:lvl w:ilvl="0" w:tplc="65A28D26">
      <w:start w:val="1"/>
      <w:numFmt w:val="decimal"/>
      <w:lvlText w:val="%1."/>
      <w:lvlJc w:val="left"/>
      <w:pPr>
        <w:ind w:left="1275" w:hanging="360"/>
      </w:pPr>
      <w:rPr>
        <w:rFonts w:hint="default"/>
      </w:rPr>
    </w:lvl>
    <w:lvl w:ilvl="1" w:tplc="041B0019" w:tentative="1">
      <w:start w:val="1"/>
      <w:numFmt w:val="lowerLetter"/>
      <w:lvlText w:val="%2."/>
      <w:lvlJc w:val="left"/>
      <w:pPr>
        <w:ind w:left="1995" w:hanging="360"/>
      </w:pPr>
    </w:lvl>
    <w:lvl w:ilvl="2" w:tplc="041B001B" w:tentative="1">
      <w:start w:val="1"/>
      <w:numFmt w:val="lowerRoman"/>
      <w:lvlText w:val="%3."/>
      <w:lvlJc w:val="right"/>
      <w:pPr>
        <w:ind w:left="2715" w:hanging="180"/>
      </w:pPr>
    </w:lvl>
    <w:lvl w:ilvl="3" w:tplc="041B000F" w:tentative="1">
      <w:start w:val="1"/>
      <w:numFmt w:val="decimal"/>
      <w:lvlText w:val="%4."/>
      <w:lvlJc w:val="left"/>
      <w:pPr>
        <w:ind w:left="3435" w:hanging="360"/>
      </w:pPr>
    </w:lvl>
    <w:lvl w:ilvl="4" w:tplc="041B0019" w:tentative="1">
      <w:start w:val="1"/>
      <w:numFmt w:val="lowerLetter"/>
      <w:lvlText w:val="%5."/>
      <w:lvlJc w:val="left"/>
      <w:pPr>
        <w:ind w:left="4155" w:hanging="360"/>
      </w:pPr>
    </w:lvl>
    <w:lvl w:ilvl="5" w:tplc="041B001B" w:tentative="1">
      <w:start w:val="1"/>
      <w:numFmt w:val="lowerRoman"/>
      <w:lvlText w:val="%6."/>
      <w:lvlJc w:val="right"/>
      <w:pPr>
        <w:ind w:left="4875" w:hanging="180"/>
      </w:pPr>
    </w:lvl>
    <w:lvl w:ilvl="6" w:tplc="041B000F" w:tentative="1">
      <w:start w:val="1"/>
      <w:numFmt w:val="decimal"/>
      <w:lvlText w:val="%7."/>
      <w:lvlJc w:val="left"/>
      <w:pPr>
        <w:ind w:left="5595" w:hanging="360"/>
      </w:pPr>
    </w:lvl>
    <w:lvl w:ilvl="7" w:tplc="041B0019" w:tentative="1">
      <w:start w:val="1"/>
      <w:numFmt w:val="lowerLetter"/>
      <w:lvlText w:val="%8."/>
      <w:lvlJc w:val="left"/>
      <w:pPr>
        <w:ind w:left="6315" w:hanging="360"/>
      </w:pPr>
    </w:lvl>
    <w:lvl w:ilvl="8" w:tplc="041B001B" w:tentative="1">
      <w:start w:val="1"/>
      <w:numFmt w:val="lowerRoman"/>
      <w:lvlText w:val="%9."/>
      <w:lvlJc w:val="right"/>
      <w:pPr>
        <w:ind w:left="7035" w:hanging="180"/>
      </w:pPr>
    </w:lvl>
  </w:abstractNum>
  <w:abstractNum w:abstractNumId="5" w15:restartNumberingAfterBreak="0">
    <w:nsid w:val="2D2A5DEA"/>
    <w:multiLevelType w:val="hybridMultilevel"/>
    <w:tmpl w:val="B2D08094"/>
    <w:lvl w:ilvl="0" w:tplc="981A9AF2">
      <w:start w:val="1"/>
      <w:numFmt w:val="decimal"/>
      <w:lvlText w:val="%1."/>
      <w:lvlJc w:val="left"/>
      <w:pPr>
        <w:ind w:left="1110" w:hanging="360"/>
      </w:pPr>
      <w:rPr>
        <w:rFonts w:hint="default"/>
      </w:rPr>
    </w:lvl>
    <w:lvl w:ilvl="1" w:tplc="041B0019" w:tentative="1">
      <w:start w:val="1"/>
      <w:numFmt w:val="lowerLetter"/>
      <w:lvlText w:val="%2."/>
      <w:lvlJc w:val="left"/>
      <w:pPr>
        <w:ind w:left="1830" w:hanging="360"/>
      </w:pPr>
    </w:lvl>
    <w:lvl w:ilvl="2" w:tplc="041B001B" w:tentative="1">
      <w:start w:val="1"/>
      <w:numFmt w:val="lowerRoman"/>
      <w:lvlText w:val="%3."/>
      <w:lvlJc w:val="right"/>
      <w:pPr>
        <w:ind w:left="2550" w:hanging="180"/>
      </w:pPr>
    </w:lvl>
    <w:lvl w:ilvl="3" w:tplc="041B000F" w:tentative="1">
      <w:start w:val="1"/>
      <w:numFmt w:val="decimal"/>
      <w:lvlText w:val="%4."/>
      <w:lvlJc w:val="left"/>
      <w:pPr>
        <w:ind w:left="3270" w:hanging="360"/>
      </w:pPr>
    </w:lvl>
    <w:lvl w:ilvl="4" w:tplc="041B0019" w:tentative="1">
      <w:start w:val="1"/>
      <w:numFmt w:val="lowerLetter"/>
      <w:lvlText w:val="%5."/>
      <w:lvlJc w:val="left"/>
      <w:pPr>
        <w:ind w:left="3990" w:hanging="360"/>
      </w:pPr>
    </w:lvl>
    <w:lvl w:ilvl="5" w:tplc="041B001B" w:tentative="1">
      <w:start w:val="1"/>
      <w:numFmt w:val="lowerRoman"/>
      <w:lvlText w:val="%6."/>
      <w:lvlJc w:val="right"/>
      <w:pPr>
        <w:ind w:left="4710" w:hanging="180"/>
      </w:pPr>
    </w:lvl>
    <w:lvl w:ilvl="6" w:tplc="041B000F" w:tentative="1">
      <w:start w:val="1"/>
      <w:numFmt w:val="decimal"/>
      <w:lvlText w:val="%7."/>
      <w:lvlJc w:val="left"/>
      <w:pPr>
        <w:ind w:left="5430" w:hanging="360"/>
      </w:pPr>
    </w:lvl>
    <w:lvl w:ilvl="7" w:tplc="041B0019" w:tentative="1">
      <w:start w:val="1"/>
      <w:numFmt w:val="lowerLetter"/>
      <w:lvlText w:val="%8."/>
      <w:lvlJc w:val="left"/>
      <w:pPr>
        <w:ind w:left="6150" w:hanging="360"/>
      </w:pPr>
    </w:lvl>
    <w:lvl w:ilvl="8" w:tplc="041B001B" w:tentative="1">
      <w:start w:val="1"/>
      <w:numFmt w:val="lowerRoman"/>
      <w:lvlText w:val="%9."/>
      <w:lvlJc w:val="right"/>
      <w:pPr>
        <w:ind w:left="6870" w:hanging="180"/>
      </w:pPr>
    </w:lvl>
  </w:abstractNum>
  <w:abstractNum w:abstractNumId="6" w15:restartNumberingAfterBreak="0">
    <w:nsid w:val="42684F7C"/>
    <w:multiLevelType w:val="hybridMultilevel"/>
    <w:tmpl w:val="1A84C490"/>
    <w:lvl w:ilvl="0" w:tplc="E050DF40">
      <w:start w:val="1"/>
      <w:numFmt w:val="decimal"/>
      <w:lvlText w:val="%1."/>
      <w:lvlJc w:val="left"/>
      <w:pPr>
        <w:ind w:left="1004" w:hanging="360"/>
      </w:pPr>
      <w:rPr>
        <w:rFonts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7" w15:restartNumberingAfterBreak="0">
    <w:nsid w:val="51D81E5E"/>
    <w:multiLevelType w:val="hybridMultilevel"/>
    <w:tmpl w:val="899CA760"/>
    <w:lvl w:ilvl="0" w:tplc="A148BB2E">
      <w:start w:val="1"/>
      <w:numFmt w:val="upperLetter"/>
      <w:lvlText w:val="%1."/>
      <w:lvlJc w:val="left"/>
      <w:pPr>
        <w:ind w:left="644"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C7B6FD5"/>
    <w:multiLevelType w:val="hybridMultilevel"/>
    <w:tmpl w:val="6A0A69C4"/>
    <w:lvl w:ilvl="0" w:tplc="BB82133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74A3744C"/>
    <w:multiLevelType w:val="hybridMultilevel"/>
    <w:tmpl w:val="41B2CF60"/>
    <w:lvl w:ilvl="0" w:tplc="92D45474">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abstractNumId w:val="7"/>
  </w:num>
  <w:num w:numId="2">
    <w:abstractNumId w:val="9"/>
  </w:num>
  <w:num w:numId="3">
    <w:abstractNumId w:val="4"/>
  </w:num>
  <w:num w:numId="4">
    <w:abstractNumId w:val="1"/>
  </w:num>
  <w:num w:numId="5">
    <w:abstractNumId w:val="6"/>
  </w:num>
  <w:num w:numId="6">
    <w:abstractNumId w:val="5"/>
  </w:num>
  <w:num w:numId="7">
    <w:abstractNumId w:val="0"/>
  </w:num>
  <w:num w:numId="8">
    <w:abstractNumId w:val="8"/>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A9E"/>
    <w:rsid w:val="000427D8"/>
    <w:rsid w:val="000963C6"/>
    <w:rsid w:val="000D1721"/>
    <w:rsid w:val="00114A9E"/>
    <w:rsid w:val="001F5B90"/>
    <w:rsid w:val="004B79AC"/>
    <w:rsid w:val="005657FE"/>
    <w:rsid w:val="00660173"/>
    <w:rsid w:val="006647E9"/>
    <w:rsid w:val="0067324A"/>
    <w:rsid w:val="006B009F"/>
    <w:rsid w:val="007414D2"/>
    <w:rsid w:val="00817F84"/>
    <w:rsid w:val="00830C34"/>
    <w:rsid w:val="0096795B"/>
    <w:rsid w:val="00984399"/>
    <w:rsid w:val="00B22870"/>
    <w:rsid w:val="00B25FD8"/>
    <w:rsid w:val="00B41FCE"/>
    <w:rsid w:val="00B64F50"/>
    <w:rsid w:val="00BA0106"/>
    <w:rsid w:val="00BA7AAC"/>
    <w:rsid w:val="00BB21E6"/>
    <w:rsid w:val="00C35E52"/>
    <w:rsid w:val="00CE29C7"/>
    <w:rsid w:val="00D550F5"/>
    <w:rsid w:val="00E821A5"/>
    <w:rsid w:val="00EC6782"/>
    <w:rsid w:val="00F234DB"/>
    <w:rsid w:val="00F90D5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CBF68"/>
  <w15:chartTrackingRefBased/>
  <w15:docId w15:val="{8CDDCDD7-024D-4913-81FF-7C8F6D246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Mriekatabuky1">
    <w:name w:val="Mriežka tabuľky1"/>
    <w:basedOn w:val="Normlnatabuka"/>
    <w:next w:val="Mriekatabuky"/>
    <w:uiPriority w:val="59"/>
    <w:rsid w:val="00114A9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Mriekatabuky">
    <w:name w:val="Table Grid"/>
    <w:basedOn w:val="Normlnatabuka"/>
    <w:uiPriority w:val="39"/>
    <w:rsid w:val="00114A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7</Pages>
  <Words>1678</Words>
  <Characters>9567</Characters>
  <Application>Microsoft Office Word</Application>
  <DocSecurity>0</DocSecurity>
  <Lines>79</Lines>
  <Paragraphs>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Administrátor</dc:creator>
  <cp:keywords/>
  <dc:description/>
  <cp:lastModifiedBy>Bibiána Janšová</cp:lastModifiedBy>
  <cp:revision>10</cp:revision>
  <cp:lastPrinted>2018-06-26T10:46:00Z</cp:lastPrinted>
  <dcterms:created xsi:type="dcterms:W3CDTF">2020-10-29T19:04:00Z</dcterms:created>
  <dcterms:modified xsi:type="dcterms:W3CDTF">2020-10-29T19:10:00Z</dcterms:modified>
</cp:coreProperties>
</file>