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759D3A" w14:textId="038FEEF8" w:rsidR="003C5131" w:rsidRPr="00161245" w:rsidRDefault="003C5131" w:rsidP="009D73F5">
      <w:pPr>
        <w:autoSpaceDE w:val="0"/>
        <w:autoSpaceDN w:val="0"/>
        <w:adjustRightInd w:val="0"/>
        <w:spacing w:after="0" w:line="240" w:lineRule="auto"/>
        <w:jc w:val="center"/>
        <w:rPr>
          <w:rFonts w:ascii="CIDFont+F2" w:hAnsi="CIDFont+F2" w:cs="CIDFont+F2"/>
          <w:b/>
          <w:bCs/>
        </w:rPr>
      </w:pPr>
      <w:r w:rsidRPr="00161245">
        <w:rPr>
          <w:rFonts w:ascii="CIDFont+F2" w:hAnsi="CIDFont+F2" w:cs="CIDFont+F2"/>
          <w:b/>
          <w:bCs/>
        </w:rPr>
        <w:t>Poznámky účtovnej závierky k 31. decembru 2018</w:t>
      </w:r>
    </w:p>
    <w:p w14:paraId="287A441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</w:rPr>
      </w:pPr>
    </w:p>
    <w:p w14:paraId="571D8F90" w14:textId="06525C5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ČL. I. VŠEOBECNÉ INFORMÁCIE</w:t>
      </w:r>
    </w:p>
    <w:p w14:paraId="20ADD9B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24196AD2" w14:textId="48850B7B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1. Obchodné meno a sídlo spoločnosti:</w:t>
      </w:r>
    </w:p>
    <w:p w14:paraId="33163FA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6"/>
          <w:szCs w:val="16"/>
        </w:rPr>
      </w:pPr>
    </w:p>
    <w:p w14:paraId="7E23B627" w14:textId="74B7B65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Go</w:t>
      </w:r>
      <w:r w:rsidRPr="00161245">
        <w:rPr>
          <w:rFonts w:cs="CIDFont+F1"/>
          <w:sz w:val="18"/>
          <w:szCs w:val="18"/>
          <w:lang w:val="en-GB"/>
        </w:rPr>
        <w:t>4Green</w:t>
      </w:r>
      <w:r w:rsidRPr="00161245">
        <w:rPr>
          <w:rFonts w:ascii="CIDFont+F1" w:hAnsi="CIDFont+F1" w:cs="CIDFont+F1"/>
          <w:sz w:val="18"/>
          <w:szCs w:val="18"/>
        </w:rPr>
        <w:t xml:space="preserve"> s.r.o.</w:t>
      </w:r>
    </w:p>
    <w:p w14:paraId="6F2C03AB" w14:textId="435F895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Karpatské námestie 10A</w:t>
      </w:r>
      <w:r w:rsidRPr="00161245">
        <w:rPr>
          <w:rFonts w:ascii="CIDFont+F1" w:hAnsi="CIDFont+F1" w:cs="CIDFont+F1"/>
          <w:sz w:val="18"/>
          <w:szCs w:val="18"/>
        </w:rPr>
        <w:br/>
      </w:r>
      <w:r w:rsidRPr="00161245">
        <w:rPr>
          <w:rFonts w:ascii="Arial-BoldMT" w:hAnsi="Arial-BoldMT" w:cs="Arial-BoldMT"/>
          <w:b/>
          <w:bCs/>
          <w:sz w:val="18"/>
          <w:szCs w:val="18"/>
        </w:rPr>
        <w:t>831 06 Bratislava 36</w:t>
      </w:r>
      <w:r w:rsidRPr="00161245">
        <w:rPr>
          <w:rFonts w:ascii="CIDFont+F1" w:hAnsi="CIDFont+F1" w:cs="CIDFont+F1"/>
          <w:sz w:val="18"/>
          <w:szCs w:val="18"/>
        </w:rPr>
        <w:br/>
      </w:r>
    </w:p>
    <w:p w14:paraId="069596E2" w14:textId="6A7B029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Spoločnosť Go</w:t>
      </w:r>
      <w:r w:rsidRPr="00161245">
        <w:rPr>
          <w:rFonts w:cs="CIDFont+F1"/>
          <w:sz w:val="18"/>
          <w:szCs w:val="18"/>
          <w:lang w:val="en-GB"/>
        </w:rPr>
        <w:t>4Green</w:t>
      </w:r>
      <w:r w:rsidRPr="00161245">
        <w:rPr>
          <w:rFonts w:ascii="CIDFont+F1" w:hAnsi="CIDFont+F1" w:cs="CIDFont+F1"/>
          <w:sz w:val="18"/>
          <w:szCs w:val="18"/>
        </w:rPr>
        <w:t xml:space="preserve"> s.r.o. (ďalej len Spoločnosť), bola založená 15. Okt</w:t>
      </w:r>
      <w:r w:rsidRPr="00161245">
        <w:rPr>
          <w:rFonts w:cs="CIDFont+F1"/>
          <w:sz w:val="18"/>
          <w:szCs w:val="18"/>
        </w:rPr>
        <w:t>óbra</w:t>
      </w:r>
      <w:r w:rsidRPr="00161245">
        <w:rPr>
          <w:rFonts w:ascii="CIDFont+F1" w:hAnsi="CIDFont+F1" w:cs="CIDFont+F1"/>
          <w:sz w:val="18"/>
          <w:szCs w:val="18"/>
        </w:rPr>
        <w:t xml:space="preserve"> 2018 a do</w:t>
      </w:r>
    </w:p>
    <w:p w14:paraId="33CA14F9" w14:textId="76E9465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obchodného registra bola zapísaná 05. Decembra 2018 (Obchodný register Okresného súdu Bratislava I.,</w:t>
      </w:r>
    </w:p>
    <w:p w14:paraId="6A936920" w14:textId="2F40E8D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 xml:space="preserve">oddiel s.r.o., vložka </w:t>
      </w:r>
      <w:r w:rsidR="009D73F5" w:rsidRPr="00161245">
        <w:rPr>
          <w:rFonts w:ascii="CIDFont+F1" w:hAnsi="CIDFont+F1" w:cs="CIDFont+F1"/>
          <w:sz w:val="18"/>
          <w:szCs w:val="18"/>
        </w:rPr>
        <w:t>133114/B</w:t>
      </w:r>
      <w:r w:rsidRPr="00161245">
        <w:rPr>
          <w:rFonts w:ascii="CIDFont+F1" w:hAnsi="CIDFont+F1" w:cs="CIDFont+F1"/>
          <w:sz w:val="18"/>
          <w:szCs w:val="18"/>
        </w:rPr>
        <w:t>).</w:t>
      </w:r>
      <w:r w:rsidR="009D73F5" w:rsidRPr="00161245">
        <w:rPr>
          <w:rFonts w:ascii="CIDFont+F1" w:hAnsi="CIDFont+F1" w:cs="CIDFont+F1"/>
          <w:sz w:val="18"/>
          <w:szCs w:val="18"/>
        </w:rPr>
        <w:br/>
      </w:r>
    </w:p>
    <w:p w14:paraId="3434D435" w14:textId="68324D29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2. Hlavné činnosti Spoločnosti</w:t>
      </w:r>
      <w:r w:rsidR="009D73F5" w:rsidRPr="00161245">
        <w:rPr>
          <w:rFonts w:ascii="CIDFont+F2" w:hAnsi="CIDFont+F2" w:cs="CIDFont+F2"/>
          <w:b/>
          <w:bCs/>
          <w:sz w:val="16"/>
          <w:szCs w:val="16"/>
        </w:rPr>
        <w:br/>
      </w:r>
    </w:p>
    <w:p w14:paraId="69BDB81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Kúpa tovaru na účely jeho predaja konečnému spotrebiteľovi (maloobchod) alebo iným</w:t>
      </w:r>
    </w:p>
    <w:p w14:paraId="2E4C251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prevádzkovateľom živnosti (veľkoobchod)</w:t>
      </w:r>
    </w:p>
    <w:p w14:paraId="3A37E24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Počítačové služby</w:t>
      </w:r>
    </w:p>
    <w:p w14:paraId="0EBAC303" w14:textId="6CC706CB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Sprostredkovateľská činnosť v oblasti obchodu</w:t>
      </w:r>
      <w:r w:rsidR="009D73F5" w:rsidRPr="00161245">
        <w:rPr>
          <w:rFonts w:ascii="CIDFont+F1" w:hAnsi="CIDFont+F1" w:cs="CIDFont+F1"/>
          <w:sz w:val="18"/>
          <w:szCs w:val="18"/>
        </w:rPr>
        <w:br/>
      </w:r>
    </w:p>
    <w:p w14:paraId="2DD811F3" w14:textId="7E7CCAE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3. Právny dôvod na zostavenie účtovnej závierky</w:t>
      </w:r>
    </w:p>
    <w:p w14:paraId="1480B63E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5535522C" w14:textId="23248FE4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Účtovná závierka Spoločnosti k 31. decembru 201</w:t>
      </w:r>
      <w:r w:rsidR="009D73F5" w:rsidRPr="00161245">
        <w:rPr>
          <w:rFonts w:ascii="CIDFont+F1" w:hAnsi="CIDFont+F1" w:cs="CIDFont+F1"/>
          <w:sz w:val="18"/>
          <w:szCs w:val="18"/>
        </w:rPr>
        <w:t>8</w:t>
      </w:r>
      <w:r w:rsidRPr="00161245">
        <w:rPr>
          <w:rFonts w:ascii="CIDFont+F1" w:hAnsi="CIDFont+F1" w:cs="CIDFont+F1"/>
          <w:sz w:val="18"/>
          <w:szCs w:val="18"/>
        </w:rPr>
        <w:t xml:space="preserve"> je zostavená ako riadna účtovná závierka podľa § 17</w:t>
      </w:r>
    </w:p>
    <w:p w14:paraId="799E32FB" w14:textId="2537BE3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 xml:space="preserve">ods. 6 zákona NR SR č. 431/2002 Z. z. o účtovníctve, za účtovné obdobie od </w:t>
      </w:r>
      <w:r w:rsidR="009D73F5" w:rsidRPr="00161245">
        <w:rPr>
          <w:rFonts w:ascii="CIDFont+F1" w:hAnsi="CIDFont+F1" w:cs="CIDFont+F1"/>
          <w:sz w:val="18"/>
          <w:szCs w:val="18"/>
        </w:rPr>
        <w:t>5</w:t>
      </w:r>
      <w:r w:rsidRPr="00161245">
        <w:rPr>
          <w:rFonts w:ascii="CIDFont+F1" w:hAnsi="CIDFont+F1" w:cs="CIDFont+F1"/>
          <w:sz w:val="18"/>
          <w:szCs w:val="18"/>
        </w:rPr>
        <w:t xml:space="preserve">. </w:t>
      </w:r>
      <w:r w:rsidR="009D73F5" w:rsidRPr="00161245">
        <w:rPr>
          <w:rFonts w:ascii="CIDFont+F1" w:hAnsi="CIDFont+F1" w:cs="CIDFont+F1"/>
          <w:sz w:val="18"/>
          <w:szCs w:val="18"/>
        </w:rPr>
        <w:t>decembra</w:t>
      </w:r>
      <w:r w:rsidRPr="00161245">
        <w:rPr>
          <w:rFonts w:ascii="CIDFont+F1" w:hAnsi="CIDFont+F1" w:cs="CIDFont+F1"/>
          <w:sz w:val="18"/>
          <w:szCs w:val="18"/>
        </w:rPr>
        <w:t xml:space="preserve"> 201</w:t>
      </w:r>
      <w:r w:rsidR="009D73F5" w:rsidRPr="00161245">
        <w:rPr>
          <w:rFonts w:ascii="CIDFont+F1" w:hAnsi="CIDFont+F1" w:cs="CIDFont+F1"/>
          <w:sz w:val="18"/>
          <w:szCs w:val="18"/>
        </w:rPr>
        <w:t>8</w:t>
      </w:r>
      <w:r w:rsidRPr="00161245">
        <w:rPr>
          <w:rFonts w:ascii="CIDFont+F1" w:hAnsi="CIDFont+F1" w:cs="CIDFont+F1"/>
          <w:sz w:val="18"/>
          <w:szCs w:val="18"/>
        </w:rPr>
        <w:t xml:space="preserve"> do 31.</w:t>
      </w:r>
    </w:p>
    <w:p w14:paraId="4516AE96" w14:textId="412B31E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decembra 201</w:t>
      </w:r>
      <w:r w:rsidR="009D73F5" w:rsidRPr="00161245">
        <w:rPr>
          <w:rFonts w:ascii="CIDFont+F1" w:hAnsi="CIDFont+F1" w:cs="CIDFont+F1"/>
          <w:sz w:val="18"/>
          <w:szCs w:val="18"/>
        </w:rPr>
        <w:t>8</w:t>
      </w:r>
      <w:r w:rsidRPr="00161245">
        <w:rPr>
          <w:rFonts w:ascii="CIDFont+F1" w:hAnsi="CIDFont+F1" w:cs="CIDFont+F1"/>
          <w:sz w:val="18"/>
          <w:szCs w:val="18"/>
        </w:rPr>
        <w:t>.</w:t>
      </w:r>
    </w:p>
    <w:p w14:paraId="312749BC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2347D72" w14:textId="4B4475B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4. Informácie o spoločníkoch účtovnej jednotky</w:t>
      </w:r>
    </w:p>
    <w:p w14:paraId="1C647460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02BD46CD" w14:textId="7489B93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Štruktúra spoločníkov k 31.12.201</w:t>
      </w:r>
      <w:r w:rsidR="009D73F5" w:rsidRPr="00161245">
        <w:rPr>
          <w:rFonts w:ascii="CIDFont+F1" w:hAnsi="CIDFont+F1" w:cs="CIDFont+F1"/>
          <w:sz w:val="18"/>
          <w:szCs w:val="18"/>
        </w:rPr>
        <w:t>8</w:t>
      </w:r>
    </w:p>
    <w:p w14:paraId="7DCEB14A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3251C56B" w14:textId="79E44EFE" w:rsidR="003C5131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cs="CIDFont+F1"/>
          <w:sz w:val="16"/>
          <w:szCs w:val="16"/>
          <w:lang w:val="en-GB"/>
        </w:rPr>
      </w:pPr>
      <w:r w:rsidRPr="00161245">
        <w:rPr>
          <w:rFonts w:ascii="CIDFont+F1" w:hAnsi="CIDFont+F1" w:cs="CIDFont+F1"/>
          <w:sz w:val="16"/>
          <w:szCs w:val="16"/>
        </w:rPr>
        <w:t xml:space="preserve">Eduard Winkler       100% </w:t>
      </w:r>
      <w:r w:rsidR="003C5131" w:rsidRPr="00161245">
        <w:rPr>
          <w:rFonts w:ascii="CIDFont+F1" w:hAnsi="CIDFont+F1" w:cs="CIDFont+F1"/>
          <w:sz w:val="16"/>
          <w:szCs w:val="16"/>
        </w:rPr>
        <w:t>Hlasovacie práva</w:t>
      </w:r>
      <w:r w:rsidRPr="00161245">
        <w:rPr>
          <w:rFonts w:ascii="CIDFont+F1" w:hAnsi="CIDFont+F1" w:cs="CIDFont+F1"/>
          <w:sz w:val="16"/>
          <w:szCs w:val="16"/>
        </w:rPr>
        <w:t xml:space="preserve">, 5000 EUR základné imanie </w:t>
      </w:r>
      <w:r w:rsidRPr="00161245">
        <w:rPr>
          <w:rFonts w:cs="CIDFont+F1"/>
          <w:sz w:val="16"/>
          <w:szCs w:val="16"/>
          <w:lang w:val="en-GB"/>
        </w:rPr>
        <w:t>– 100%</w:t>
      </w:r>
    </w:p>
    <w:p w14:paraId="5C59590F" w14:textId="005EC85E" w:rsidR="003C5131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br/>
      </w:r>
      <w:r w:rsidR="003C5131" w:rsidRPr="00161245">
        <w:rPr>
          <w:rFonts w:ascii="CIDFont+F1" w:hAnsi="CIDFont+F1" w:cs="CIDFont+F1"/>
          <w:sz w:val="18"/>
          <w:szCs w:val="18"/>
        </w:rPr>
        <w:t>Spoločnosť nie je zahrnovaná do konsolidovanej účtovnej závierky, pretože žiadnemu spoločníkovi</w:t>
      </w:r>
    </w:p>
    <w:p w14:paraId="6ABA8D75" w14:textId="4F396FC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nevyplýva povinnosť zostavovať konsolidovanú účtovnú závierku v zmysle zákona o účtovníctve.</w:t>
      </w:r>
    </w:p>
    <w:p w14:paraId="6980FC07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1D1A8C2" w14:textId="14519A9F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5. Informácie o počte zamestnancov</w:t>
      </w:r>
    </w:p>
    <w:p w14:paraId="19A585D4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126"/>
        <w:gridCol w:w="2121"/>
      </w:tblGrid>
      <w:tr w:rsidR="009D73F5" w:rsidRPr="00161245" w14:paraId="2C5B0BCE" w14:textId="77777777" w:rsidTr="00E662E1">
        <w:tc>
          <w:tcPr>
            <w:tcW w:w="4815" w:type="dxa"/>
            <w:vAlign w:val="center"/>
          </w:tcPr>
          <w:p w14:paraId="1C6DD9F5" w14:textId="44EA829E" w:rsidR="009D73F5" w:rsidRPr="00161245" w:rsidRDefault="009D73F5" w:rsidP="009D73F5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D4F57E8" w14:textId="37AF6E54" w:rsidR="009D73F5" w:rsidRPr="00161245" w:rsidRDefault="009D73F5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1" w:type="dxa"/>
            <w:vAlign w:val="center"/>
          </w:tcPr>
          <w:p w14:paraId="27EC3932" w14:textId="52513F87" w:rsidR="009D73F5" w:rsidRPr="00161245" w:rsidRDefault="009D73F5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D73F5" w:rsidRPr="00161245" w14:paraId="4777DD9C" w14:textId="77777777" w:rsidTr="00E662E1">
        <w:tc>
          <w:tcPr>
            <w:tcW w:w="4815" w:type="dxa"/>
          </w:tcPr>
          <w:p w14:paraId="3BE0B31B" w14:textId="05E8CB83" w:rsidR="009D73F5" w:rsidRPr="00161245" w:rsidRDefault="00E662E1" w:rsidP="003C5131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3643E169" w14:textId="5AEAA955" w:rsidR="00E662E1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  <w:tc>
          <w:tcPr>
            <w:tcW w:w="2121" w:type="dxa"/>
            <w:vAlign w:val="center"/>
          </w:tcPr>
          <w:p w14:paraId="652B4160" w14:textId="7B4B47B3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-</w:t>
            </w:r>
          </w:p>
        </w:tc>
      </w:tr>
      <w:tr w:rsidR="009D73F5" w:rsidRPr="00161245" w14:paraId="44D16D4A" w14:textId="77777777" w:rsidTr="00E662E1">
        <w:tc>
          <w:tcPr>
            <w:tcW w:w="4815" w:type="dxa"/>
          </w:tcPr>
          <w:p w14:paraId="5C7D8C6D" w14:textId="1E590CA3" w:rsidR="009D73F5" w:rsidRPr="00161245" w:rsidRDefault="00E662E1" w:rsidP="003C5131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Stav zamestnancov ku dňu zostavenia závierky, z toho:</w:t>
            </w:r>
          </w:p>
        </w:tc>
        <w:tc>
          <w:tcPr>
            <w:tcW w:w="2126" w:type="dxa"/>
            <w:vAlign w:val="center"/>
          </w:tcPr>
          <w:p w14:paraId="57811ADF" w14:textId="776F0B60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  <w:tc>
          <w:tcPr>
            <w:tcW w:w="2121" w:type="dxa"/>
            <w:vAlign w:val="center"/>
          </w:tcPr>
          <w:p w14:paraId="0EF0BEB9" w14:textId="120AA9EC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-</w:t>
            </w:r>
          </w:p>
        </w:tc>
      </w:tr>
      <w:tr w:rsidR="009D73F5" w:rsidRPr="00161245" w14:paraId="4C9AC600" w14:textId="77777777" w:rsidTr="00E662E1">
        <w:tc>
          <w:tcPr>
            <w:tcW w:w="4815" w:type="dxa"/>
          </w:tcPr>
          <w:p w14:paraId="315A7E8F" w14:textId="49F372CE" w:rsidR="009D73F5" w:rsidRPr="00161245" w:rsidRDefault="00E662E1" w:rsidP="003C5131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Počet vedúcich zamestnancov</w:t>
            </w:r>
          </w:p>
        </w:tc>
        <w:tc>
          <w:tcPr>
            <w:tcW w:w="2126" w:type="dxa"/>
            <w:vAlign w:val="center"/>
          </w:tcPr>
          <w:p w14:paraId="77B60325" w14:textId="7A1463F3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  <w:tc>
          <w:tcPr>
            <w:tcW w:w="2121" w:type="dxa"/>
            <w:vAlign w:val="center"/>
          </w:tcPr>
          <w:p w14:paraId="1CA3A26C" w14:textId="3E257B02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-</w:t>
            </w:r>
          </w:p>
        </w:tc>
      </w:tr>
    </w:tbl>
    <w:p w14:paraId="63E9C9A0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6FB4467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1EC2CE79" w14:textId="1A0361A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Čl. II. INFORMACIE O ORGANOCH SPOLOČNOSTI</w:t>
      </w:r>
    </w:p>
    <w:p w14:paraId="0EC72303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3277B7F2" w14:textId="3E4ED466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Spoločnosť neposkytla v roku 201</w:t>
      </w:r>
      <w:r w:rsidR="00F25620" w:rsidRPr="00161245">
        <w:rPr>
          <w:rFonts w:ascii="CIDFont+F1" w:hAnsi="CIDFont+F1" w:cs="CIDFont+F1"/>
          <w:sz w:val="18"/>
          <w:szCs w:val="18"/>
        </w:rPr>
        <w:t>8</w:t>
      </w:r>
      <w:r w:rsidRPr="00161245">
        <w:rPr>
          <w:rFonts w:ascii="CIDFont+F1" w:hAnsi="CIDFont+F1" w:cs="CIDFont+F1"/>
          <w:sz w:val="18"/>
          <w:szCs w:val="18"/>
        </w:rPr>
        <w:t xml:space="preserve"> členom orgánov Spoločnosti žiadne</w:t>
      </w:r>
    </w:p>
    <w:p w14:paraId="35D89D6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záruky alebo iné zabezpečenia,</w:t>
      </w:r>
    </w:p>
    <w:p w14:paraId="521B2DC4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finančné prostriedky, resp. iné plnenia na súkromné použitie, ktoré by bolo potrebné vyúčtovať.</w:t>
      </w:r>
    </w:p>
    <w:p w14:paraId="1D18485C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3DEF2074" w14:textId="7137162F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ČL. III. INFORMÁCIE O PRIJATÝCH POSTUPOCH</w:t>
      </w:r>
    </w:p>
    <w:p w14:paraId="695AEDB3" w14:textId="77777777" w:rsidR="00F25620" w:rsidRPr="00161245" w:rsidRDefault="00F25620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19BCC5E1" w14:textId="39C1A309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1. Východiská pre zostavenie účtovnej závierky</w:t>
      </w:r>
    </w:p>
    <w:p w14:paraId="54985BDF" w14:textId="77777777" w:rsidR="008B5B4F" w:rsidRPr="00161245" w:rsidRDefault="008B5B4F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7A000401" w14:textId="2D5000C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Účtovná závierka bola zostavená za predpokladu nepretržitého trvania Spoločnosti (going concern).</w:t>
      </w:r>
    </w:p>
    <w:p w14:paraId="713B0345" w14:textId="77777777" w:rsidR="008B5B4F" w:rsidRPr="00161245" w:rsidRDefault="008B5B4F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DA68E33" w14:textId="1C892F2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2. Účtovné zásady a účtovné metódy</w:t>
      </w:r>
    </w:p>
    <w:p w14:paraId="55E32DFB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29AA33D7" w14:textId="0767DA3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Účtovné metódy a všeobecné účtovné zásady boli účtovnou jednotkou konzistentne aplikované.</w:t>
      </w:r>
    </w:p>
    <w:p w14:paraId="362B3644" w14:textId="4AAE9608" w:rsidR="00471656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6BE99F5" w14:textId="792518CD" w:rsidR="008331CE" w:rsidRDefault="008331CE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F3577A5" w14:textId="613BC27E" w:rsidR="008331CE" w:rsidRDefault="008331CE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CA13589" w14:textId="77777777" w:rsidR="008331CE" w:rsidRPr="00161245" w:rsidRDefault="008331CE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0032CA4D" w14:textId="1559200D" w:rsidR="008331CE" w:rsidRPr="008331CE" w:rsidRDefault="008331CE" w:rsidP="008331CE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>
        <w:rPr>
          <w:rFonts w:cs="CIDFont+F2"/>
          <w:b/>
          <w:bCs/>
          <w:sz w:val="18"/>
          <w:szCs w:val="18"/>
          <w:lang w:val="en-GB"/>
        </w:rPr>
        <w:lastRenderedPageBreak/>
        <w:t xml:space="preserve">(a) </w:t>
      </w:r>
      <w:r w:rsidR="003C5131" w:rsidRPr="008331CE">
        <w:rPr>
          <w:rFonts w:ascii="CIDFont+F2" w:hAnsi="CIDFont+F2" w:cs="CIDFont+F2"/>
          <w:b/>
          <w:bCs/>
          <w:sz w:val="18"/>
          <w:szCs w:val="18"/>
        </w:rPr>
        <w:t>Nehmotný majetok a hmotný majetok</w:t>
      </w:r>
    </w:p>
    <w:p w14:paraId="50C26D98" w14:textId="77777777" w:rsidR="008331CE" w:rsidRPr="008331CE" w:rsidRDefault="008331CE" w:rsidP="008331CE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11128AA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Nehmotný a hmotný majetok sa oceňuje obstarávacou cenou, ktorá zahŕňa cenu obstarania a náklady</w:t>
      </w:r>
    </w:p>
    <w:p w14:paraId="0F5D107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súvisiace s obstaraním (clo, prepravu, montáž, poistné a pod.). Úroky z cudzích zdrojov nie sú súčasťou</w:t>
      </w:r>
    </w:p>
    <w:p w14:paraId="004E7420" w14:textId="32CD90B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obstarávacej ceny</w:t>
      </w:r>
    </w:p>
    <w:p w14:paraId="1335974C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CC9B04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Odpisy nehmotného majetku sú stanovené vychádzajúc z predpokladanej doby jeho používania a</w:t>
      </w:r>
    </w:p>
    <w:p w14:paraId="407B676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predpokladaného priebehu jeho opotrebenia. Majetok sa zaradí do užívania v deň, keď sa stane</w:t>
      </w:r>
    </w:p>
    <w:p w14:paraId="593B747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pripraveným na zamýšľané použitie. Drobný nehmotný majetok, ktorého obstarávacia cena (resp. vlastné</w:t>
      </w:r>
    </w:p>
    <w:p w14:paraId="58EF2DE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náklady) je 2 400 EUR, a nižšia, sa odpisuje jednorazovo pri zaradení do užívania. Predpokladaná doba</w:t>
      </w:r>
    </w:p>
    <w:p w14:paraId="6AC1C83E" w14:textId="4122152F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používania, metóda odpisovania a odpisová sadzba sú uvedené v nasledujúcej tabuľke:</w:t>
      </w:r>
    </w:p>
    <w:p w14:paraId="539375BA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71656" w:rsidRPr="00161245" w14:paraId="30179309" w14:textId="77777777" w:rsidTr="00471656">
        <w:tc>
          <w:tcPr>
            <w:tcW w:w="2265" w:type="dxa"/>
            <w:tcBorders>
              <w:bottom w:val="single" w:sz="4" w:space="0" w:color="auto"/>
            </w:tcBorders>
          </w:tcPr>
          <w:p w14:paraId="71AC6234" w14:textId="77777777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</w:p>
        </w:tc>
        <w:tc>
          <w:tcPr>
            <w:tcW w:w="2265" w:type="dxa"/>
            <w:tcBorders>
              <w:bottom w:val="single" w:sz="4" w:space="0" w:color="auto"/>
            </w:tcBorders>
            <w:vAlign w:val="center"/>
          </w:tcPr>
          <w:p w14:paraId="7D4054E8" w14:textId="73E90C24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Predpokladaná doba používania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 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>v rokoch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28063767" w14:textId="0A8B2F20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Metóda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 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>odpisovania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11882C48" w14:textId="10B14CC6" w:rsidR="00471656" w:rsidRPr="00161245" w:rsidRDefault="00471656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Ročná odpisová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 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>sadzba v %</w:t>
            </w:r>
          </w:p>
        </w:tc>
      </w:tr>
      <w:tr w:rsidR="00471656" w:rsidRPr="00161245" w14:paraId="4DF12144" w14:textId="77777777" w:rsidTr="00471656">
        <w:tc>
          <w:tcPr>
            <w:tcW w:w="2265" w:type="dxa"/>
            <w:tcBorders>
              <w:top w:val="single" w:sz="4" w:space="0" w:color="auto"/>
            </w:tcBorders>
          </w:tcPr>
          <w:p w14:paraId="137081AF" w14:textId="5907582B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Softvér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14:paraId="5E2BE001" w14:textId="09CE4A48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5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543D6080" w14:textId="0C7B8C92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L</w:t>
            </w:r>
            <w:r w:rsidRPr="00161245">
              <w:rPr>
                <w:rFonts w:ascii="CIDFont+F1" w:hAnsi="CIDFont+F1" w:cs="CIDFont+F1"/>
                <w:sz w:val="16"/>
                <w:szCs w:val="16"/>
              </w:rPr>
              <w:t>ineárna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51ABFC0B" w14:textId="0F58D163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20</w:t>
            </w:r>
          </w:p>
        </w:tc>
      </w:tr>
      <w:tr w:rsidR="00471656" w:rsidRPr="00161245" w14:paraId="4DE7D15D" w14:textId="77777777" w:rsidTr="00471656">
        <w:tc>
          <w:tcPr>
            <w:tcW w:w="2265" w:type="dxa"/>
          </w:tcPr>
          <w:p w14:paraId="3695FD6D" w14:textId="3B9A013A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Drobný nehmotný majetok</w:t>
            </w:r>
          </w:p>
        </w:tc>
        <w:tc>
          <w:tcPr>
            <w:tcW w:w="2265" w:type="dxa"/>
          </w:tcPr>
          <w:p w14:paraId="332822A1" w14:textId="52071273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rôzna</w:t>
            </w:r>
          </w:p>
        </w:tc>
        <w:tc>
          <w:tcPr>
            <w:tcW w:w="2266" w:type="dxa"/>
          </w:tcPr>
          <w:p w14:paraId="25C540C6" w14:textId="106D4822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jednorazový odpis</w:t>
            </w:r>
          </w:p>
        </w:tc>
        <w:tc>
          <w:tcPr>
            <w:tcW w:w="2266" w:type="dxa"/>
          </w:tcPr>
          <w:p w14:paraId="1B52ADF2" w14:textId="71B97C78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100</w:t>
            </w:r>
          </w:p>
        </w:tc>
      </w:tr>
    </w:tbl>
    <w:p w14:paraId="4B0AFA5B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066D485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Odpisy hmotného majetku sú stanovené vychádzajúc z predpokladanej doby jeho používania</w:t>
      </w:r>
    </w:p>
    <w:p w14:paraId="297CACA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 predpokladaného priebehu jeho opotrebenia. Odpisovať sa začína prvým dňom zaradenia majetku do</w:t>
      </w:r>
    </w:p>
    <w:p w14:paraId="2EF8A9A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užívania. Drobný hmotný majetok, ktorého obstarávacia cena (resp. vlastné náklady) je 1 700 EUR a nižšia</w:t>
      </w:r>
    </w:p>
    <w:p w14:paraId="149273B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 použiteľnosť kratšia ako jeden rok, sa odpisuje jednorazovo pri zaradení do užívania. Pozemky sa</w:t>
      </w:r>
    </w:p>
    <w:p w14:paraId="516D3454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neodpisujú. Predpokladaná doba používania, metóda odpisovania a odpisová sadzba sú uvedené v</w:t>
      </w:r>
    </w:p>
    <w:p w14:paraId="657D4AFD" w14:textId="0FFCED1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nasledujúcej tabuľke:</w:t>
      </w:r>
    </w:p>
    <w:p w14:paraId="751FE584" w14:textId="096A07D2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1841"/>
        <w:gridCol w:w="2266"/>
        <w:gridCol w:w="2266"/>
      </w:tblGrid>
      <w:tr w:rsidR="00CC080A" w:rsidRPr="00161245" w14:paraId="0039EE94" w14:textId="77777777" w:rsidTr="00CC080A">
        <w:tc>
          <w:tcPr>
            <w:tcW w:w="2689" w:type="dxa"/>
            <w:tcBorders>
              <w:bottom w:val="single" w:sz="4" w:space="0" w:color="auto"/>
            </w:tcBorders>
          </w:tcPr>
          <w:p w14:paraId="50E9F022" w14:textId="77777777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</w:p>
        </w:tc>
        <w:tc>
          <w:tcPr>
            <w:tcW w:w="1841" w:type="dxa"/>
            <w:tcBorders>
              <w:bottom w:val="single" w:sz="4" w:space="0" w:color="auto"/>
            </w:tcBorders>
            <w:vAlign w:val="center"/>
          </w:tcPr>
          <w:p w14:paraId="39AE281C" w14:textId="5D9E0AB1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Predpokladaná doba používania v rokoch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69459941" w14:textId="130D0EBB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Metóda odpisovania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2E153FB6" w14:textId="7CDB0871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Ročná odpisová sadzba v %</w:t>
            </w:r>
          </w:p>
        </w:tc>
      </w:tr>
      <w:tr w:rsidR="00CC080A" w:rsidRPr="00161245" w14:paraId="2CEAF247" w14:textId="77777777" w:rsidTr="00CC080A">
        <w:tc>
          <w:tcPr>
            <w:tcW w:w="2689" w:type="dxa"/>
            <w:tcBorders>
              <w:top w:val="single" w:sz="4" w:space="0" w:color="auto"/>
            </w:tcBorders>
          </w:tcPr>
          <w:p w14:paraId="498265DA" w14:textId="04907337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Stavby</w:t>
            </w:r>
          </w:p>
        </w:tc>
        <w:tc>
          <w:tcPr>
            <w:tcW w:w="1841" w:type="dxa"/>
            <w:tcBorders>
              <w:top w:val="single" w:sz="4" w:space="0" w:color="auto"/>
            </w:tcBorders>
          </w:tcPr>
          <w:p w14:paraId="2A8A3DFB" w14:textId="6A556E2E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40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1478899F" w14:textId="2B130150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6F445E84" w14:textId="0F701824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2,5</w:t>
            </w:r>
          </w:p>
        </w:tc>
      </w:tr>
      <w:tr w:rsidR="00CC080A" w:rsidRPr="00161245" w14:paraId="1C29DEA1" w14:textId="77777777" w:rsidTr="00CC080A">
        <w:tc>
          <w:tcPr>
            <w:tcW w:w="2689" w:type="dxa"/>
          </w:tcPr>
          <w:p w14:paraId="4C5D5F3D" w14:textId="483B9B11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Stroje, prístroje a zariadenia</w:t>
            </w:r>
          </w:p>
        </w:tc>
        <w:tc>
          <w:tcPr>
            <w:tcW w:w="1841" w:type="dxa"/>
          </w:tcPr>
          <w:p w14:paraId="351B9202" w14:textId="6A70D9A3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4</w:t>
            </w:r>
          </w:p>
        </w:tc>
        <w:tc>
          <w:tcPr>
            <w:tcW w:w="2266" w:type="dxa"/>
          </w:tcPr>
          <w:p w14:paraId="7DBD3150" w14:textId="132612B6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</w:tcPr>
          <w:p w14:paraId="5E19BB0E" w14:textId="69F3FE43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25</w:t>
            </w:r>
          </w:p>
        </w:tc>
      </w:tr>
      <w:tr w:rsidR="00CC080A" w:rsidRPr="00161245" w14:paraId="7C8EA987" w14:textId="77777777" w:rsidTr="00CC080A">
        <w:tc>
          <w:tcPr>
            <w:tcW w:w="2689" w:type="dxa"/>
          </w:tcPr>
          <w:p w14:paraId="0D4E9877" w14:textId="62B88C0F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Stroje, prístroje a zariadenia</w:t>
            </w:r>
          </w:p>
        </w:tc>
        <w:tc>
          <w:tcPr>
            <w:tcW w:w="1841" w:type="dxa"/>
          </w:tcPr>
          <w:p w14:paraId="1B3BB5C5" w14:textId="065A36E2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3</w:t>
            </w:r>
          </w:p>
        </w:tc>
        <w:tc>
          <w:tcPr>
            <w:tcW w:w="2266" w:type="dxa"/>
          </w:tcPr>
          <w:p w14:paraId="5CB9044E" w14:textId="36A88FE2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</w:tcPr>
          <w:p w14:paraId="40E717F3" w14:textId="27CE933E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33,33</w:t>
            </w:r>
          </w:p>
        </w:tc>
      </w:tr>
      <w:tr w:rsidR="00CC080A" w:rsidRPr="00161245" w14:paraId="0175EFFB" w14:textId="77777777" w:rsidTr="00CC080A">
        <w:tc>
          <w:tcPr>
            <w:tcW w:w="2689" w:type="dxa"/>
          </w:tcPr>
          <w:p w14:paraId="080AA199" w14:textId="3EB6BB69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Dopravné prostriedky</w:t>
            </w:r>
          </w:p>
        </w:tc>
        <w:tc>
          <w:tcPr>
            <w:tcW w:w="1841" w:type="dxa"/>
          </w:tcPr>
          <w:p w14:paraId="1AE6204F" w14:textId="4DF82875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4</w:t>
            </w:r>
          </w:p>
        </w:tc>
        <w:tc>
          <w:tcPr>
            <w:tcW w:w="2266" w:type="dxa"/>
          </w:tcPr>
          <w:p w14:paraId="0972333F" w14:textId="7BA49AAE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</w:tcPr>
          <w:p w14:paraId="7D24A25E" w14:textId="2B560A8C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25</w:t>
            </w:r>
          </w:p>
        </w:tc>
      </w:tr>
      <w:tr w:rsidR="00CC080A" w:rsidRPr="00161245" w14:paraId="4DB8BE8E" w14:textId="77777777" w:rsidTr="00CC080A">
        <w:tc>
          <w:tcPr>
            <w:tcW w:w="2689" w:type="dxa"/>
          </w:tcPr>
          <w:p w14:paraId="24841F2A" w14:textId="25C21D81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Drobný hmotný majetok</w:t>
            </w:r>
          </w:p>
        </w:tc>
        <w:tc>
          <w:tcPr>
            <w:tcW w:w="1841" w:type="dxa"/>
          </w:tcPr>
          <w:p w14:paraId="7BAC63D3" w14:textId="2EDC063B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rôzna</w:t>
            </w:r>
          </w:p>
        </w:tc>
        <w:tc>
          <w:tcPr>
            <w:tcW w:w="2266" w:type="dxa"/>
          </w:tcPr>
          <w:p w14:paraId="1F7E8BA1" w14:textId="111D8F25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jednorazový odpis</w:t>
            </w:r>
          </w:p>
        </w:tc>
        <w:tc>
          <w:tcPr>
            <w:tcW w:w="2266" w:type="dxa"/>
          </w:tcPr>
          <w:p w14:paraId="54BF65FF" w14:textId="0B59E1D8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100</w:t>
            </w:r>
          </w:p>
        </w:tc>
      </w:tr>
    </w:tbl>
    <w:p w14:paraId="43BAAB9A" w14:textId="77777777" w:rsidR="00CC080A" w:rsidRPr="00161245" w:rsidRDefault="00CC080A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E64A29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Hmotný majetok vrátane technického zhodnotenia, ktorý bol uvedený do užívania v ocenení rovnom alebo</w:t>
      </w:r>
    </w:p>
    <w:p w14:paraId="35BF3AE0" w14:textId="6DAD3A1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nižšom ako 1 700 EUR, sa považuje za hmotný majetok a pokračuje sa v jeho odpisovaní.</w:t>
      </w:r>
    </w:p>
    <w:p w14:paraId="299A69E3" w14:textId="77777777" w:rsidR="00CC080A" w:rsidRPr="00161245" w:rsidRDefault="00CC080A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0442750D" w14:textId="23DCE1B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(b) Zásoby</w:t>
      </w:r>
    </w:p>
    <w:p w14:paraId="6BCCD2F2" w14:textId="77777777" w:rsidR="00CC080A" w:rsidRPr="00161245" w:rsidRDefault="00CC080A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049126C1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Zásoby sa oceňujú nižšou z nasledujúcich hodnôt: obstarávacou cenou (nakupované zásoby) alebo</w:t>
      </w:r>
    </w:p>
    <w:p w14:paraId="4F8861F9" w14:textId="0653366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vlastnými nákladmi (zásoby vytvorené vlastnou činnosťou) alebo čistou realizačnou hodnotou.</w:t>
      </w:r>
    </w:p>
    <w:p w14:paraId="415AB86D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E237F93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Obstarávacia cena zahŕňa cenu zásob a náklady súvisiace s obstaraním (clo, prepravu, poistné, provízie,</w:t>
      </w:r>
    </w:p>
    <w:p w14:paraId="72E1F66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skonto a pod.).</w:t>
      </w:r>
    </w:p>
    <w:p w14:paraId="61B5C81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Úroky z cudzích zdrojov nie sú súčasťou obstarávacej ceny. Nakupované zásoby sa oceňujú váženým</w:t>
      </w:r>
    </w:p>
    <w:p w14:paraId="15CB21DC" w14:textId="5062117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aritmetickým priemerom z obstarávacích cien.</w:t>
      </w:r>
    </w:p>
    <w:p w14:paraId="5D455407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CDEAB2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Vlastné náklady zahŕňajú priame náklady (priamy materiál, priame mzdy a ostatné priame náklady) a časť</w:t>
      </w:r>
    </w:p>
    <w:p w14:paraId="75597DF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nepriamych nákladov bezprostredne súvisiacich s vytvorením zásob vlastnou činnosťou (výrobná réžia).</w:t>
      </w:r>
    </w:p>
    <w:p w14:paraId="054160E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Výrobná réžia sa do vlastných nákladov zahŕňa v závislosti od stupňa rozpracovanosti týchto zásob.</w:t>
      </w:r>
    </w:p>
    <w:p w14:paraId="382FCD3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Správna réžia a odbytové náklady nie sú súčasťou vlastných nákladov. Súčasťou vlastných nákladov nie sú</w:t>
      </w:r>
    </w:p>
    <w:p w14:paraId="1CE1B45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úroky z cudzích zdrojov.</w:t>
      </w:r>
    </w:p>
    <w:p w14:paraId="19D142C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Čistá realizačná hodnota je predpokladaná predajná cena znížená o predpokladané náklady na ich</w:t>
      </w:r>
    </w:p>
    <w:p w14:paraId="0BFAC05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dokončenie a o predpokladané náklady súvisiace s ich predajom.</w:t>
      </w:r>
    </w:p>
    <w:p w14:paraId="1928DBF6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293A1D28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6F51084C" w14:textId="357D56E2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(c) Pohľadávky</w:t>
      </w:r>
    </w:p>
    <w:p w14:paraId="247ADD4B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12B831B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Pohľadávky pri ich vzniku sa oceňujú ich menovitou hodnotou; postúpené pohľadávky a pohľadávky</w:t>
      </w:r>
    </w:p>
    <w:p w14:paraId="3F58E951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nadobudnuté vkladom do základného imania sa oceňujú obstarávacou cenou vrátane nákladov súvisiacich</w:t>
      </w:r>
    </w:p>
    <w:p w14:paraId="50FB911B" w14:textId="79117C7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 obstaraním. Toto ocenenie sa znižuje o pochybné a nevymožiteľné pohľadávky.</w:t>
      </w:r>
    </w:p>
    <w:p w14:paraId="2EE1D0C1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DFA99FD" w14:textId="28125402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(d) Peňažné prostriedky a ekvivalenty peňažných prostriedkov</w:t>
      </w:r>
    </w:p>
    <w:p w14:paraId="622D86AC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71F26F4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Peňažné prostriedky a ich ekvivalenty zahŕňajú peňažnú hotovosť, peňažné prostriedky na bežných účtoch</w:t>
      </w:r>
    </w:p>
    <w:p w14:paraId="7CA4C87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 bankách a finančný majetok, ktorý Spoločnosť používa na riadenie peňažného toku a ktorý je v priebehu</w:t>
      </w:r>
    </w:p>
    <w:p w14:paraId="58AC7CC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lastRenderedPageBreak/>
        <w:t>jedného pracovného dňa, so zanedbateľnými transakčnými nákladmi, ľahko zameniteľný za dopredu</w:t>
      </w:r>
    </w:p>
    <w:p w14:paraId="6C3C2453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známe množstvo peňažných prostriedkov a nesie len nevýznamné riziko zmeny svojej hodnoty.</w:t>
      </w:r>
    </w:p>
    <w:p w14:paraId="5A4A8747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Peňažné prostriedky a ekvivalenty peňažných prostriedkov sa oceňujú ich menovitou hodnotou. Zníženie</w:t>
      </w:r>
    </w:p>
    <w:p w14:paraId="783483D5" w14:textId="1AF4C5F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ich hodnoty sa vyjadruje opravnou položkou.</w:t>
      </w:r>
    </w:p>
    <w:p w14:paraId="3B5C5D5E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1B288CE" w14:textId="6176AC8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(e) Náklady budúcich období a príjmy budúcich období</w:t>
      </w:r>
    </w:p>
    <w:p w14:paraId="20C6690D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0936F53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Náklady budúcich období a príjmy budúcich období sa vykazujú vo výške, ktorá je potrebná na dodržanie</w:t>
      </w:r>
    </w:p>
    <w:p w14:paraId="1C6A2988" w14:textId="76B8EAA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zásady vecnej a časovej súvislosti s účtovným obdobím.</w:t>
      </w:r>
    </w:p>
    <w:p w14:paraId="2F0F7EE2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FC8051F" w14:textId="00837926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(f) Rezervy</w:t>
      </w:r>
    </w:p>
    <w:p w14:paraId="4ECB6080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2779516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Rezervy sú záväzky s n</w:t>
      </w:r>
      <w:r w:rsidRPr="00161245">
        <w:rPr>
          <w:rFonts w:ascii="CIDFont+F1" w:hAnsi="CIDFont+F1" w:cs="CIDFont+F1"/>
          <w:b/>
          <w:bCs/>
          <w:sz w:val="18"/>
          <w:szCs w:val="18"/>
        </w:rPr>
        <w:t>eu</w:t>
      </w:r>
      <w:r w:rsidRPr="00161245">
        <w:rPr>
          <w:rFonts w:ascii="CIDFont+F1" w:hAnsi="CIDFont+F1" w:cs="CIDFont+F1"/>
          <w:sz w:val="18"/>
          <w:szCs w:val="18"/>
        </w:rPr>
        <w:t>rčitým časovým vymedzením alebo výškou; tvoria sa v prípade, ak je</w:t>
      </w:r>
    </w:p>
    <w:p w14:paraId="7433A4E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pravdepodobné, že Spoločnosť má záväzok alebo inú povinnosť, ktorá je výsledkom minulých</w:t>
      </w:r>
    </w:p>
    <w:p w14:paraId="7C4AAB6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udalostí, ktorej dopad sa dá spoľahlivo odhadnúť, a je pravdepodobné, že na jeho vysporiadanie bude</w:t>
      </w:r>
    </w:p>
    <w:p w14:paraId="579F6FB4" w14:textId="6B41E318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potrebný úbytok zdrojov zahŕňajúcich ekonomické úžitky. Oceňujú sa v očakávanej výške záväzku.</w:t>
      </w:r>
    </w:p>
    <w:p w14:paraId="59B1F7CB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A8D3704" w14:textId="1B7C0C2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(g) Záväzky</w:t>
      </w:r>
    </w:p>
    <w:p w14:paraId="00E9F841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36845A23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Záväzky pri ich vzniku sa oceňujú menovitou hodnotou. Záväzky pri ich prevzatí sa oceňujú obstarávacou</w:t>
      </w:r>
    </w:p>
    <w:p w14:paraId="0E82C7B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cenou. Ak sa pri inventarizácii zistí, že suma záväzkov je iná ako ich výška v účtovníctve, uvedú sa</w:t>
      </w:r>
    </w:p>
    <w:p w14:paraId="4A34402C" w14:textId="2AE573D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záväzky v účtovníctve a v účtovnej závierke v tomto zistenom ocenení.</w:t>
      </w:r>
    </w:p>
    <w:p w14:paraId="3F98ADC2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18EB485" w14:textId="5F4EBD7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(h) Výdavky budúcich období a výnosy budúcich období</w:t>
      </w:r>
    </w:p>
    <w:p w14:paraId="6AC823A6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6AB038A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Výdavky budúcich období a výnosy budúcich období sa vykazujú vo výške, ktorá je potrebná na dodržanie</w:t>
      </w:r>
    </w:p>
    <w:p w14:paraId="057AD69C" w14:textId="1B0C7CD6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zásady vecnej a časovej súvislosti s účtovným obdobím.</w:t>
      </w:r>
    </w:p>
    <w:p w14:paraId="491DD603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487D405" w14:textId="18A81AB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(i) Prenájom (lízing)</w:t>
      </w:r>
    </w:p>
    <w:p w14:paraId="0416A2D9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9DDAA3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Operatívny prenájom. Majetok prenajatý na základe operatívneho prenájmu vykazuje ako svoj majetok</w:t>
      </w:r>
    </w:p>
    <w:p w14:paraId="47D8F1FA" w14:textId="72741F9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jeho vlastník, nie nájomca.</w:t>
      </w:r>
    </w:p>
    <w:p w14:paraId="6BED398C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8C7DB8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Finančný prenájom je obstaranie dlhodobého hmotného majetku na základe nájomnej zmluvy</w:t>
      </w:r>
    </w:p>
    <w:p w14:paraId="563EF1B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 dojednaným právom kúpy prenajatej veci za dohodnuté platby počas dohodnutej doby nájmu. Majetok</w:t>
      </w:r>
    </w:p>
    <w:p w14:paraId="47CAC6A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prenajatý formou finančného prenájmu vykazuje ako svoj majetok a odpisuje ho jeho nájomca, nie</w:t>
      </w:r>
    </w:p>
    <w:p w14:paraId="4932D239" w14:textId="06C5B19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vlastník.</w:t>
      </w:r>
    </w:p>
    <w:p w14:paraId="6939A4F8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DB7B657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Prijatie majetku nájomcom sa v účtovníctve nájomcu účtuje v deň prijatia majetku na ťarchu príslušného</w:t>
      </w:r>
    </w:p>
    <w:p w14:paraId="4BDAF51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účtu majetku so súvzťažným zápisom v prospech účtu 474 – Záväzky z nájmu vo výške dohodnutých</w:t>
      </w:r>
    </w:p>
    <w:p w14:paraId="29F8F96D" w14:textId="637ABF1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platieb zníženými o nerealizované finančné náklady.</w:t>
      </w:r>
    </w:p>
    <w:p w14:paraId="7702D9DB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F85996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Súčasťou dohodnutých platieb je aj kúpna cena, za ktorú na konci dohodnutej doby finančného prenájmu</w:t>
      </w:r>
    </w:p>
    <w:p w14:paraId="535BA15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prechádza vlastnícke právo k prenajatému majetku z prenajímateľa na nájomcu. Dohodnutá doba nájmu je</w:t>
      </w:r>
    </w:p>
    <w:p w14:paraId="7D4A8AE1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najmenej 60 % doby odpisovania podľa daňových predpisov, minimálne však 3 roky. Platba nájomného je</w:t>
      </w:r>
    </w:p>
    <w:p w14:paraId="2FBEE3F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alokovaná medzi splátku istiny a finančné náklady, vypočítané metódou efektívnej úrokovej miery.</w:t>
      </w:r>
    </w:p>
    <w:p w14:paraId="493CF2F8" w14:textId="32D54C39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Finančné náklady sa účtujú na ťarchu účtu 562 – Úroky.</w:t>
      </w:r>
    </w:p>
    <w:p w14:paraId="3BD9EF77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241E551" w14:textId="32C46A05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(j) Výnosy</w:t>
      </w:r>
    </w:p>
    <w:p w14:paraId="342407BA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5072A5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Tržby za vlastné výkony a tovar neobsahujú daň z pridanej hodnoty. Sú tiež znížené o zľavy a zrážky</w:t>
      </w:r>
    </w:p>
    <w:p w14:paraId="2EF13F1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(rabaty, bonusy, skontá, dobropisy a pod.), bez ohľadu na to, či zákazník mal vopred na zľavu nárok, alebo</w:t>
      </w:r>
    </w:p>
    <w:p w14:paraId="780E9219" w14:textId="6549301A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či ide o dodatočne uznanú zľavu.</w:t>
      </w:r>
    </w:p>
    <w:p w14:paraId="43C744DD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207B820" w14:textId="4EA9AFF2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(k) Cudzia mena</w:t>
      </w:r>
    </w:p>
    <w:p w14:paraId="5ECFB2B3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5D2F84F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Majetok a záväzky vyjadrené v cudzej mene sa ku dňu uskutočnenia účtovného prípadu prepočítavajú na</w:t>
      </w:r>
    </w:p>
    <w:p w14:paraId="030C82F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menu euro referenčným výmenným kurzom určeným a vyhláseným Európskou centrálnou bankou alebo</w:t>
      </w:r>
    </w:p>
    <w:p w14:paraId="1209476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Národnou bankou Slovenska v deň predchádzajúci dňu uskutočnenia účtovného prípadu.</w:t>
      </w:r>
    </w:p>
    <w:p w14:paraId="748A9290" w14:textId="77777777" w:rsidR="00664336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37B3CB99" w14:textId="61076A6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Majetok a záväzky vyjadrené v cudzej mene (okrem prijatých a poskytnutých preddavkov) sa ku dňu, ku</w:t>
      </w:r>
    </w:p>
    <w:p w14:paraId="0796883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ktorému sa zostavuje účtovná závierka prepočítavajú na menu euro referenčným výmenným kurzom</w:t>
      </w:r>
    </w:p>
    <w:p w14:paraId="34F4ABC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lastRenderedPageBreak/>
        <w:t>určeným a vyhláseným Európskou centrálnou bankou alebo Národnou bankou Slovenska v deň, ku</w:t>
      </w:r>
    </w:p>
    <w:p w14:paraId="296FC10C" w14:textId="03259CA5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ktorému sa zostavuje účtovná závierka, a účtujú sa s vplyvom na výsledok hospodárenia.</w:t>
      </w:r>
    </w:p>
    <w:p w14:paraId="54F72302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F4DC094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Prijaté a poskytnuté preddavky v cudzej mene sa prepočítavajú na menu euro referenčným výmenným</w:t>
      </w:r>
    </w:p>
    <w:p w14:paraId="24E1B1B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kurzom určeným a vyhláseným Európskou centrálnou bankou alebo Národnou bankou Slovenska v deň</w:t>
      </w:r>
    </w:p>
    <w:p w14:paraId="016BFCB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predchádzajúci dňu uskutočnenia účtovného prípadu. Ku dňu, ku ktorému sa zostavuje účtovná závierka, sa</w:t>
      </w:r>
    </w:p>
    <w:p w14:paraId="26CBEC80" w14:textId="2806DEFE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 menu euro už neprepočítavajú.</w:t>
      </w:r>
    </w:p>
    <w:p w14:paraId="2AA589E5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783CBE6B" w14:textId="3274CDC0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(l) Daň z</w:t>
      </w:r>
      <w:r w:rsidR="00664336" w:rsidRPr="00664336">
        <w:rPr>
          <w:rFonts w:ascii="CIDFont+F2" w:hAnsi="CIDFont+F2" w:cs="CIDFont+F2"/>
          <w:b/>
          <w:bCs/>
          <w:sz w:val="18"/>
          <w:szCs w:val="18"/>
        </w:rPr>
        <w:t> </w:t>
      </w:r>
      <w:r w:rsidRPr="00664336">
        <w:rPr>
          <w:rFonts w:ascii="CIDFont+F2" w:hAnsi="CIDFont+F2" w:cs="CIDFont+F2"/>
          <w:b/>
          <w:bCs/>
          <w:sz w:val="18"/>
          <w:szCs w:val="18"/>
        </w:rPr>
        <w:t>príjmov</w:t>
      </w:r>
    </w:p>
    <w:p w14:paraId="6306C7B7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4D6204FF" w14:textId="054A772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Daň z príjmov zahŕňa splatnú daň. Daň z príjmov je vykazovaná vo výkaze ziskov a strát okrem</w:t>
      </w:r>
    </w:p>
    <w:p w14:paraId="44667F1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prípadov týkajúcich sa položiek, ktoré sú vykazované priamo vo vlastnom imaní. V tomto prípade sú tieto</w:t>
      </w:r>
    </w:p>
    <w:p w14:paraId="2B26174E" w14:textId="4605FA9E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vykazované vo vlastnom imaní.</w:t>
      </w:r>
    </w:p>
    <w:p w14:paraId="6E6C5E41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F58DA8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Daň splatná je očakávaný daňový záväzok vychádzajúci zo zdaniteľných príjmov za rok prepočítaný</w:t>
      </w:r>
    </w:p>
    <w:p w14:paraId="3EC4936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platnou sadzbou dane ku dňu, ku ktorému sa zostavuje účtovná závierka, upravený o čiastky súvisiace s</w:t>
      </w:r>
    </w:p>
    <w:p w14:paraId="1656F9BC" w14:textId="4E68E22B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minulými obdobiami.</w:t>
      </w:r>
    </w:p>
    <w:p w14:paraId="28B95D85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0BFF7B0" w14:textId="77777777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IV. INFORMACIE, KTORÉ VYSVETĽUJÚ A DOPĹŇAJÚ SÚVAHU A VÝKAZ ZISKOV A</w:t>
      </w:r>
    </w:p>
    <w:p w14:paraId="7F8DCFE9" w14:textId="295DD72A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STRÁT</w:t>
      </w:r>
    </w:p>
    <w:p w14:paraId="10144066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E6E0797" w14:textId="73F7503C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Spoločnosť nemá náplň pre body, ktoré sa uvádzajú v tomto článku.</w:t>
      </w:r>
    </w:p>
    <w:p w14:paraId="71CDFD10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E262610" w14:textId="067244FA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V. INFORMACIE O INÝCH AKTÍVACH A INÝCH PASÍVACH</w:t>
      </w:r>
    </w:p>
    <w:p w14:paraId="68CCEF87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88F178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Daňové prostredie, v ktorom Spoločnosť na Slovensku pôsobí, závisí od bežnej daňovej legislatívy a praxe</w:t>
      </w:r>
    </w:p>
    <w:p w14:paraId="2487004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 relatívne nízkym počtom precedensov. Pretože daňové úrady neposkytujú oficiálny výklad daňových</w:t>
      </w:r>
    </w:p>
    <w:p w14:paraId="6A2229B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zákonov, existuje riziko, že daňové úrady môžu požadovať úpravy základu dane (napr. v prípade</w:t>
      </w:r>
    </w:p>
    <w:p w14:paraId="3BA7125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transferovaného oceňovania). Daňové priznania ostávajú otvorené a môžu byť predmetom kontroly počas</w:t>
      </w:r>
    </w:p>
    <w:p w14:paraId="1378858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obdobia piatich rokov. Skutočnosť, že určité obdobie alebo daňové priznanie vzťahujúce sa na toto obdobie</w:t>
      </w:r>
    </w:p>
    <w:p w14:paraId="11A75CA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bolo kontrolované, nemá vplyv na vylúčenie tohto obdobia z prípadnej ďalšej kontroly počas obdobia</w:t>
      </w:r>
    </w:p>
    <w:p w14:paraId="5C9AD0AE" w14:textId="190DFD8A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piatich rokov.</w:t>
      </w:r>
    </w:p>
    <w:p w14:paraId="48C45566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A4484C5" w14:textId="77777777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VI. UDALOSTI, KTORÉ NASTALI PO DNI, KU KTORÉMU SA ZOSTAVUJE ÚČTOVNÁ</w:t>
      </w:r>
    </w:p>
    <w:p w14:paraId="71A64012" w14:textId="206AC69B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ZÁVIERKA</w:t>
      </w:r>
      <w:r w:rsidR="00375F9F">
        <w:rPr>
          <w:rFonts w:ascii="CIDFont+F2" w:hAnsi="CIDFont+F2" w:cs="CIDFont+F2"/>
          <w:b/>
          <w:bCs/>
          <w:sz w:val="18"/>
          <w:szCs w:val="18"/>
        </w:rPr>
        <w:t xml:space="preserve"> </w:t>
      </w:r>
      <w:r w:rsidRPr="00664336">
        <w:rPr>
          <w:rFonts w:ascii="CIDFont+F2" w:hAnsi="CIDFont+F2" w:cs="CIDFont+F2"/>
          <w:b/>
          <w:bCs/>
          <w:sz w:val="18"/>
          <w:szCs w:val="18"/>
        </w:rPr>
        <w:t>INFORMACIE O INÝCH AKTÍVACH A INÝCH PASÍVACH</w:t>
      </w:r>
    </w:p>
    <w:p w14:paraId="2107DD9E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11F4EFD3" w14:textId="125527E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 31.12.201</w:t>
      </w:r>
      <w:r w:rsidR="00664336">
        <w:rPr>
          <w:rFonts w:ascii="CIDFont+F1" w:hAnsi="CIDFont+F1" w:cs="CIDFont+F1"/>
          <w:sz w:val="18"/>
          <w:szCs w:val="18"/>
        </w:rPr>
        <w:t>8</w:t>
      </w:r>
      <w:r w:rsidRPr="00161245">
        <w:rPr>
          <w:rFonts w:ascii="CIDFont+F1" w:hAnsi="CIDFont+F1" w:cs="CIDFont+F1"/>
          <w:sz w:val="18"/>
          <w:szCs w:val="18"/>
        </w:rPr>
        <w:t xml:space="preserve"> nenastali žiadne skutočnosti, ktoré majú významný vplyv na verné zobrazenie skutočností,</w:t>
      </w:r>
    </w:p>
    <w:p w14:paraId="7CA119BC" w14:textId="45CDADD8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ktoré sú predmetom účtovníctva.</w:t>
      </w:r>
    </w:p>
    <w:p w14:paraId="7E932130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B654851" w14:textId="67E774F2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VII. OSTATNÉ INFORMÁCIE</w:t>
      </w:r>
    </w:p>
    <w:p w14:paraId="357E4713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5E161C02" w14:textId="0794318F" w:rsidR="00930D53" w:rsidRPr="00161245" w:rsidRDefault="003C5131" w:rsidP="003C5131">
      <w:pPr>
        <w:rPr>
          <w:sz w:val="20"/>
          <w:szCs w:val="20"/>
        </w:rPr>
      </w:pPr>
      <w:r w:rsidRPr="00161245">
        <w:rPr>
          <w:rFonts w:ascii="CIDFont+F1" w:hAnsi="CIDFont+F1" w:cs="CIDFont+F1"/>
          <w:sz w:val="18"/>
          <w:szCs w:val="18"/>
        </w:rPr>
        <w:t>Spoločnosť nemá náplň pre body, ktoré sa uvádzajú v tomto článku.</w:t>
      </w:r>
    </w:p>
    <w:sectPr w:rsidR="00930D53" w:rsidRPr="0016124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B4D8B9" w14:textId="77777777" w:rsidR="00491E9C" w:rsidRDefault="00491E9C" w:rsidP="003C5131">
      <w:pPr>
        <w:spacing w:after="0" w:line="240" w:lineRule="auto"/>
      </w:pPr>
      <w:r>
        <w:separator/>
      </w:r>
    </w:p>
  </w:endnote>
  <w:endnote w:type="continuationSeparator" w:id="0">
    <w:p w14:paraId="19411896" w14:textId="77777777" w:rsidR="00491E9C" w:rsidRDefault="00491E9C" w:rsidP="003C5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25595D" w14:textId="77777777" w:rsidR="00491E9C" w:rsidRDefault="00491E9C" w:rsidP="003C5131">
      <w:pPr>
        <w:spacing w:after="0" w:line="240" w:lineRule="auto"/>
      </w:pPr>
      <w:r>
        <w:separator/>
      </w:r>
    </w:p>
  </w:footnote>
  <w:footnote w:type="continuationSeparator" w:id="0">
    <w:p w14:paraId="254DEDDD" w14:textId="77777777" w:rsidR="00491E9C" w:rsidRDefault="00491E9C" w:rsidP="003C5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3CA2D6" w14:textId="2D2DCDED" w:rsidR="003C5131" w:rsidRDefault="003C5131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141C494" wp14:editId="596E7B22">
              <wp:simplePos x="0" y="0"/>
              <wp:positionH relativeFrom="margin">
                <wp:align>right</wp:align>
              </wp:positionH>
              <wp:positionV relativeFrom="paragraph">
                <wp:posOffset>-182880</wp:posOffset>
              </wp:positionV>
              <wp:extent cx="1609725" cy="561975"/>
              <wp:effectExtent l="0" t="0" r="28575" b="28575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9725" cy="561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261DB5" w14:textId="1EE5187E" w:rsidR="003C5131" w:rsidRDefault="003C5131" w:rsidP="003C5131">
                          <w:proofErr w:type="gramStart"/>
                          <w:r>
                            <w:rPr>
                              <w:lang w:val="en-GB"/>
                            </w:rPr>
                            <w:t>I</w:t>
                          </w:r>
                          <w:r>
                            <w:t>ČO  52023214</w:t>
                          </w:r>
                          <w:proofErr w:type="gramEnd"/>
                        </w:p>
                        <w:p w14:paraId="55E966A6" w14:textId="59C82CA5" w:rsidR="003C5131" w:rsidRPr="003C5131" w:rsidRDefault="003C5131" w:rsidP="003C5131">
                          <w:r>
                            <w:t>DIČ  2120894259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41C49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5.55pt;margin-top:-14.4pt;width:126.75pt;height:44.2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">
              <v:textbox>
                <w:txbxContent>
                  <w:p w14:paraId="6E261DB5" w14:textId="1EE5187E" w:rsidR="003C5131" w:rsidRDefault="003C5131" w:rsidP="003C5131">
                    <w:proofErr w:type="gramStart"/>
                    <w:r>
                      <w:rPr>
                        <w:lang w:val="en-GB"/>
                      </w:rPr>
                      <w:t>I</w:t>
                    </w:r>
                    <w:r>
                      <w:t>ČO  52023214</w:t>
                    </w:r>
                    <w:proofErr w:type="gramEnd"/>
                  </w:p>
                  <w:p w14:paraId="55E966A6" w14:textId="59C82CA5" w:rsidR="003C5131" w:rsidRPr="003C5131" w:rsidRDefault="003C5131" w:rsidP="003C5131">
                    <w:r>
                      <w:t>DIČ  2120894259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ADEC856" wp14:editId="3640D45A">
              <wp:simplePos x="0" y="0"/>
              <wp:positionH relativeFrom="margin">
                <wp:align>left</wp:align>
              </wp:positionH>
              <wp:positionV relativeFrom="paragraph">
                <wp:posOffset>-160020</wp:posOffset>
              </wp:positionV>
              <wp:extent cx="1609725" cy="304800"/>
              <wp:effectExtent l="0" t="0" r="28575" b="190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9725" cy="304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9364F8" w14:textId="240123A9" w:rsidR="003C5131" w:rsidRPr="003C5131" w:rsidRDefault="003C5131">
                          <w:pPr>
                            <w:rPr>
                              <w:lang w:val="en-GB"/>
                            </w:rPr>
                          </w:pPr>
                          <w:r>
                            <w:t>Poznámky Úč MÚJ</w:t>
                          </w:r>
                          <w:r>
                            <w:rPr>
                              <w:lang w:val="en-GB"/>
                            </w:rPr>
                            <w:t xml:space="preserve">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DEC856" id="_x0000_s1027" type="#_x0000_t202" style="position:absolute;margin-left:0;margin-top:-12.6pt;width:126.75pt;height:24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">
              <v:textbox>
                <w:txbxContent>
                  <w:p w14:paraId="139364F8" w14:textId="240123A9" w:rsidR="003C5131" w:rsidRPr="003C5131" w:rsidRDefault="003C5131">
                    <w:pPr>
                      <w:rPr>
                        <w:lang w:val="en-GB"/>
                      </w:rPr>
                    </w:pPr>
                    <w:r>
                      <w:t>Poznámky Úč MÚJ</w:t>
                    </w:r>
                    <w:r>
                      <w:rPr>
                        <w:lang w:val="en-GB"/>
                      </w:rPr>
                      <w:t xml:space="preserve"> 3-01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F92B49"/>
    <w:multiLevelType w:val="hybridMultilevel"/>
    <w:tmpl w:val="EF309E80"/>
    <w:lvl w:ilvl="0" w:tplc="4D984F7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131"/>
    <w:rsid w:val="00161245"/>
    <w:rsid w:val="00375F9F"/>
    <w:rsid w:val="003C5131"/>
    <w:rsid w:val="00471656"/>
    <w:rsid w:val="00491E9C"/>
    <w:rsid w:val="00570A5B"/>
    <w:rsid w:val="00664336"/>
    <w:rsid w:val="008331CE"/>
    <w:rsid w:val="008B5B4F"/>
    <w:rsid w:val="008D6C64"/>
    <w:rsid w:val="00930D53"/>
    <w:rsid w:val="009D73F5"/>
    <w:rsid w:val="00CC080A"/>
    <w:rsid w:val="00E662E1"/>
    <w:rsid w:val="00F25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D1B3A1"/>
  <w15:chartTrackingRefBased/>
  <w15:docId w15:val="{99AE183B-F123-4157-A72C-F24371F4B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5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5131"/>
  </w:style>
  <w:style w:type="paragraph" w:styleId="Footer">
    <w:name w:val="footer"/>
    <w:basedOn w:val="Normal"/>
    <w:link w:val="FooterChar"/>
    <w:uiPriority w:val="99"/>
    <w:unhideWhenUsed/>
    <w:rsid w:val="003C5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5131"/>
  </w:style>
  <w:style w:type="paragraph" w:styleId="ListParagraph">
    <w:name w:val="List Paragraph"/>
    <w:basedOn w:val="Normal"/>
    <w:uiPriority w:val="34"/>
    <w:qFormat/>
    <w:rsid w:val="003C5131"/>
    <w:pPr>
      <w:ind w:left="720"/>
      <w:contextualSpacing/>
    </w:pPr>
  </w:style>
  <w:style w:type="table" w:styleId="TableGrid">
    <w:name w:val="Table Grid"/>
    <w:basedOn w:val="TableNormal"/>
    <w:uiPriority w:val="39"/>
    <w:rsid w:val="009D73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93FE13-A09D-44BA-938C-322596EEE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1645</Words>
  <Characters>9377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 Winkler</dc:creator>
  <cp:keywords/>
  <dc:description/>
  <cp:lastModifiedBy>Eduard Winkler</cp:lastModifiedBy>
  <cp:revision>9</cp:revision>
  <dcterms:created xsi:type="dcterms:W3CDTF">2020-10-29T19:39:00Z</dcterms:created>
  <dcterms:modified xsi:type="dcterms:W3CDTF">2020-10-29T20:51:00Z</dcterms:modified>
</cp:coreProperties>
</file>