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sz w:val="20"/>
        </w:rPr>
      </w:pPr>
      <w:r>
        <w:rPr>
          <w:rFonts w:cs="Arial;Arial Narrow" w:ascii="Arial;Arial Narrow" w:hAnsi="Arial;Arial Narrow"/>
          <w:b/>
          <w:bCs/>
          <w:sz w:val="20"/>
        </w:rPr>
        <w:tab/>
        <w:tab/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sz w:val="20"/>
        </w:rPr>
      </w:pPr>
      <w:r>
        <w:rPr>
          <w:rFonts w:cs="Arial;Arial Narrow" w:ascii="Arial;Arial Narrow" w:hAnsi="Arial;Arial Narrow"/>
          <w:b/>
          <w:bCs/>
          <w:sz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>
          <w:i/>
          <w:i/>
          <w:sz w:val="20"/>
          <w:szCs w:val="20"/>
        </w:rPr>
      </w:pPr>
      <w:r>
        <w:rPr>
          <w:i/>
          <w:szCs w:val="20"/>
        </w:rPr>
        <w:t xml:space="preserve">Všeobecné informácie             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bCs/>
          <w:i/>
          <w:sz w:val="20"/>
          <w:szCs w:val="20"/>
        </w:rPr>
      </w:r>
    </w:p>
    <w:p>
      <w:pPr>
        <w:pStyle w:val="Normal"/>
        <w:ind w:left="425" w:hanging="0"/>
        <w:jc w:val="both"/>
        <w:rPr>
          <w:rFonts w:ascii="Arial;Arial Narrow" w:hAnsi="Arial;Arial Narrow" w:cs="Arial;Arial Narrow"/>
          <w:b/>
          <w:b/>
          <w:bCs/>
          <w:sz w:val="18"/>
          <w:szCs w:val="22"/>
        </w:rPr>
      </w:pPr>
      <w:r>
        <w:rPr>
          <w:rFonts w:cs="Arial;Arial Narrow" w:ascii="Arial;Arial Narrow" w:hAnsi="Arial;Arial Narrow"/>
          <w:b/>
          <w:bCs/>
          <w:sz w:val="18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8"/>
        <w:gridCol w:w="7097"/>
      </w:tblGrid>
      <w:tr>
        <w:trPr>
          <w:trHeight w:val="1100" w:hRule="atLeast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Obchodné meno:</w:t>
            </w:r>
          </w:p>
        </w:tc>
        <w:tc>
          <w:tcPr>
            <w:tcW w:w="709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 </w:t>
            </w:r>
            <w:r>
              <w:rPr>
                <w:rFonts w:cs="Arial;Arial Narrow" w:ascii="Arial;Arial Narrow" w:hAnsi="Arial;Arial Narrow"/>
                <w:sz w:val="20"/>
                <w:szCs w:val="22"/>
              </w:rPr>
              <w:t>AV Grafit s.r.o.</w:t>
            </w:r>
          </w:p>
        </w:tc>
      </w:tr>
      <w:tr>
        <w:trPr>
          <w:trHeight w:val="340" w:hRule="atLeast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Sídlo:</w:t>
            </w:r>
          </w:p>
        </w:tc>
        <w:tc>
          <w:tcPr>
            <w:tcW w:w="7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Gogoľova 18, Bratislava 851 01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  <w:t>381</w:t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3261"/>
        <w:gridCol w:w="992"/>
        <w:gridCol w:w="425"/>
        <w:gridCol w:w="4253"/>
        <w:gridCol w:w="434"/>
      </w:tblGrid>
      <w:tr>
        <w:trPr>
          <w:trHeight w:val="340" w:hRule="atLeast"/>
        </w:trPr>
        <w:tc>
          <w:tcPr>
            <w:tcW w:w="936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/>
            </w:pP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Údaje o konsolidovanom celku</w:t>
            </w:r>
          </w:p>
        </w:tc>
      </w:tr>
      <w:tr>
        <w:trPr>
          <w:trHeight w:val="340" w:hRule="atLeast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ÚJ je súčasťou konsolidovaného celku</w:t>
            </w:r>
            <w:r>
              <w:rPr>
                <w:rFonts w:cs="Arial;Arial Narrow" w:ascii="Arial;Arial Narrow" w:hAnsi="Arial;Arial Narrow"/>
                <w:szCs w:val="22"/>
              </w:rPr>
              <w:t xml:space="preserve">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ind w:left="56" w:hanging="0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36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214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cs="Arial;Arial Narrow" w:ascii="Arial;Arial Narrow" w:hAnsi="Arial;Arial Narrow"/>
                <w:i/>
                <w:sz w:val="18"/>
              </w:rPr>
              <w:t xml:space="preserve"> </w:t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Meno ÚJ, ktorá je bezprostredne konsolidujúcou ÚJ:</w:t>
            </w:r>
          </w:p>
        </w:tc>
        <w:tc>
          <w:tcPr>
            <w:tcW w:w="6104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Sídlo :</w:t>
            </w:r>
          </w:p>
        </w:tc>
        <w:tc>
          <w:tcPr>
            <w:tcW w:w="61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</w:tbl>
    <w:p>
      <w:pPr>
        <w:pStyle w:val="Normal"/>
        <w:ind w:right="112" w:hanging="0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7"/>
        <w:gridCol w:w="1358"/>
        <w:gridCol w:w="1760"/>
        <w:gridCol w:w="709"/>
        <w:gridCol w:w="567"/>
        <w:gridCol w:w="567"/>
        <w:gridCol w:w="578"/>
      </w:tblGrid>
      <w:tr>
        <w:trPr>
          <w:trHeight w:val="340" w:hRule="atLeast"/>
        </w:trPr>
        <w:tc>
          <w:tcPr>
            <w:tcW w:w="694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ind w:left="318" w:hanging="0"/>
              <w:rPr>
                <w:rFonts w:ascii="Arial;Arial Narrow" w:hAnsi="Arial;Arial Narrow" w:cs="Arial;Arial Narrow"/>
                <w:b/>
                <w:b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694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ind w:left="318" w:hanging="0"/>
              <w:rPr>
                <w:rFonts w:ascii="Arial;Arial Narrow" w:hAnsi="Arial;Arial Narrow" w:cs="Arial;Arial Narrow"/>
                <w:i/>
                <w:i/>
                <w:sz w:val="18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/>
                <w:b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34" w:hanging="0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§ 22 ods.8</w:t>
            </w:r>
          </w:p>
        </w:tc>
        <w:tc>
          <w:tcPr>
            <w:tcW w:w="418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34" w:hanging="0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§ 22 ods.12</w:t>
            </w:r>
          </w:p>
        </w:tc>
        <w:tc>
          <w:tcPr>
            <w:tcW w:w="418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jc w:val="center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</w:r>
    </w:p>
    <w:p>
      <w:pPr>
        <w:pStyle w:val="Normal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37"/>
        <w:gridCol w:w="1428"/>
      </w:tblGrid>
      <w:tr>
        <w:trPr>
          <w:trHeight w:val="340" w:hRule="atLeast"/>
        </w:trPr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Priemerný prepočítaný počet zamestnancov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jc w:val="center"/>
              <w:rPr/>
            </w:pPr>
            <w:r>
              <w:rPr>
                <w:rFonts w:cs="Arial;Arial Narrow" w:ascii="Arial;Arial Narrow" w:hAnsi="Arial;Arial Narrow"/>
                <w:sz w:val="20"/>
              </w:rPr>
              <w:t>1</w:t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i/>
          <w:i/>
          <w:sz w:val="20"/>
          <w:szCs w:val="20"/>
        </w:rPr>
      </w:pPr>
      <w:r>
        <w:rPr>
          <w:rFonts w:cs="Arial;Arial Narrow" w:ascii="Arial;Arial Narrow" w:hAnsi="Arial;Arial Narrow"/>
          <w:i/>
          <w:sz w:val="20"/>
          <w:szCs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>
          <w:i/>
          <w:i/>
          <w:szCs w:val="20"/>
        </w:rPr>
      </w:pPr>
      <w:r>
        <w:rPr>
          <w:i/>
          <w:szCs w:val="20"/>
        </w:rPr>
        <w:t>Informácie o prijatých postupoch</w:t>
      </w:r>
    </w:p>
    <w:p>
      <w:pPr>
        <w:pStyle w:val="Normal"/>
        <w:ind w:left="1121" w:hanging="0"/>
        <w:jc w:val="both"/>
        <w:rPr>
          <w:rFonts w:ascii="Arial;Arial Narrow" w:hAnsi="Arial;Arial Narrow" w:cs="Arial;Arial Narrow"/>
          <w:b/>
          <w:b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i/>
          <w:sz w:val="20"/>
          <w:szCs w:val="20"/>
        </w:rPr>
      </w:r>
    </w:p>
    <w:p>
      <w:pPr>
        <w:pStyle w:val="Normal"/>
        <w:ind w:left="1121" w:hanging="0"/>
        <w:jc w:val="both"/>
        <w:rPr>
          <w:rFonts w:ascii="Arial;Arial Narrow" w:hAnsi="Arial;Arial Narrow" w:cs="Arial;Arial Narrow"/>
          <w:b/>
          <w:b/>
          <w:sz w:val="20"/>
        </w:rPr>
      </w:pPr>
      <w:r>
        <w:rPr>
          <w:rFonts w:cs="Arial;Arial Narrow" w:ascii="Arial;Arial Narrow" w:hAnsi="Arial;Arial Narrow"/>
          <w:b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"/>
        <w:gridCol w:w="6368"/>
        <w:gridCol w:w="709"/>
        <w:gridCol w:w="567"/>
        <w:gridCol w:w="567"/>
        <w:gridCol w:w="577"/>
      </w:tblGrid>
      <w:tr>
        <w:trPr>
          <w:trHeight w:val="522" w:hRule="exact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6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cs="Arial;Arial Narrow" w:ascii="Arial;Arial Narrow" w:hAnsi="Arial;Arial Narrow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Odsekzoznamu"/>
        <w:keepNext w:val="true"/>
        <w:numPr>
          <w:ilvl w:val="0"/>
          <w:numId w:val="0"/>
        </w:numPr>
        <w:spacing w:before="0" w:after="0"/>
        <w:ind w:left="357" w:hanging="0"/>
        <w:contextualSpacing/>
        <w:jc w:val="both"/>
        <w:outlineLvl w:val="1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6"/>
        <w:gridCol w:w="8365"/>
        <w:gridCol w:w="434"/>
      </w:tblGrid>
      <w:tr>
        <w:trPr>
          <w:trHeight w:val="283" w:hRule="atLeast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Spôsob oceňovania jednotlivých položiek majetku a záväzkov</w:t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Obstarávacou cenou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6. záväzky pri ich prevzatí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27" w:type="dxa"/>
        <w:jc w:val="left"/>
        <w:tblInd w:w="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91"/>
        <w:gridCol w:w="435"/>
      </w:tblGrid>
      <w:tr>
        <w:trPr>
          <w:trHeight w:val="283" w:hRule="atLeast"/>
        </w:trPr>
        <w:tc>
          <w:tcPr>
            <w:tcW w:w="93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Vlastnými nákladmi</w:t>
            </w:r>
          </w:p>
        </w:tc>
      </w:tr>
      <w:tr>
        <w:trPr>
          <w:trHeight w:val="283" w:hRule="atLeast"/>
        </w:trPr>
        <w:tc>
          <w:tcPr>
            <w:tcW w:w="8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4"/>
      </w:tblGrid>
      <w:tr>
        <w:trPr>
          <w:trHeight w:val="283" w:hRule="atLeast"/>
        </w:trPr>
        <w:tc>
          <w:tcPr>
            <w:tcW w:w="9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Menovitou hodnotou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pohľadávky pri ich vzniku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záväzky pri ich vzniku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4"/>
      </w:tblGrid>
      <w:tr>
        <w:trPr>
          <w:trHeight w:val="283" w:hRule="atLeast"/>
        </w:trPr>
        <w:tc>
          <w:tcPr>
            <w:tcW w:w="9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Úbytok zásob rovnakého druhu sa účtuje v ocenení: 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Cenou zistenou váženým aritmetickým priemerom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Metódou FIFO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a náklady súvisiace s obstaraním(VON).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4"/>
      </w:tblGrid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cs="Arial;Arial Narrow" w:ascii="Arial;Arial Narrow" w:hAnsi="Arial;Arial Narrow"/>
                <w:sz w:val="20"/>
              </w:rPr>
              <w:t xml:space="preserve">Výdavky budúcich období a príjmy budúcich období  sa vykazujú vo výške, ktorá je potrebná 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na dodržanie zásady vecnej a časovej súvislosti s účtovným obdobím.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rizík alebo strát z podnikania. Oceňujú sa v očakávanej výške záväzku.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  <w:szCs w:val="22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 xml:space="preserve">rovnajúcom istine a náklady súvisiace s obstaraním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  <w:szCs w:val="22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účely podľa zákona o daniach z príjmov pri sadzbe 21 %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>
            <w:pPr>
              <w:pStyle w:val="Normal"/>
              <w:ind w:right="-468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Náklady a výnosy časovo nerozlišujú.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6"/>
        <w:gridCol w:w="6761"/>
        <w:gridCol w:w="1603"/>
        <w:gridCol w:w="1"/>
        <w:gridCol w:w="435"/>
      </w:tblGrid>
      <w:tr>
        <w:trPr>
          <w:trHeight w:val="774" w:hRule="atLeast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  <w:p>
            <w:pPr>
              <w:pStyle w:val="Odsekzoznamu"/>
              <w:keepNext w:val="true"/>
              <w:numPr>
                <w:ilvl w:val="0"/>
                <w:numId w:val="0"/>
              </w:numPr>
              <w:spacing w:before="0" w:after="0"/>
              <w:ind w:left="357" w:hanging="0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  <w:p>
            <w:pPr>
              <w:pStyle w:val="Odsekzoznamu"/>
              <w:keepNext w:val="true"/>
              <w:numPr>
                <w:ilvl w:val="0"/>
                <w:numId w:val="0"/>
              </w:numPr>
              <w:spacing w:before="0" w:after="0"/>
              <w:ind w:left="357" w:hanging="0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88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>
        <w:trPr/>
        <w:tc>
          <w:tcPr>
            <w:tcW w:w="89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810" w:hRule="atLeast"/>
        </w:trPr>
        <w:tc>
          <w:tcPr>
            <w:tcW w:w="89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rovnajú.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  <w:tr>
        <w:trPr>
          <w:trHeight w:val="823" w:hRule="atLeast"/>
        </w:trPr>
        <w:tc>
          <w:tcPr>
            <w:tcW w:w="89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nerovnajú.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2400,-eur</w:t>
            </w:r>
          </w:p>
        </w:tc>
        <w:tc>
          <w:tcPr>
            <w:tcW w:w="4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1700,-eur</w:t>
            </w:r>
          </w:p>
        </w:tc>
        <w:tc>
          <w:tcPr>
            <w:tcW w:w="4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Odsekzoznamu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7"/>
        <w:gridCol w:w="2246"/>
        <w:gridCol w:w="1842"/>
        <w:gridCol w:w="1560"/>
        <w:gridCol w:w="992"/>
        <w:gridCol w:w="709"/>
        <w:gridCol w:w="425"/>
        <w:gridCol w:w="709"/>
        <w:gridCol w:w="435"/>
      </w:tblGrid>
      <w:tr>
        <w:trPr>
          <w:trHeight w:val="340" w:hRule="exact"/>
        </w:trPr>
        <w:tc>
          <w:tcPr>
            <w:tcW w:w="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66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528" w:hanging="0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X</w:t>
            </w:r>
          </w:p>
        </w:tc>
      </w:tr>
      <w:tr>
        <w:trPr>
          <w:trHeight w:val="388" w:hRule="atLeast"/>
        </w:trPr>
        <w:tc>
          <w:tcPr>
            <w:tcW w:w="269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Dôvod uplatnenia</w:t>
            </w:r>
          </w:p>
        </w:tc>
        <w:tc>
          <w:tcPr>
            <w:tcW w:w="483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Vplyv (+/-) zmeny na:</w:t>
            </w:r>
          </w:p>
        </w:tc>
      </w:tr>
      <w:tr>
        <w:trPr>
          <w:trHeight w:val="301" w:hRule="atLeast"/>
        </w:trPr>
        <w:tc>
          <w:tcPr>
            <w:tcW w:w="2693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Vlastné imanie</w:t>
            </w:r>
          </w:p>
        </w:tc>
        <w:tc>
          <w:tcPr>
            <w:tcW w:w="15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Výsledok hospodárenia</w:t>
            </w:r>
          </w:p>
        </w:tc>
      </w:tr>
      <w:tr>
        <w:trPr>
          <w:trHeight w:val="340" w:hRule="atLeast"/>
        </w:trPr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</w:tbl>
    <w:p>
      <w:pPr>
        <w:pStyle w:val="Odsekzoznamu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5669"/>
        <w:gridCol w:w="1"/>
        <w:gridCol w:w="1700"/>
        <w:gridCol w:w="1"/>
        <w:gridCol w:w="1568"/>
      </w:tblGrid>
      <w:tr>
        <w:trPr>
          <w:trHeight w:val="278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Cs/>
                <w:kern w:val="2"/>
                <w:szCs w:val="22"/>
                <w:lang w:eastAsia="sk-SK"/>
              </w:rPr>
            </w:r>
          </w:p>
        </w:tc>
        <w:tc>
          <w:tcPr>
            <w:tcW w:w="5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39" w:hanging="0"/>
              <w:rPr>
                <w:rFonts w:ascii="Arial;Arial Narrow" w:hAnsi="Arial;Arial Narrow" w:cs="Arial;Arial Narrow"/>
                <w:b/>
                <w:b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napToGrid w:val="false"/>
              <w:ind w:left="0" w:hanging="0"/>
              <w:rPr>
                <w:rFonts w:ascii="Arial;Arial Narrow" w:hAnsi="Arial;Arial Narrow" w:cs="Arial;Arial Narrow"/>
                <w:b/>
                <w:b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kern w:val="2"/>
                <w:szCs w:val="22"/>
                <w:lang w:eastAsia="sk-SK"/>
              </w:rPr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jc w:val="center"/>
              <w:rPr>
                <w:rFonts w:ascii="Arial;Arial Narrow" w:hAnsi="Arial;Arial Narrow" w:cs="Arial;Arial Narrow"/>
                <w:sz w:val="20"/>
                <w:lang w:val="sk-SK" w:eastAsia="sk-SK"/>
              </w:rPr>
            </w:pPr>
            <w:r>
              <w:rPr>
                <w:rFonts w:cs="Arial;Arial Narrow" w:ascii="Arial;Arial Narrow" w:hAnsi="Arial;Arial Narrow"/>
                <w:sz w:val="20"/>
                <w:lang w:val="sk-SK"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6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bCs/>
                <w:kern w:val="2"/>
                <w:sz w:val="20"/>
                <w:szCs w:val="22"/>
                <w:lang w:val="sk-SK" w:eastAsia="sk-SK"/>
              </w:rPr>
            </w:pPr>
            <w:r>
              <w:rPr/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6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6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ind w:left="709" w:hanging="0"/>
        <w:jc w:val="both"/>
        <w:rPr>
          <w:rFonts w:ascii="Arial;Arial Narrow" w:hAnsi="Arial;Arial Narrow" w:cs="Arial;Arial Narrow"/>
          <w:sz w:val="18"/>
          <w:szCs w:val="22"/>
        </w:rPr>
      </w:pPr>
      <w:r>
        <w:rPr>
          <w:rFonts w:cs="Arial;Arial Narrow" w:ascii="Arial;Arial Narrow" w:hAnsi="Arial;Arial Narrow"/>
          <w:sz w:val="18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2819"/>
        <w:gridCol w:w="986"/>
        <w:gridCol w:w="830"/>
        <w:gridCol w:w="2025"/>
        <w:gridCol w:w="2280"/>
      </w:tblGrid>
      <w:tr>
        <w:trPr>
          <w:trHeight w:val="503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94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>
        <w:trPr/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Účtované na účet HV min. období (EUR)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</w:tbl>
    <w:p>
      <w:pPr>
        <w:pStyle w:val="Normal"/>
        <w:ind w:left="360" w:hanging="0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ind w:left="360" w:hanging="0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/>
      </w:pPr>
      <w:r>
        <w:rPr>
          <w:i/>
          <w:szCs w:val="20"/>
        </w:rPr>
        <w:t>Informácie, ktoré vysvetľujú a dopĺňajú súvahu a výkaz ziskov a strát</w:t>
      </w:r>
    </w:p>
    <w:p>
      <w:pPr>
        <w:pStyle w:val="Normal"/>
        <w:ind w:left="1481" w:hanging="0"/>
        <w:jc w:val="both"/>
        <w:rPr>
          <w:rFonts w:ascii="Arial;Arial Narrow" w:hAnsi="Arial;Arial Narrow" w:cs="Arial;Arial Narrow"/>
          <w:i/>
          <w:i/>
          <w:sz w:val="20"/>
          <w:szCs w:val="20"/>
        </w:rPr>
      </w:pPr>
      <w:r>
        <w:rPr>
          <w:rFonts w:cs="Arial;Arial Narrow" w:ascii="Arial;Arial Narrow" w:hAnsi="Arial;Arial Narrow"/>
          <w:i/>
          <w:sz w:val="20"/>
          <w:szCs w:val="20"/>
        </w:rPr>
      </w:r>
    </w:p>
    <w:p>
      <w:pPr>
        <w:pStyle w:val="Normal"/>
        <w:ind w:left="1481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6"/>
        <w:gridCol w:w="3969"/>
        <w:gridCol w:w="3119"/>
        <w:gridCol w:w="1712"/>
      </w:tblGrid>
      <w:tr>
        <w:trPr>
          <w:trHeight w:val="751" w:hRule="atLeast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</w:rPr>
            </w:r>
          </w:p>
          <w:p>
            <w:pPr>
              <w:pStyle w:val="Odsekzoznamu"/>
              <w:ind w:left="1277" w:hanging="0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  <w:lang w:eastAsia="sk-SK"/>
              </w:rPr>
            </w:r>
          </w:p>
          <w:p>
            <w:pPr>
              <w:pStyle w:val="Odsekzoznamu"/>
              <w:ind w:left="1277" w:hanging="0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  <w:lang w:eastAsia="sk-SK"/>
              </w:rPr>
            </w:r>
          </w:p>
        </w:tc>
        <w:tc>
          <w:tcPr>
            <w:tcW w:w="8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cs="Arial;Arial Narrow" w:ascii="Arial;Arial Narrow" w:hAnsi="Arial;Arial Narrow"/>
                <w:i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/>
                <w:sz w:val="20"/>
              </w:rPr>
              <w:t>alebo výskyt</w:t>
            </w:r>
            <w:r>
              <w:rPr>
                <w:rFonts w:cs="Arial;Arial Narrow" w:ascii="Arial;Arial Narrow" w:hAnsi="Arial;Arial Narrow"/>
                <w:i/>
                <w:sz w:val="20"/>
              </w:rPr>
              <w:t xml:space="preserve">, </w:t>
            </w:r>
            <w:r>
              <w:rPr>
                <w:rFonts w:cs="Arial;Arial Narrow" w:ascii="Arial;Arial Narrow" w:hAnsi="Arial;Arial Narrow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Popis nákladov ,výnosov výnimočného rozsahu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Dôvod vzniku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</w:tr>
    </w:tbl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6"/>
        <w:gridCol w:w="3828"/>
        <w:gridCol w:w="3260"/>
        <w:gridCol w:w="1712"/>
      </w:tblGrid>
      <w:tr>
        <w:trPr>
          <w:trHeight w:val="250" w:hRule="atLeast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</w:rPr>
            </w:r>
          </w:p>
        </w:tc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jc w:val="center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bCs w:val="false"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569" w:hRule="atLeast"/>
        </w:trPr>
        <w:tc>
          <w:tcPr>
            <w:tcW w:w="76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jc w:val="both"/>
              <w:rPr>
                <w:rFonts w:ascii="Arial;Arial Narrow" w:hAnsi="Arial;Arial Narrow" w:cs="Arial;Arial Narrow"/>
                <w:bCs/>
                <w:color w:val="000000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>
        <w:trPr>
          <w:trHeight w:val="340" w:hRule="atLeast"/>
        </w:trPr>
        <w:tc>
          <w:tcPr>
            <w:tcW w:w="76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Spôsob zabezpečenia: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3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</w:tbl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numPr>
          <w:ilvl w:val="0"/>
          <w:numId w:val="5"/>
        </w:numPr>
        <w:ind w:left="709" w:hanging="567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b/>
          <w:bCs/>
          <w:kern w:val="2"/>
          <w:sz w:val="20"/>
          <w:lang w:eastAsia="en-US"/>
        </w:rPr>
        <w:t>Informácie o vlastných akciách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dôvod nadobudnutia vlastných akcií počas účtovného obdobia,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informácie</w:t>
      </w:r>
    </w:p>
    <w:p>
      <w:pPr>
        <w:pStyle w:val="Normal"/>
        <w:numPr>
          <w:ilvl w:val="0"/>
          <w:numId w:val="8"/>
        </w:numPr>
        <w:tabs>
          <w:tab w:val="clear" w:pos="709"/>
          <w:tab w:val="left" w:pos="851" w:leader="none"/>
        </w:tabs>
        <w:ind w:left="1701" w:hanging="425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3"/>
        </w:numPr>
        <w:tabs>
          <w:tab w:val="clear" w:pos="709"/>
          <w:tab w:val="left" w:pos="851" w:leader="none"/>
        </w:tabs>
        <w:ind w:left="1701" w:hanging="425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bCs/>
          <w:i/>
          <w:i/>
          <w:kern w:val="2"/>
          <w:sz w:val="20"/>
          <w:lang w:eastAsia="en-US"/>
        </w:rPr>
      </w:pPr>
      <w:r>
        <w:rPr>
          <w:rFonts w:cs="Arial;Arial Narrow" w:ascii="Arial;Arial Narrow" w:hAnsi="Arial;Arial Narrow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Arial;Arial Narrow" w:ascii="Arial;Arial Narrow" w:hAnsi="Arial;Arial Narrow"/>
          <w:bCs/>
          <w:i/>
          <w:kern w:val="2"/>
          <w:sz w:val="18"/>
          <w:lang w:eastAsia="en-US"/>
        </w:rPr>
        <w:t>uvádza  sa aj ich percentuálny podiel na upísanom základnom imaní</w:t>
      </w:r>
      <w:r>
        <w:rPr>
          <w:rFonts w:cs="Arial;Arial Narrow" w:ascii="Arial;Arial Narrow" w:hAnsi="Arial;Arial Narrow"/>
          <w:bCs/>
          <w:i/>
          <w:kern w:val="2"/>
          <w:sz w:val="20"/>
          <w:lang w:eastAsia="en-US"/>
        </w:rPr>
        <w:t>.</w:t>
      </w:r>
    </w:p>
    <w:p>
      <w:pPr>
        <w:pStyle w:val="Normal"/>
        <w:ind w:left="1276" w:hanging="0"/>
        <w:jc w:val="both"/>
        <w:rPr>
          <w:rFonts w:ascii="Arial;Arial Narrow" w:hAnsi="Arial;Arial Narrow" w:cs="Arial;Arial Narrow"/>
          <w:bCs/>
          <w:i/>
          <w:i/>
          <w:kern w:val="2"/>
          <w:sz w:val="20"/>
          <w:lang w:eastAsia="en-US"/>
        </w:rPr>
      </w:pPr>
      <w:r>
        <w:rPr>
          <w:rFonts w:cs="Arial;Arial Narrow" w:ascii="Arial;Arial Narrow" w:hAnsi="Arial;Arial Narrow"/>
          <w:bCs/>
          <w:i/>
          <w:kern w:val="2"/>
          <w:sz w:val="20"/>
          <w:lang w:eastAsia="en-US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"/>
        <w:gridCol w:w="5659"/>
        <w:gridCol w:w="993"/>
        <w:gridCol w:w="425"/>
        <w:gridCol w:w="1276"/>
        <w:gridCol w:w="435"/>
      </w:tblGrid>
      <w:tr>
        <w:trPr>
          <w:trHeight w:val="522" w:hRule="exact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/>
                <w:b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nevytvorila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X</w:t>
            </w:r>
          </w:p>
        </w:tc>
      </w:tr>
    </w:tbl>
    <w:p>
      <w:pPr>
        <w:pStyle w:val="Normal"/>
        <w:rPr>
          <w:rFonts w:ascii="Arial;Arial Narrow" w:hAnsi="Arial;Arial Narrow" w:cs="Arial;Arial Narrow"/>
          <w:bCs/>
          <w:i/>
          <w:i/>
          <w:sz w:val="14"/>
          <w:szCs w:val="22"/>
        </w:rPr>
      </w:pPr>
      <w:r>
        <w:rPr>
          <w:rFonts w:cs="Arial;Arial Narrow" w:ascii="Arial;Arial Narrow" w:hAnsi="Arial;Arial Narrow"/>
          <w:bCs/>
          <w:i/>
          <w:sz w:val="14"/>
          <w:szCs w:val="22"/>
        </w:rPr>
      </w:r>
    </w:p>
    <w:p>
      <w:pPr>
        <w:pStyle w:val="Normal"/>
        <w:rPr>
          <w:rFonts w:ascii="Arial;Arial Narrow" w:hAnsi="Arial;Arial Narrow" w:cs="Arial;Arial Narrow"/>
          <w:bCs/>
          <w:i/>
          <w:i/>
          <w:sz w:val="14"/>
          <w:szCs w:val="22"/>
        </w:rPr>
      </w:pPr>
      <w:r>
        <w:rPr>
          <w:rFonts w:cs="Arial;Arial Narrow" w:ascii="Arial;Arial Narrow" w:hAnsi="Arial;Arial Narrow"/>
          <w:bCs/>
          <w:i/>
          <w:sz w:val="14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6"/>
        <w:gridCol w:w="5221"/>
        <w:gridCol w:w="1955"/>
        <w:gridCol w:w="1624"/>
      </w:tblGrid>
      <w:tr>
        <w:trPr>
          <w:trHeight w:val="258" w:hRule="atLeast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 orgánoch účtovnej jednotky</w:t>
            </w:r>
          </w:p>
        </w:tc>
      </w:tr>
      <w:tr>
        <w:trPr>
          <w:trHeight w:val="283" w:hRule="atLeast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>
        <w:trPr>
          <w:trHeight w:val="340" w:hRule="atLeast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Druh záruky</w:t>
            </w: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rPr>
          <w:rFonts w:ascii="Arial;Arial Narrow" w:hAnsi="Arial;Arial Narrow" w:cs="Arial;Arial Narrow"/>
        </w:rPr>
      </w:pPr>
      <w:r>
        <w:rPr>
          <w:rFonts w:cs="Arial;Arial Narrow" w:ascii="Arial;Arial Narrow" w:hAnsi="Arial;Arial Narrow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7"/>
        <w:gridCol w:w="1537"/>
        <w:gridCol w:w="756"/>
        <w:gridCol w:w="1285"/>
      </w:tblGrid>
      <w:tr>
        <w:trPr>
          <w:trHeight w:val="340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b)pôžičky poskytnuté členom štatutárneho orgánu, dozorného orgánu a iného orgánu ÚJ</w:t>
            </w:r>
          </w:p>
        </w:tc>
      </w:tr>
      <w:tr>
        <w:trPr>
          <w:trHeight w:val="283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Úrok v %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  <w:p>
            <w:pPr>
              <w:pStyle w:val="Normal"/>
              <w:tabs>
                <w:tab w:val="clear" w:pos="709"/>
                <w:tab w:val="left" w:pos="851" w:leader="none"/>
              </w:tabs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Celková suma splatených pôžičiek k poslednému dňu účt. obdobia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rPr>
          <w:rFonts w:ascii="Arial;Arial Narrow" w:hAnsi="Arial;Arial Narrow" w:cs="Arial;Arial Narrow"/>
        </w:rPr>
      </w:pPr>
      <w:r>
        <w:rPr>
          <w:rFonts w:cs="Arial;Arial Narrow" w:ascii="Arial;Arial Narrow" w:hAnsi="Arial;Arial Narrow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7"/>
        <w:gridCol w:w="1955"/>
        <w:gridCol w:w="1624"/>
      </w:tblGrid>
      <w:tr>
        <w:trPr>
          <w:trHeight w:val="283" w:hRule="atLeast"/>
        </w:trPr>
        <w:tc>
          <w:tcPr>
            <w:tcW w:w="93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Plnenie na súkromné účely k vyúčtovaniu</w:t>
            </w: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6520"/>
        <w:gridCol w:w="425"/>
        <w:gridCol w:w="1712"/>
      </w:tblGrid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Cs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/>
              </w:rPr>
            </w:r>
          </w:p>
        </w:tc>
        <w:tc>
          <w:tcPr>
            <w:tcW w:w="8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1480" w:hanging="0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 povinnostiach účtovnej jednotky</w:t>
            </w:r>
          </w:p>
        </w:tc>
      </w:tr>
      <w:tr>
        <w:trPr/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  <w:lang w:eastAsia="sk-SK"/>
              </w:rPr>
            </w:r>
          </w:p>
        </w:tc>
        <w:tc>
          <w:tcPr>
            <w:tcW w:w="8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Odsekzoznamu"/>
              <w:ind w:left="0" w:hanging="0"/>
              <w:jc w:val="both"/>
              <w:rPr>
                <w:rFonts w:ascii="Arial;Arial Narrow" w:hAnsi="Arial;Arial Narrow" w:cs="Arial;Arial Narrow"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6532"/>
        <w:gridCol w:w="424"/>
        <w:gridCol w:w="1701"/>
      </w:tblGrid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 w:val="false"/>
                <w:b w:val="false"/>
                <w:bCs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 w:val="false"/>
                <w:bCs/>
                <w:sz w:val="20"/>
                <w:szCs w:val="20"/>
                <w:lang w:val="sk-SK"/>
              </w:rPr>
            </w: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O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pis a hodnota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 xml:space="preserve">významných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Poskytnuté záruky za úver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Ručenie za ...............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Neobmedzené ručenie v inej spoločnosti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/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Iné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Odsekzoznamu"/>
        <w:spacing w:before="0" w:after="0"/>
        <w:ind w:left="641" w:hanging="0"/>
        <w:contextualSpacing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6509"/>
        <w:gridCol w:w="1"/>
        <w:gridCol w:w="424"/>
        <w:gridCol w:w="1"/>
        <w:gridCol w:w="1710"/>
      </w:tblGrid>
      <w:tr>
        <w:trPr>
          <w:trHeight w:val="340" w:hRule="atLeast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  <w:tc>
          <w:tcPr>
            <w:tcW w:w="65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pacing w:before="0" w:after="0"/>
              <w:ind w:left="-119" w:hanging="0"/>
              <w:contextualSpacing/>
              <w:jc w:val="both"/>
              <w:rPr>
                <w:rFonts w:ascii="Arial;Arial Narrow" w:hAnsi="Arial;Arial Narrow" w:cs="Arial;Arial Narrow"/>
                <w:i/>
                <w:i/>
                <w:sz w:val="20"/>
                <w:lang w:val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ÚJ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 a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 xml:space="preserve"> ÚJ s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napToGrid w:val="false"/>
              <w:rPr>
                <w:rFonts w:ascii="Arial;Arial Narrow" w:hAnsi="Arial;Arial Narrow" w:cs="Arial;Arial Narrow"/>
                <w:b/>
                <w:b/>
                <w:i/>
                <w:i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/>
                <w:i/>
                <w:sz w:val="20"/>
                <w:szCs w:val="20"/>
                <w:lang w:val="sk-SK"/>
              </w:rPr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</w:tbl>
    <w:p>
      <w:pPr>
        <w:pStyle w:val="Odsekzoznamu"/>
        <w:spacing w:before="0" w:after="0"/>
        <w:contextualSpacing/>
        <w:jc w:val="both"/>
        <w:rPr>
          <w:rFonts w:ascii="Arial;Arial Narrow" w:hAnsi="Arial;Arial Narrow" w:cs="Arial;Arial Narrow"/>
          <w:i/>
          <w:i/>
          <w:sz w:val="20"/>
          <w:lang w:val="sk-SK"/>
        </w:rPr>
      </w:pPr>
      <w:r>
        <w:rPr>
          <w:rFonts w:cs="Arial;Arial Narrow" w:ascii="Arial;Arial Narrow" w:hAnsi="Arial;Arial Narrow"/>
          <w:i/>
          <w:sz w:val="20"/>
          <w:lang w:val="sk-SK"/>
        </w:rPr>
      </w:r>
    </w:p>
    <w:p>
      <w:pPr>
        <w:pStyle w:val="Odsekzoznamu"/>
        <w:spacing w:before="0" w:after="0"/>
        <w:contextualSpacing/>
        <w:jc w:val="both"/>
        <w:rPr>
          <w:rFonts w:ascii="Arial;Arial Narrow" w:hAnsi="Arial;Arial Narrow" w:cs="Arial;Arial Narrow"/>
          <w:i/>
          <w:i/>
          <w:sz w:val="20"/>
          <w:lang w:val="sk-SK"/>
        </w:rPr>
      </w:pPr>
      <w:r>
        <w:rPr>
          <w:rFonts w:cs="Arial;Arial Narrow" w:ascii="Arial;Arial Narrow" w:hAnsi="Arial;Arial Narrow"/>
          <w:i/>
          <w:sz w:val="20"/>
          <w:lang w:val="sk-SK"/>
        </w:rPr>
      </w:r>
    </w:p>
    <w:p>
      <w:pPr>
        <w:pStyle w:val="Odsekzoznamu"/>
        <w:numPr>
          <w:ilvl w:val="0"/>
          <w:numId w:val="7"/>
        </w:numPr>
        <w:spacing w:before="0" w:after="0"/>
        <w:ind w:left="641" w:hanging="284"/>
        <w:contextualSpacing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  <w:t>opise významných povinností účtovnej jednotky vyplývajúcich z dôchodkových programov pre zamestnancov.</w:t>
      </w:r>
    </w:p>
    <w:p>
      <w:pPr>
        <w:pStyle w:val="Normal"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p>
      <w:pPr>
        <w:pStyle w:val="Normal"/>
        <w:numPr>
          <w:ilvl w:val="0"/>
          <w:numId w:val="5"/>
        </w:numPr>
        <w:ind w:left="709" w:hanging="567"/>
        <w:jc w:val="both"/>
        <w:rPr>
          <w:rFonts w:ascii="Arial;Arial Narrow" w:hAnsi="Arial;Arial Narrow" w:cs="Arial;Arial Narrow"/>
          <w:b/>
          <w:b/>
          <w:sz w:val="20"/>
        </w:rPr>
      </w:pPr>
      <w:bookmarkStart w:id="0" w:name="OLE_LINK1"/>
      <w:r>
        <w:rPr>
          <w:rFonts w:cs="Arial;Arial Narrow" w:ascii="Arial;Arial Narrow" w:hAnsi="Arial;Arial Narrow"/>
          <w:sz w:val="20"/>
        </w:rPr>
        <w:t>Informácie o udelení výlučného práva alebo osobitného práva, ktorým sa udelilo právo poskytovať služby vo verejnom záujme</w:t>
      </w:r>
      <w:bookmarkEnd w:id="0"/>
    </w:p>
    <w:p>
      <w:pPr>
        <w:pStyle w:val="Normal"/>
        <w:jc w:val="right"/>
        <w:rPr>
          <w:rFonts w:ascii="Arial;Arial Narrow" w:hAnsi="Arial;Arial Narrow" w:cs="Arial;Arial Narrow"/>
          <w:b/>
          <w:b/>
          <w:sz w:val="20"/>
        </w:rPr>
      </w:pPr>
      <w:r>
        <w:rPr>
          <w:rFonts w:cs="Arial;Arial Narrow" w:ascii="Arial;Arial Narrow" w:hAnsi="Arial;Arial Narrow"/>
          <w:b/>
          <w:sz w:val="20"/>
        </w:rPr>
      </w:r>
    </w:p>
    <w:p>
      <w:pPr>
        <w:pStyle w:val="Normal"/>
        <w:jc w:val="right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Default"/>
        <w:rPr>
          <w:rFonts w:ascii="Arial;Arial Narrow" w:hAnsi="Arial;Arial Narrow" w:cs="Arial;Arial Narrow"/>
          <w:sz w:val="22"/>
          <w:szCs w:val="23"/>
        </w:rPr>
      </w:pPr>
      <w:r>
        <w:rPr>
          <w:rFonts w:cs="Arial;Arial Narrow" w:ascii="Arial;Arial Narrow" w:hAnsi="Arial;Arial Narrow"/>
          <w:sz w:val="22"/>
          <w:szCs w:val="23"/>
        </w:rPr>
        <w:t>Použité skratky:</w:t>
      </w:r>
    </w:p>
    <w:p>
      <w:pPr>
        <w:pStyle w:val="Normal"/>
        <w:jc w:val="both"/>
        <w:rPr/>
      </w:pPr>
      <w:r>
        <w:rPr>
          <w:rFonts w:cs="Arial;Arial Narrow" w:ascii="Arial;Arial Narrow" w:hAnsi="Arial;Arial Narrow"/>
          <w:sz w:val="20"/>
        </w:rPr>
        <w:t xml:space="preserve">ÚJ - účtovná jednotka; BO- bežné účtovné obdobie; X= ÚJ má náplň pre jednotlivú položku </w:t>
      </w:r>
    </w:p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cs="Arial;Arial Narrow" w:ascii="Arial;Arial Narrow" w:hAnsi="Arial;Arial Narrow"/>
          <w:i/>
          <w:sz w:val="18"/>
          <w:szCs w:val="18"/>
        </w:rPr>
        <w:t>Údaje v poznámkach sú uvádzané za bežne účtovné obdobie. Sumy sú uvádzané v celých eurách.</w:t>
      </w:r>
    </w:p>
    <w:p>
      <w:pPr>
        <w:pStyle w:val="Default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cs="Arial;Arial Narrow" w:ascii="Arial;Arial Narrow" w:hAnsi="Arial;Arial Narrow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>
      <w:pPr>
        <w:pStyle w:val="Default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eastAsia="Arial;Arial Narrow" w:cs="Arial;Arial Narrow" w:ascii="Arial;Arial Narrow" w:hAnsi="Arial;Arial Narrow"/>
          <w:i/>
          <w:sz w:val="18"/>
          <w:szCs w:val="18"/>
        </w:rPr>
        <w:t xml:space="preserve"> </w:t>
      </w:r>
      <w:r>
        <w:rPr>
          <w:rFonts w:cs="Arial;Arial Narrow" w:ascii="Arial;Arial Narrow" w:hAnsi="Arial;Arial Narrow"/>
          <w:i/>
          <w:sz w:val="18"/>
          <w:szCs w:val="18"/>
        </w:rPr>
        <w:t xml:space="preserve"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>
      <w:pPr>
        <w:pStyle w:val="Default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cs="Arial;Arial Narrow" w:ascii="Arial;Arial Narrow" w:hAnsi="Arial;Arial Narrow"/>
          <w:i/>
          <w:sz w:val="18"/>
          <w:szCs w:val="18"/>
        </w:rPr>
        <w:t xml:space="preserve">. </w:t>
      </w:r>
    </w:p>
    <w:p>
      <w:pPr>
        <w:pStyle w:val="Normal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021" w:right="1559" w:header="567" w:top="1107" w:footer="567" w:bottom="1418" w:gutter="0"/>
      <w:pgNumType w:start="1"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Times New Roman">
    <w:charset w:val="ee"/>
    <w:family w:val="swiss"/>
    <w:pitch w:val="variable"/>
  </w:font>
  <w:font w:name="Arial Narrow">
    <w:charset w:val="ee"/>
    <w:family w:val="roman"/>
    <w:pitch w:val="variable"/>
  </w:font>
  <w:font w:name="Tahoma">
    <w:charset w:val="ee"/>
    <w:family w:val="roman"/>
    <w:pitch w:val="variable"/>
  </w:font>
  <w:font w:name="Arial">
    <w:altName w:val="Arial Narrow"/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343" w:type="dxa"/>
      <w:jc w:val="left"/>
      <w:tblInd w:w="18" w:type="dxa"/>
      <w:tblBorders>
        <w:top w:val="single" w:sz="4" w:space="0" w:color="000000"/>
        <w:left w:val="single" w:sz="4" w:space="0" w:color="000000"/>
        <w:bottom w:val="single" w:sz="4" w:space="0" w:color="000000"/>
        <w:insideH w:val="single" w:sz="4" w:space="0" w:color="000000"/>
      </w:tblBorders>
      <w:tblCellMar>
        <w:top w:w="0" w:type="dxa"/>
        <w:left w:w="70" w:type="dxa"/>
        <w:bottom w:w="0" w:type="dxa"/>
        <w:right w:w="70" w:type="dxa"/>
      </w:tblCellMar>
    </w:tblPr>
    <w:tblGrid>
      <w:gridCol w:w="2954"/>
      <w:gridCol w:w="709"/>
      <w:gridCol w:w="2693"/>
      <w:gridCol w:w="284"/>
      <w:gridCol w:w="2703"/>
    </w:tblGrid>
    <w:tr>
      <w:trPr>
        <w:trHeight w:val="326" w:hRule="atLeast"/>
      </w:trPr>
      <w:tc>
        <w:tcPr>
          <w:tcW w:w="29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Hlavika"/>
            <w:rPr/>
          </w:pPr>
          <w:r>
            <w:rPr/>
            <w:t>Poznámky Úč</w:t>
          </w:r>
          <w:r>
            <w:rPr>
              <w:lang w:val="sk-SK"/>
            </w:rPr>
            <w:t xml:space="preserve"> </w:t>
          </w:r>
          <w:r>
            <w:rPr/>
            <w:t xml:space="preserve"> </w:t>
          </w:r>
          <w:r>
            <w:rPr>
              <w:lang w:val="sk-SK"/>
            </w:rPr>
            <w:t>MÚJ</w:t>
          </w:r>
          <w:r>
            <w:rPr/>
            <w:t xml:space="preserve"> 3-01</w:t>
          </w:r>
        </w:p>
      </w:tc>
      <w:tc>
        <w:tcPr>
          <w:tcW w:w="70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snapToGrid w:val="false"/>
            <w:rPr/>
          </w:pPr>
          <w:r>
            <w:rPr/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rPr/>
          </w:pPr>
          <w:r>
            <w:rPr/>
            <w:t>IČO:</w:t>
          </w:r>
          <w:r>
            <w:rPr/>
            <w:t>52451861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snapToGrid w:val="false"/>
            <w:rPr/>
          </w:pPr>
          <w:r>
            <w:rPr/>
          </w:r>
        </w:p>
      </w:tc>
      <w:tc>
        <w:tcPr>
          <w:tcW w:w="270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center"/>
        </w:tcPr>
        <w:p>
          <w:pPr>
            <w:pStyle w:val="Normal"/>
            <w:rPr/>
          </w:pPr>
          <w:r>
            <w:rPr/>
            <w:t>DIČ:</w:t>
          </w:r>
          <w:r>
            <w:rPr/>
            <w:t>2121029757</w:t>
          </w:r>
        </w:p>
      </w:tc>
    </w:tr>
  </w:tbl>
  <w:p>
    <w:pPr>
      <w:pStyle w:val="Hlavika"/>
      <w:rPr>
        <w:lang w:val="sk-SK"/>
      </w:rPr>
    </w:pPr>
    <w:r>
      <w:rPr>
        <w:lang w:val="sk-SK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4613"/>
        </w:tabs>
        <w:ind w:left="3893" w:hanging="-360"/>
      </w:pPr>
      <w:rPr>
        <w:sz w:val="24"/>
        <w:b/>
        <w:szCs w:val="24"/>
        <w:bCs/>
        <w:rFonts w:cs="Times New Roman"/>
        <w:lang w:val="sk-SK" w:bidi="sk-SK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644" w:hanging="360"/>
      </w:pPr>
      <w:rPr>
        <w:sz w:val="20"/>
        <w:b/>
        <w:szCs w:val="20"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2"/>
      <w:numFmt w:val="decimal"/>
      <w:lvlText w:val="%1."/>
      <w:lvlJc w:val="left"/>
      <w:pPr>
        <w:ind w:left="251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lowerLetter"/>
      <w:lvlText w:val="%1)"/>
      <w:lvlJc w:val="left"/>
      <w:pPr>
        <w:ind w:left="641" w:hanging="284"/>
      </w:pPr>
      <w:rPr>
        <w:sz w:val="20"/>
        <w:b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786" w:hanging="360"/>
      </w:pPr>
      <w:rPr>
        <w:sz w:val="20"/>
        <w:i w:val="false"/>
        <w:b/>
        <w:szCs w:val="24"/>
        <w:rFonts w:ascii="Arial;Arial Narrow" w:hAnsi="Arial;Arial Narrow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lvl w:ilvl="0">
      <w:start w:val="1"/>
      <w:numFmt w:val="upperRoman"/>
      <w:lvlText w:val="%1."/>
      <w:lvlJc w:val="right"/>
      <w:pPr>
        <w:ind w:left="720" w:hanging="360"/>
      </w:pPr>
      <w:rPr>
        <w:sz w:val="20"/>
        <w:i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lvl w:ilvl="0">
      <w:start w:val="1"/>
      <w:numFmt w:val="lowerLetter"/>
      <w:lvlText w:val="%1)"/>
      <w:lvlJc w:val="left"/>
      <w:pPr>
        <w:ind w:left="644" w:hanging="360"/>
      </w:pPr>
      <w:rPr>
        <w:sz w:val="20"/>
        <w:b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lvl w:ilvl="0">
      <w:start w:val="1"/>
      <w:numFmt w:val="decimal"/>
      <w:lvlText w:val="%1."/>
      <w:lvlJc w:val="left"/>
      <w:pPr>
        <w:ind w:left="2487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lvl w:ilvl="0">
      <w:start w:val="1"/>
      <w:numFmt w:val="lowerLetter"/>
      <w:lvlText w:val="%1)"/>
      <w:lvlJc w:val="left"/>
      <w:pPr>
        <w:ind w:left="786" w:hanging="360"/>
      </w:pPr>
      <w:rPr>
        <w:sz w:val="20"/>
        <w:i/>
        <w:b/>
        <w:szCs w:val="24"/>
        <w:rFonts w:ascii="Arial;Arial Narrow" w:hAnsi="Arial;Arial Narrow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lvl w:ilvl="0">
      <w:start w:val="1"/>
      <w:numFmt w:val="decimal"/>
      <w:lvlText w:val="(%1)"/>
      <w:lvlJc w:val="left"/>
      <w:pPr>
        <w:ind w:left="644" w:hanging="360"/>
      </w:pPr>
      <w:rPr>
        <w:sz w:val="20"/>
        <w:b/>
        <w:szCs w:val="20"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</w:numbering>
</file>

<file path=word/settings.xml><?xml version="1.0" encoding="utf-8"?>
<w:settings xmlns:w="http://schemas.openxmlformats.org/wordprocessingml/2006/main">
  <w:zoom w:percent="11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sz w:val="20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Nadpis1">
    <w:name w:val="Heading 1"/>
    <w:basedOn w:val="Nadpis"/>
    <w:next w:val="Nadpis2"/>
    <w:qFormat/>
    <w:pPr>
      <w:keepNext w:val="true"/>
      <w:widowControl/>
      <w:numPr>
        <w:ilvl w:val="0"/>
        <w:numId w:val="1"/>
      </w:numPr>
      <w:bidi w:val="0"/>
      <w:spacing w:before="240" w:after="60"/>
      <w:jc w:val="center"/>
      <w:outlineLvl w:val="0"/>
    </w:pPr>
    <w:rPr>
      <w:rFonts w:ascii="Times New Roman" w:hAnsi="Times New Roman" w:eastAsia="Times New Roman" w:cs="Arial;Arial Narrow"/>
      <w:b/>
      <w:bCs/>
      <w:color w:val="auto"/>
      <w:kern w:val="2"/>
      <w:sz w:val="24"/>
      <w:szCs w:val="32"/>
      <w:lang w:val="sk-SK" w:eastAsia="zh-CN" w:bidi="ar-SA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</w:rPr>
  </w:style>
  <w:style w:type="paragraph" w:styleId="Nadpis3">
    <w:name w:val="Heading 3"/>
    <w:basedOn w:val="Normal"/>
    <w:next w:val="Normal"/>
    <w:qFormat/>
    <w:pPr>
      <w:keepNext w:val="true"/>
      <w:jc w:val="both"/>
      <w:outlineLvl w:val="2"/>
    </w:pPr>
    <w:rPr>
      <w:b/>
      <w:u w:val="single"/>
    </w:rPr>
  </w:style>
  <w:style w:type="paragraph" w:styleId="Nadpis4">
    <w:name w:val="Heading 4"/>
    <w:basedOn w:val="Normal"/>
    <w:next w:val="Normal"/>
    <w:qFormat/>
    <w:pPr>
      <w:keepNext w:val="true"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al"/>
    <w:next w:val="Normal"/>
    <w:qFormat/>
    <w:pPr>
      <w:keepNext w:val="true"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al"/>
    <w:next w:val="Normal"/>
    <w:qFormat/>
    <w:pPr>
      <w:keepNext w:val="true"/>
      <w:ind w:left="360" w:hanging="0"/>
      <w:jc w:val="center"/>
      <w:outlineLvl w:val="5"/>
    </w:pPr>
    <w:rPr>
      <w:rFonts w:ascii="Arial Narrow" w:hAnsi="Arial Narrow" w:cs="Arial Narrow"/>
      <w:b/>
      <w:bCs/>
      <w:sz w:val="28"/>
      <w:szCs w:val="22"/>
    </w:rPr>
  </w:style>
  <w:style w:type="character" w:styleId="WW8Num1z0">
    <w:name w:val="WW8Num1z0"/>
    <w:qFormat/>
    <w:rPr>
      <w:b w:val="false"/>
      <w:sz w:val="20"/>
      <w:szCs w:val="20"/>
    </w:rPr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/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0">
    <w:name w:val="WW8Num3z0"/>
    <w:qFormat/>
    <w:rPr>
      <w:b w:val="false"/>
    </w:rPr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4z0">
    <w:name w:val="WW8Num4z0"/>
    <w:qFormat/>
    <w:rPr>
      <w:rFonts w:ascii="Times New Roman" w:hAnsi="Times New Roman" w:cs="Times New Roman"/>
      <w:b w:val="false"/>
      <w:i w:val="false"/>
      <w:sz w:val="20"/>
      <w:szCs w:val="24"/>
    </w:rPr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i/>
      <w:szCs w:val="20"/>
    </w:rPr>
  </w:style>
  <w:style w:type="character" w:styleId="WW8Num5z1">
    <w:name w:val="WW8Num5z1"/>
    <w:qFormat/>
    <w:rPr/>
  </w:style>
  <w:style w:type="character" w:styleId="WW8Num5z2">
    <w:name w:val="WW8Num5z2"/>
    <w:qFormat/>
    <w:rPr/>
  </w:style>
  <w:style w:type="character" w:styleId="WW8Num5z3">
    <w:name w:val="WW8Num5z3"/>
    <w:qFormat/>
    <w:rPr/>
  </w:style>
  <w:style w:type="character" w:styleId="WW8Num5z4">
    <w:name w:val="WW8Num5z4"/>
    <w:qFormat/>
    <w:rPr/>
  </w:style>
  <w:style w:type="character" w:styleId="WW8Num5z5">
    <w:name w:val="WW8Num5z5"/>
    <w:qFormat/>
    <w:rPr/>
  </w:style>
  <w:style w:type="character" w:styleId="WW8Num5z6">
    <w:name w:val="WW8Num5z6"/>
    <w:qFormat/>
    <w:rPr/>
  </w:style>
  <w:style w:type="character" w:styleId="WW8Num5z7">
    <w:name w:val="WW8Num5z7"/>
    <w:qFormat/>
    <w:rPr/>
  </w:style>
  <w:style w:type="character" w:styleId="WW8Num5z8">
    <w:name w:val="WW8Num5z8"/>
    <w:qFormat/>
    <w:rPr/>
  </w:style>
  <w:style w:type="character" w:styleId="WW8Num6z0">
    <w:name w:val="WW8Num6z0"/>
    <w:qFormat/>
    <w:rPr>
      <w:b w:val="false"/>
    </w:rPr>
  </w:style>
  <w:style w:type="character" w:styleId="WW8Num6z1">
    <w:name w:val="WW8Num6z1"/>
    <w:qFormat/>
    <w:rPr/>
  </w:style>
  <w:style w:type="character" w:styleId="WW8Num6z2">
    <w:name w:val="WW8Num6z2"/>
    <w:qFormat/>
    <w:rPr/>
  </w:style>
  <w:style w:type="character" w:styleId="WW8Num6z3">
    <w:name w:val="WW8Num6z3"/>
    <w:qFormat/>
    <w:rPr/>
  </w:style>
  <w:style w:type="character" w:styleId="WW8Num6z4">
    <w:name w:val="WW8Num6z4"/>
    <w:qFormat/>
    <w:rPr/>
  </w:style>
  <w:style w:type="character" w:styleId="WW8Num6z5">
    <w:name w:val="WW8Num6z5"/>
    <w:qFormat/>
    <w:rPr/>
  </w:style>
  <w:style w:type="character" w:styleId="WW8Num6z6">
    <w:name w:val="WW8Num6z6"/>
    <w:qFormat/>
    <w:rPr/>
  </w:style>
  <w:style w:type="character" w:styleId="WW8Num6z7">
    <w:name w:val="WW8Num6z7"/>
    <w:qFormat/>
    <w:rPr/>
  </w:style>
  <w:style w:type="character" w:styleId="WW8Num6z8">
    <w:name w:val="WW8Num6z8"/>
    <w:qFormat/>
    <w:rPr/>
  </w:style>
  <w:style w:type="character" w:styleId="WW8Num7z0">
    <w:name w:val="WW8Num7z0"/>
    <w:qFormat/>
    <w:rPr/>
  </w:style>
  <w:style w:type="character" w:styleId="WW8Num7z1">
    <w:name w:val="WW8Num7z1"/>
    <w:qFormat/>
    <w:rPr/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8z0">
    <w:name w:val="WW8Num8z0"/>
    <w:qFormat/>
    <w:rPr/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character" w:styleId="WW8Num9z0">
    <w:name w:val="WW8Num9z0"/>
    <w:qFormat/>
    <w:rPr>
      <w:rFonts w:ascii="Times New Roman" w:hAnsi="Times New Roman" w:cs="Times New Roman"/>
      <w:i/>
      <w:sz w:val="18"/>
      <w:szCs w:val="24"/>
    </w:rPr>
  </w:style>
  <w:style w:type="character" w:styleId="WW8Num9z1">
    <w:name w:val="WW8Num9z1"/>
    <w:qFormat/>
    <w:rPr/>
  </w:style>
  <w:style w:type="character" w:styleId="WW8Num9z2">
    <w:name w:val="WW8Num9z2"/>
    <w:qFormat/>
    <w:rPr/>
  </w:style>
  <w:style w:type="character" w:styleId="WW8Num9z3">
    <w:name w:val="WW8Num9z3"/>
    <w:qFormat/>
    <w:rPr/>
  </w:style>
  <w:style w:type="character" w:styleId="WW8Num9z4">
    <w:name w:val="WW8Num9z4"/>
    <w:qFormat/>
    <w:rPr/>
  </w:style>
  <w:style w:type="character" w:styleId="WW8Num9z5">
    <w:name w:val="WW8Num9z5"/>
    <w:qFormat/>
    <w:rPr/>
  </w:style>
  <w:style w:type="character" w:styleId="WW8Num9z6">
    <w:name w:val="WW8Num9z6"/>
    <w:qFormat/>
    <w:rPr/>
  </w:style>
  <w:style w:type="character" w:styleId="WW8Num9z7">
    <w:name w:val="WW8Num9z7"/>
    <w:qFormat/>
    <w:rPr/>
  </w:style>
  <w:style w:type="character" w:styleId="WW8Num9z8">
    <w:name w:val="WW8Num9z8"/>
    <w:qFormat/>
    <w:rPr/>
  </w:style>
  <w:style w:type="character" w:styleId="WW8Num10z0">
    <w:name w:val="WW8Num10z0"/>
    <w:qFormat/>
    <w:rPr>
      <w:b w:val="false"/>
      <w:sz w:val="20"/>
      <w:szCs w:val="20"/>
    </w:rPr>
  </w:style>
  <w:style w:type="character" w:styleId="WW8Num10z1">
    <w:name w:val="WW8Num10z1"/>
    <w:qFormat/>
    <w:rPr/>
  </w:style>
  <w:style w:type="character" w:styleId="WW8Num10z2">
    <w:name w:val="WW8Num10z2"/>
    <w:qFormat/>
    <w:rPr/>
  </w:style>
  <w:style w:type="character" w:styleId="WW8Num10z3">
    <w:name w:val="WW8Num10z3"/>
    <w:qFormat/>
    <w:rPr/>
  </w:style>
  <w:style w:type="character" w:styleId="WW8Num10z4">
    <w:name w:val="WW8Num10z4"/>
    <w:qFormat/>
    <w:rPr/>
  </w:style>
  <w:style w:type="character" w:styleId="WW8Num10z5">
    <w:name w:val="WW8Num10z5"/>
    <w:qFormat/>
    <w:rPr/>
  </w:style>
  <w:style w:type="character" w:styleId="WW8Num10z6">
    <w:name w:val="WW8Num10z6"/>
    <w:qFormat/>
    <w:rPr/>
  </w:style>
  <w:style w:type="character" w:styleId="WW8Num10z7">
    <w:name w:val="WW8Num10z7"/>
    <w:qFormat/>
    <w:rPr/>
  </w:style>
  <w:style w:type="character" w:styleId="WW8Num10z8">
    <w:name w:val="WW8Num10z8"/>
    <w:qFormat/>
    <w:rPr/>
  </w:style>
  <w:style w:type="character" w:styleId="WW8Num11z0">
    <w:name w:val="WW8Num11z0"/>
    <w:qFormat/>
    <w:rPr>
      <w:rFonts w:ascii="Times New Roman" w:hAnsi="Times New Roman" w:cs="Times New Roman"/>
      <w:b/>
      <w:bCs/>
      <w:sz w:val="24"/>
      <w:szCs w:val="24"/>
      <w:lang w:val="sk-SK" w:bidi="sk-SK"/>
    </w:rPr>
  </w:style>
  <w:style w:type="character" w:styleId="WW8Num11z1">
    <w:name w:val="WW8Num11z1"/>
    <w:qFormat/>
    <w:rPr/>
  </w:style>
  <w:style w:type="character" w:styleId="WW8Num11z2">
    <w:name w:val="WW8Num11z2"/>
    <w:qFormat/>
    <w:rPr/>
  </w:style>
  <w:style w:type="character" w:styleId="WW8Num11z3">
    <w:name w:val="WW8Num11z3"/>
    <w:qFormat/>
    <w:rPr/>
  </w:style>
  <w:style w:type="character" w:styleId="WW8Num11z4">
    <w:name w:val="WW8Num11z4"/>
    <w:qFormat/>
    <w:rPr/>
  </w:style>
  <w:style w:type="character" w:styleId="WW8Num11z5">
    <w:name w:val="WW8Num11z5"/>
    <w:qFormat/>
    <w:rPr/>
  </w:style>
  <w:style w:type="character" w:styleId="WW8Num11z6">
    <w:name w:val="WW8Num11z6"/>
    <w:qFormat/>
    <w:rPr/>
  </w:style>
  <w:style w:type="character" w:styleId="WW8Num11z7">
    <w:name w:val="WW8Num11z7"/>
    <w:qFormat/>
    <w:rPr/>
  </w:style>
  <w:style w:type="character" w:styleId="WW8Num11z8">
    <w:name w:val="WW8Num11z8"/>
    <w:qFormat/>
    <w:rPr/>
  </w:style>
  <w:style w:type="character" w:styleId="Predvolenpsmoodseku">
    <w:name w:val="Predvolené písmo odseku"/>
    <w:qFormat/>
    <w:rPr/>
  </w:style>
  <w:style w:type="character" w:styleId="Znakyprepoznmkupodiarou">
    <w:name w:val="Znaky pre poznámku pod čiarou"/>
    <w:qFormat/>
    <w:rPr>
      <w:vertAlign w:val="superscript"/>
    </w:rPr>
  </w:style>
  <w:style w:type="character" w:styleId="Slostrany">
    <w:name w:val="Číslo strany"/>
    <w:basedOn w:val="Predvolenpsmoodseku"/>
    <w:rPr/>
  </w:style>
  <w:style w:type="character" w:styleId="PtaChar">
    <w:name w:val="Päta Char"/>
    <w:qFormat/>
    <w:rPr>
      <w:sz w:val="24"/>
      <w:szCs w:val="24"/>
    </w:rPr>
  </w:style>
  <w:style w:type="character" w:styleId="TextkoncovejpoznmkyChar">
    <w:name w:val="Text koncovej poznámky Char"/>
    <w:basedOn w:val="Predvolenpsmoodseku"/>
    <w:qFormat/>
    <w:rPr/>
  </w:style>
  <w:style w:type="character" w:styleId="Znakyprekoncovpoznmku">
    <w:name w:val="Znaky pre koncovú poznámku"/>
    <w:qFormat/>
    <w:rPr>
      <w:vertAlign w:val="superscript"/>
    </w:rPr>
  </w:style>
  <w:style w:type="character" w:styleId="HlavikaChar">
    <w:name w:val="Hlavička Char"/>
    <w:qFormat/>
    <w:rPr>
      <w:sz w:val="24"/>
      <w:szCs w:val="24"/>
    </w:rPr>
  </w:style>
  <w:style w:type="character" w:styleId="TextbublinyChar">
    <w:name w:val="Text bubliny Char"/>
    <w:qFormat/>
    <w:rPr>
      <w:rFonts w:ascii="Tahoma" w:hAnsi="Tahoma" w:cs="Tahoma"/>
      <w:sz w:val="16"/>
      <w:szCs w:val="16"/>
    </w:rPr>
  </w:style>
  <w:style w:type="character" w:styleId="Tl">
    <w:name w:val="tl"/>
    <w:basedOn w:val="Predvolenpsmoodseku"/>
    <w:qFormat/>
    <w:rPr/>
  </w:style>
  <w:style w:type="character" w:styleId="Tl1Char">
    <w:name w:val="Štýl1 Char"/>
    <w:basedOn w:val="PtaChar"/>
    <w:qFormat/>
    <w:rPr/>
  </w:style>
  <w:style w:type="character" w:styleId="Ra">
    <w:name w:val="ra"/>
    <w:basedOn w:val="Predvolenpsmoodseku"/>
    <w:qFormat/>
    <w:rPr/>
  </w:style>
  <w:style w:type="character" w:styleId="OdsekzoznamuChar">
    <w:name w:val="Odsek zoznamu Char"/>
    <w:qFormat/>
    <w:rPr>
      <w:sz w:val="24"/>
      <w:szCs w:val="24"/>
    </w:rPr>
  </w:style>
  <w:style w:type="character" w:styleId="ListLabel1">
    <w:name w:val="ListLabel 1"/>
    <w:qFormat/>
    <w:rPr>
      <w:rFonts w:cs="Times New Roman"/>
      <w:b/>
      <w:bCs/>
      <w:sz w:val="24"/>
      <w:szCs w:val="24"/>
      <w:lang w:val="sk-SK" w:bidi="sk-SK"/>
    </w:rPr>
  </w:style>
  <w:style w:type="character" w:styleId="ListLabel2">
    <w:name w:val="ListLabel 2"/>
    <w:qFormat/>
    <w:rPr>
      <w:rFonts w:ascii="Arial;Arial Narrow" w:hAnsi="Arial;Arial Narrow"/>
      <w:b/>
      <w:sz w:val="20"/>
      <w:szCs w:val="20"/>
    </w:rPr>
  </w:style>
  <w:style w:type="character" w:styleId="ListLabel3">
    <w:name w:val="ListLabel 3"/>
    <w:qFormat/>
    <w:rPr>
      <w:rFonts w:ascii="Arial;Arial Narrow" w:hAnsi="Arial;Arial Narrow"/>
      <w:b/>
      <w:sz w:val="20"/>
    </w:rPr>
  </w:style>
  <w:style w:type="character" w:styleId="ListLabel4">
    <w:name w:val="ListLabel 4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5">
    <w:name w:val="ListLabel 5"/>
    <w:qFormat/>
    <w:rPr>
      <w:i/>
      <w:sz w:val="20"/>
      <w:szCs w:val="20"/>
    </w:rPr>
  </w:style>
  <w:style w:type="character" w:styleId="ListLabel6">
    <w:name w:val="ListLabel 6"/>
    <w:qFormat/>
    <w:rPr>
      <w:rFonts w:ascii="Arial;Arial Narrow" w:hAnsi="Arial;Arial Narrow"/>
      <w:b/>
      <w:sz w:val="20"/>
    </w:rPr>
  </w:style>
  <w:style w:type="character" w:styleId="ListLabel7">
    <w:name w:val="ListLabel 7"/>
    <w:qFormat/>
    <w:rPr>
      <w:rFonts w:ascii="Arial;Arial Narrow" w:hAnsi="Arial;Arial Narrow" w:cs="Times New Roman"/>
      <w:b/>
      <w:i/>
      <w:sz w:val="20"/>
      <w:szCs w:val="24"/>
    </w:rPr>
  </w:style>
  <w:style w:type="character" w:styleId="ListLabel8">
    <w:name w:val="ListLabel 8"/>
    <w:qFormat/>
    <w:rPr>
      <w:rFonts w:ascii="Arial;Arial Narrow" w:hAnsi="Arial;Arial Narrow"/>
      <w:b/>
      <w:sz w:val="20"/>
      <w:szCs w:val="20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/>
    <w:rPr>
      <w:rFonts w:ascii="Arial;Arial Narrow" w:hAnsi="Arial;Arial Narrow" w:cs="Arial;Arial Narrow"/>
      <w:sz w:val="20"/>
      <w:szCs w:val="18"/>
      <w:lang w:val="en-GB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Zkladntext">
    <w:name w:val="Základní text"/>
    <w:qFormat/>
    <w:pPr>
      <w:widowControl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0"/>
      <w:lang w:val="sk-SK" w:eastAsia="zh-CN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Pta">
    <w:name w:val="Footer"/>
    <w:basedOn w:val="Normal"/>
    <w:pPr>
      <w:tabs>
        <w:tab w:val="clear" w:pos="709"/>
        <w:tab w:val="center" w:pos="4536" w:leader="none"/>
        <w:tab w:val="right" w:pos="9072" w:leader="none"/>
      </w:tabs>
      <w:jc w:val="right"/>
    </w:pPr>
    <w:rPr>
      <w:lang w:val="sk-SK"/>
    </w:rPr>
  </w:style>
  <w:style w:type="paragraph" w:styleId="Zkladntext2">
    <w:name w:val="Základný text 2"/>
    <w:basedOn w:val="Normal"/>
    <w:qFormat/>
    <w:pPr>
      <w:jc w:val="both"/>
    </w:pPr>
    <w:rPr/>
  </w:style>
  <w:style w:type="paragraph" w:styleId="Odsadenietelatextu">
    <w:name w:val="Body Text Indent"/>
    <w:basedOn w:val="Normal"/>
    <w:pPr>
      <w:ind w:firstLine="360"/>
      <w:jc w:val="both"/>
    </w:pPr>
    <w:rPr/>
  </w:style>
  <w:style w:type="paragraph" w:styleId="Zarkazkladnhotextu2">
    <w:name w:val="Zarážka základného textu 2"/>
    <w:basedOn w:val="Normal"/>
    <w:qFormat/>
    <w:pPr>
      <w:ind w:firstLine="360"/>
    </w:pPr>
    <w:rPr/>
  </w:style>
  <w:style w:type="paragraph" w:styleId="Zkladntext3">
    <w:name w:val="Základný text 3"/>
    <w:basedOn w:val="Normal"/>
    <w:qFormat/>
    <w:pPr>
      <w:ind w:right="-468" w:hanging="0"/>
      <w:jc w:val="both"/>
    </w:pPr>
    <w:rPr>
      <w:b/>
      <w:bCs/>
    </w:rPr>
  </w:style>
  <w:style w:type="paragraph" w:styleId="Oznaitext">
    <w:name w:val="Označiť text"/>
    <w:basedOn w:val="Normal"/>
    <w:qFormat/>
    <w:pPr>
      <w:ind w:left="1680" w:right="-468" w:hanging="240"/>
    </w:pPr>
    <w:rPr/>
  </w:style>
  <w:style w:type="paragraph" w:styleId="Zarkazkladnhotextu3">
    <w:name w:val="Zarážka základného textu 3"/>
    <w:basedOn w:val="Normal"/>
    <w:qFormat/>
    <w:pPr>
      <w:ind w:right="-468" w:firstLine="720"/>
      <w:jc w:val="both"/>
    </w:pPr>
    <w:rPr>
      <w:bCs/>
    </w:rPr>
  </w:style>
  <w:style w:type="paragraph" w:styleId="Hlavika">
    <w:name w:val="Header"/>
    <w:basedOn w:val="Normal"/>
    <w:pPr>
      <w:tabs>
        <w:tab w:val="clear" w:pos="709"/>
        <w:tab w:val="center" w:pos="4703" w:leader="none"/>
        <w:tab w:val="right" w:pos="9406" w:leader="none"/>
      </w:tabs>
    </w:pPr>
    <w:rPr>
      <w:lang w:val="sk-SK"/>
    </w:rPr>
  </w:style>
  <w:style w:type="paragraph" w:styleId="Odsekzoznamu">
    <w:name w:val="Odsek zoznamu"/>
    <w:basedOn w:val="Normal"/>
    <w:qFormat/>
    <w:pPr>
      <w:ind w:left="708" w:hanging="0"/>
    </w:pPr>
    <w:rPr>
      <w:lang w:val="sk-SK"/>
    </w:rPr>
  </w:style>
  <w:style w:type="paragraph" w:styleId="Koncovpoznmka">
    <w:name w:val="Endnote Text"/>
    <w:basedOn w:val="Normal"/>
    <w:pPr/>
    <w:rPr>
      <w:sz w:val="20"/>
      <w:szCs w:val="20"/>
    </w:rPr>
  </w:style>
  <w:style w:type="paragraph" w:styleId="Textbubliny">
    <w:name w:val="Text bubliny"/>
    <w:basedOn w:val="Normal"/>
    <w:qFormat/>
    <w:pPr/>
    <w:rPr>
      <w:rFonts w:ascii="Tahoma" w:hAnsi="Tahoma" w:cs="Tahoma"/>
      <w:sz w:val="16"/>
      <w:szCs w:val="16"/>
      <w:lang w:val="sk-SK"/>
    </w:rPr>
  </w:style>
  <w:style w:type="paragraph" w:styleId="Tl1">
    <w:name w:val="Štýl1"/>
    <w:basedOn w:val="Pta"/>
    <w:qFormat/>
    <w:pPr/>
    <w:rPr/>
  </w:style>
  <w:style w:type="paragraph" w:styleId="TopHeader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Default">
    <w:name w:val="Default"/>
    <w:qFormat/>
    <w:pPr>
      <w:widowControl/>
      <w:bidi w:val="0"/>
      <w:jc w:val="left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  <w:style w:type="numbering" w:styleId="WW8Num8">
    <w:name w:val="WW8Num8"/>
    <w:qFormat/>
  </w:style>
  <w:style w:type="numbering" w:styleId="WW8Num9">
    <w:name w:val="WW8Num9"/>
    <w:qFormat/>
  </w:style>
  <w:style w:type="numbering" w:styleId="WW8Num10">
    <w:name w:val="WW8Num10"/>
    <w:qFormat/>
  </w:style>
  <w:style w:type="numbering" w:styleId="WW8Num11">
    <w:name w:val="WW8Num1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344</TotalTime>
  <Application>LibreOffice/6.1.4.2$Windows_X86_64 LibreOffice_project/9d0f32d1f0b509096fd65e0d4bec26ddd1938fd3</Application>
  <Pages>5</Pages>
  <Words>1356</Words>
  <Characters>8082</Characters>
  <CharactersWithSpaces>9300</CharactersWithSpaces>
  <Paragraphs>196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2016-01-30T15:32:00Z</dcterms:created>
  <dc:creator>EK</dc:creator>
  <dc:description/>
  <dc:language>sk-SK</dc:language>
  <cp:lastModifiedBy/>
  <cp:lastPrinted>2019-01-11T10:52:00Z</cp:lastPrinted>
  <dcterms:modified xsi:type="dcterms:W3CDTF">2020-11-02T13:20:53Z</dcterms:modified>
  <cp:revision>27</cp:revision>
  <dc:subject/>
  <dc:title>Opatrenie</dc:title>
</cp:coreProperties>
</file>