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spacing w:before="0" w:after="200" w:line="276"/>
        <w:ind w:right="0" w:left="426" w:hanging="426"/>
        <w:jc w:val="center"/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200" w:line="276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200" w:line="276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  <w:t xml:space="preserve">Čl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  <w:t xml:space="preserve">ánok I - V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  <w:t xml:space="preserve">šeobecn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  <w:t xml:space="preserve">é údaje</w:t>
      </w: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I.1</w:t>
        <w:tab/>
        <w:t xml:space="preserve">Názov právnickej osoby: 2S CONSULTING s.r.o.</w:t>
      </w: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i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ab/>
        <w:t xml:space="preserve">Sídlo ú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čtovnej jednotky</w:t>
      </w:r>
      <w:r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  <w:t xml:space="preserve">: Antolsk</w:t>
      </w:r>
      <w:r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  <w:t xml:space="preserve">á 6, 851 07 Bratislava 5</w:t>
      </w: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i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i/>
          <w:color w:val="auto"/>
          <w:spacing w:val="0"/>
          <w:position w:val="0"/>
          <w:sz w:val="22"/>
          <w:shd w:fill="auto" w:val="clear"/>
        </w:rPr>
        <w:t xml:space="preserve">        </w:t>
      </w: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76"/>
        <w:ind w:right="0" w:left="0" w:firstLine="0"/>
        <w:jc w:val="both"/>
        <w:rPr>
          <w:rFonts w:ascii="Cambria" w:hAnsi="Cambria" w:cs="Cambria" w:eastAsia="Cambria"/>
          <w:i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I.3</w:t>
        <w:tab/>
        <w:t xml:space="preserve">Informácie o po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čte zamestnancov:</w:t>
      </w: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</w:pPr>
    </w:p>
    <w:tbl>
      <w:tblPr>
        <w:tblInd w:w="108" w:type="dxa"/>
      </w:tblPr>
      <w:tblGrid>
        <w:gridCol w:w="4253"/>
        <w:gridCol w:w="2381"/>
        <w:gridCol w:w="2381"/>
      </w:tblGrid>
      <w:tr>
        <w:trPr>
          <w:trHeight w:val="1" w:hRule="atLeast"/>
          <w:jc w:val="left"/>
        </w:trPr>
        <w:tc>
          <w:tcPr>
            <w:tcW w:w="425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426" w:hanging="426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Názov polo</w:t>
            </w: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žky</w:t>
            </w:r>
          </w:p>
        </w:tc>
        <w:tc>
          <w:tcPr>
            <w:tcW w:w="238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426" w:hanging="426"/>
              <w:jc w:val="center"/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Be</w:t>
            </w: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žn</w:t>
            </w: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é</w:t>
            </w:r>
          </w:p>
          <w:p>
            <w:pPr>
              <w:spacing w:before="0" w:after="0" w:line="240"/>
              <w:ind w:right="0" w:left="426" w:hanging="426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ú</w:t>
            </w: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čtovn</w:t>
            </w: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é obdobie</w:t>
            </w:r>
          </w:p>
        </w:tc>
        <w:tc>
          <w:tcPr>
            <w:tcW w:w="238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426" w:hanging="426"/>
              <w:jc w:val="center"/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Bezprostredne</w:t>
            </w:r>
          </w:p>
          <w:p>
            <w:pPr>
              <w:spacing w:before="0" w:after="0" w:line="240"/>
              <w:ind w:right="0" w:left="426" w:hanging="426"/>
              <w:jc w:val="center"/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predchádzajúce</w:t>
            </w:r>
          </w:p>
          <w:p>
            <w:pPr>
              <w:spacing w:before="0" w:after="0" w:line="240"/>
              <w:ind w:right="0" w:left="426" w:hanging="426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ú</w:t>
            </w: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čtovn</w:t>
            </w: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é obdobie</w:t>
            </w:r>
          </w:p>
        </w:tc>
      </w:tr>
      <w:tr>
        <w:trPr>
          <w:trHeight w:val="378" w:hRule="auto"/>
          <w:jc w:val="left"/>
        </w:trPr>
        <w:tc>
          <w:tcPr>
            <w:tcW w:w="425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34" w:hanging="1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Priemerný prepo</w:t>
            </w: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č</w:t>
            </w: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ítaný po</w:t>
            </w: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čet zamestnancov</w:t>
            </w:r>
          </w:p>
        </w:tc>
        <w:tc>
          <w:tcPr>
            <w:tcW w:w="238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426" w:hanging="426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4"/>
                <w:shd w:fill="auto" w:val="clear"/>
              </w:rPr>
              <w:t xml:space="preserve">0</w:t>
            </w:r>
          </w:p>
        </w:tc>
        <w:tc>
          <w:tcPr>
            <w:tcW w:w="238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426" w:hanging="426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4"/>
                <w:shd w:fill="auto" w:val="clear"/>
              </w:rPr>
              <w:t xml:space="preserve">0</w:t>
            </w:r>
          </w:p>
        </w:tc>
      </w:tr>
    </w:tbl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  <w:t xml:space="preserve">Čl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  <w:t xml:space="preserve">ánok II 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  <w:t xml:space="preserve">–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  <w:t xml:space="preserve"> Inform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  <w:t xml:space="preserve">ácie o prijatých postupoch</w:t>
      </w: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II. 1 Informácia o splnení predpokladu nepretr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žit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ého pokra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čovania činnosti 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čtovnej jednotky: </w:t>
      </w: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  <w:t xml:space="preserve">á jednotka bude nepretr</w:t>
      </w:r>
      <w:r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  <w:t xml:space="preserve">žite pokračovať vo svojej činnosti.</w:t>
      </w: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II. 2 Spôsob oce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ňovania jednotliv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ých zlo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žiek majetku a z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áväzkov: </w:t>
      </w:r>
    </w:p>
    <w:tbl>
      <w:tblPr>
        <w:tblInd w:w="108" w:type="dxa"/>
      </w:tblPr>
      <w:tblGrid>
        <w:gridCol w:w="4621"/>
        <w:gridCol w:w="2065"/>
        <w:gridCol w:w="2268"/>
      </w:tblGrid>
      <w:tr>
        <w:trPr>
          <w:trHeight w:val="1" w:hRule="atLeast"/>
          <w:jc w:val="left"/>
        </w:trPr>
        <w:tc>
          <w:tcPr>
            <w:tcW w:w="462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Druh majetku/záväzkov</w:t>
            </w:r>
          </w:p>
        </w:tc>
        <w:tc>
          <w:tcPr>
            <w:tcW w:w="206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Spôsob ocenenia</w:t>
            </w:r>
          </w:p>
        </w:tc>
        <w:tc>
          <w:tcPr>
            <w:tcW w:w="226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Náklady spojené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s obstaraním</w:t>
            </w:r>
          </w:p>
        </w:tc>
      </w:tr>
      <w:tr>
        <w:trPr>
          <w:trHeight w:val="340" w:hRule="auto"/>
          <w:jc w:val="left"/>
        </w:trPr>
        <w:tc>
          <w:tcPr>
            <w:tcW w:w="462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Dlhodobý nehmotný majetok</w:t>
            </w:r>
          </w:p>
        </w:tc>
        <w:tc>
          <w:tcPr>
            <w:tcW w:w="206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62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Dlhodobý hmotný majetok</w:t>
            </w:r>
          </w:p>
        </w:tc>
        <w:tc>
          <w:tcPr>
            <w:tcW w:w="206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62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Dlhodobý  finan</w:t>
            </w: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čn</w:t>
            </w: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ý majetok</w:t>
            </w:r>
          </w:p>
        </w:tc>
        <w:tc>
          <w:tcPr>
            <w:tcW w:w="206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62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Zásoby obstarané kúpou</w:t>
            </w:r>
          </w:p>
        </w:tc>
        <w:tc>
          <w:tcPr>
            <w:tcW w:w="206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Obstarávacou cenou</w:t>
            </w:r>
          </w:p>
        </w:tc>
      </w:tr>
      <w:tr>
        <w:trPr>
          <w:trHeight w:val="340" w:hRule="auto"/>
          <w:jc w:val="left"/>
        </w:trPr>
        <w:tc>
          <w:tcPr>
            <w:tcW w:w="462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Zásoby vytvorené vlastnou </w:t>
            </w: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činnosťou</w:t>
            </w:r>
          </w:p>
        </w:tc>
        <w:tc>
          <w:tcPr>
            <w:tcW w:w="206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62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Poh</w:t>
            </w: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ľad</w:t>
            </w: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ávky</w:t>
            </w:r>
          </w:p>
        </w:tc>
        <w:tc>
          <w:tcPr>
            <w:tcW w:w="206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Menovitou hodnotou</w:t>
            </w:r>
          </w:p>
        </w:tc>
        <w:tc>
          <w:tcPr>
            <w:tcW w:w="226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Menovitou hodnotou</w:t>
            </w:r>
          </w:p>
        </w:tc>
      </w:tr>
      <w:tr>
        <w:trPr>
          <w:trHeight w:val="340" w:hRule="auto"/>
          <w:jc w:val="left"/>
        </w:trPr>
        <w:tc>
          <w:tcPr>
            <w:tcW w:w="462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Krátkodobý finan</w:t>
            </w: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čn</w:t>
            </w: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ý majetok</w:t>
            </w:r>
          </w:p>
        </w:tc>
        <w:tc>
          <w:tcPr>
            <w:tcW w:w="206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Menovitou hodnotou</w:t>
            </w:r>
          </w:p>
        </w:tc>
        <w:tc>
          <w:tcPr>
            <w:tcW w:w="226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Menovitou hodnotou</w:t>
            </w:r>
          </w:p>
        </w:tc>
      </w:tr>
      <w:tr>
        <w:trPr>
          <w:trHeight w:val="340" w:hRule="auto"/>
          <w:jc w:val="left"/>
        </w:trPr>
        <w:tc>
          <w:tcPr>
            <w:tcW w:w="462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Záväzky vrátane rezerv, dlhopisov, pô</w:t>
            </w: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žičiek a </w:t>
            </w: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úverov</w:t>
            </w:r>
          </w:p>
        </w:tc>
        <w:tc>
          <w:tcPr>
            <w:tcW w:w="206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Menovitou hodnotou</w:t>
            </w:r>
          </w:p>
        </w:tc>
        <w:tc>
          <w:tcPr>
            <w:tcW w:w="226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   Menovitou hodnotou</w:t>
            </w:r>
          </w:p>
        </w:tc>
      </w:tr>
      <w:tr>
        <w:trPr>
          <w:trHeight w:val="340" w:hRule="auto"/>
          <w:jc w:val="left"/>
        </w:trPr>
        <w:tc>
          <w:tcPr>
            <w:tcW w:w="462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Derivátové operácie</w:t>
            </w:r>
          </w:p>
        </w:tc>
        <w:tc>
          <w:tcPr>
            <w:tcW w:w="206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II. 3 Spôsob zostavenia odpisového plánu dlhodobého majetku</w:t>
      </w: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200" w:line="240"/>
        <w:ind w:right="0" w:left="0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Spôsob zostavenia ú</w:t>
      </w: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čtovn</w:t>
      </w: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ého odpisového plánu pre dlhodobý hmotný majetok a dlhodobý nehmotný majetok, doba odpisovania a pou</w:t>
      </w: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žit</w:t>
      </w: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é sadzby a odpisové metódy pri stanovení ú</w:t>
      </w: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čtovn</w:t>
      </w: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ých odpisov:</w:t>
      </w: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Spolo</w:t>
      </w: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čnosť vznikla 20.6.2017 a k 31.12.2019 nemala evidovan</w:t>
      </w: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é v ú</w:t>
      </w: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čtovn</w:t>
      </w: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íctve </w:t>
      </w: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žiadne zložky hmotn</w:t>
      </w: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ého odpisovaného majetku. </w:t>
      </w: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II. 4  Zmeny ú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ých zásad a metód:</w:t>
      </w:r>
    </w:p>
    <w:p>
      <w:pPr>
        <w:spacing w:before="0" w:after="200" w:line="240"/>
        <w:ind w:right="0" w:left="426" w:hanging="426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200" w:line="240"/>
        <w:ind w:right="0" w:left="426" w:hanging="426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Ú</w:t>
      </w: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čtovn</w:t>
      </w: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é zásady a metódy boli ú</w:t>
      </w: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čtovnou jednotkou konzistentne aplikovan</w:t>
      </w: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é v rámci platného zákona o ú</w:t>
      </w: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čtovn</w:t>
      </w: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íctve.</w:t>
      </w: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II. 5 Dotácie poskytnuté na obstaranie majetku:</w:t>
      </w: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K 31.12.2019 neboli spolo</w:t>
      </w: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čnosti poskytnut</w:t>
      </w: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é </w:t>
      </w: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žiadne dot</w:t>
      </w: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ácie. </w:t>
      </w:r>
    </w:p>
    <w:p>
      <w:pPr>
        <w:spacing w:before="240" w:after="20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II. 6 Oprava významných a nevýznamných chýb minulých ú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ých období vykonaných v be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žnom 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čtovnom obdob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í:</w:t>
      </w: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</w:p>
    <w:tbl>
      <w:tblPr>
        <w:tblInd w:w="108" w:type="dxa"/>
      </w:tblPr>
      <w:tblGrid>
        <w:gridCol w:w="2925"/>
        <w:gridCol w:w="3007"/>
        <w:gridCol w:w="3022"/>
      </w:tblGrid>
      <w:tr>
        <w:trPr>
          <w:trHeight w:val="397" w:hRule="auto"/>
          <w:jc w:val="left"/>
        </w:trPr>
        <w:tc>
          <w:tcPr>
            <w:tcW w:w="292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Druh opravy</w:t>
            </w:r>
          </w:p>
        </w:tc>
        <w:tc>
          <w:tcPr>
            <w:tcW w:w="300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Suma</w:t>
            </w:r>
          </w:p>
        </w:tc>
        <w:tc>
          <w:tcPr>
            <w:tcW w:w="302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Popis chyby a vplyvu opravy na nerozdelený VH, resp. VH be</w:t>
            </w: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žn</w:t>
            </w: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ého ú. o.</w:t>
            </w:r>
          </w:p>
        </w:tc>
      </w:tr>
      <w:tr>
        <w:trPr>
          <w:trHeight w:val="397" w:hRule="auto"/>
          <w:jc w:val="left"/>
        </w:trPr>
        <w:tc>
          <w:tcPr>
            <w:tcW w:w="292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Oprava </w:t>
            </w: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významných</w:t>
            </w: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 chýb minulých ú</w:t>
            </w: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čtovn</w:t>
            </w: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ých období</w:t>
            </w:r>
          </w:p>
        </w:tc>
        <w:tc>
          <w:tcPr>
            <w:tcW w:w="300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2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left"/>
        </w:trPr>
        <w:tc>
          <w:tcPr>
            <w:tcW w:w="292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Oprava </w:t>
            </w: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nevýznamných</w:t>
            </w: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 chýb minulých ú</w:t>
            </w: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čtovn</w:t>
            </w: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ých období</w:t>
            </w:r>
          </w:p>
        </w:tc>
        <w:tc>
          <w:tcPr>
            <w:tcW w:w="300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2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  <w:t xml:space="preserve">Čl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  <w:t xml:space="preserve">ánok III 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  <w:t xml:space="preserve">–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  <w:t xml:space="preserve"> Inform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  <w:t xml:space="preserve">ácie, ktoré vysvet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  <w:t xml:space="preserve">ľuj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  <w:t xml:space="preserve">ú a dop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  <w:t xml:space="preserve">ĺňaj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  <w:t xml:space="preserve">ú súvahu a výkaz ziskov a strát</w:t>
      </w: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III. 1 Informácie o sume a dôvodoch vzniku jednotlivých polo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žiek n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ákladov alebo </w:t>
        <w:tab/>
        <w:t xml:space="preserve">výnosov, ktoré majú výnimo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ý rozsah alebo výskyt:</w:t>
      </w:r>
    </w:p>
    <w:tbl>
      <w:tblPr/>
      <w:tblGrid>
        <w:gridCol w:w="3672"/>
        <w:gridCol w:w="2970"/>
        <w:gridCol w:w="2400"/>
      </w:tblGrid>
      <w:tr>
        <w:trPr>
          <w:trHeight w:val="1" w:hRule="atLeast"/>
          <w:jc w:val="left"/>
        </w:trPr>
        <w:tc>
          <w:tcPr>
            <w:tcW w:w="367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Udalos</w:t>
            </w: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ť</w:t>
            </w:r>
          </w:p>
        </w:tc>
        <w:tc>
          <w:tcPr>
            <w:tcW w:w="297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Dôvod</w:t>
            </w:r>
          </w:p>
        </w:tc>
        <w:tc>
          <w:tcPr>
            <w:tcW w:w="240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Hodnota</w:t>
            </w:r>
          </w:p>
        </w:tc>
      </w:tr>
      <w:tr>
        <w:trPr>
          <w:trHeight w:val="1" w:hRule="atLeast"/>
          <w:jc w:val="left"/>
        </w:trPr>
        <w:tc>
          <w:tcPr>
            <w:tcW w:w="367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97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0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367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97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0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367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97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0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367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97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0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367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97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0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367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97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0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200" w:line="240"/>
        <w:ind w:right="0" w:left="0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4"/>
          <w:shd w:fill="auto" w:val="clear"/>
        </w:rPr>
      </w:pPr>
      <w:r>
        <w:rPr>
          <w:rFonts w:ascii="Cambria" w:hAnsi="Cambria" w:cs="Cambria" w:eastAsia="Cambria"/>
          <w:color w:val="auto"/>
          <w:spacing w:val="0"/>
          <w:position w:val="0"/>
          <w:sz w:val="24"/>
          <w:shd w:fill="auto" w:val="clear"/>
        </w:rPr>
        <w:t xml:space="preserve">Žiadne vyššie špecifikovan</w:t>
      </w:r>
      <w:r>
        <w:rPr>
          <w:rFonts w:ascii="Cambria" w:hAnsi="Cambria" w:cs="Cambria" w:eastAsia="Cambria"/>
          <w:color w:val="auto"/>
          <w:spacing w:val="0"/>
          <w:position w:val="0"/>
          <w:sz w:val="24"/>
          <w:shd w:fill="auto" w:val="clear"/>
        </w:rPr>
        <w:t xml:space="preserve">é druhy nákladov alebo výnosov spolo</w:t>
      </w:r>
      <w:r>
        <w:rPr>
          <w:rFonts w:ascii="Cambria" w:hAnsi="Cambria" w:cs="Cambria" w:eastAsia="Cambria"/>
          <w:color w:val="auto"/>
          <w:spacing w:val="0"/>
          <w:position w:val="0"/>
          <w:sz w:val="24"/>
          <w:shd w:fill="auto" w:val="clear"/>
        </w:rPr>
        <w:t xml:space="preserve">čnosti počas roka 2019 nevznikli. </w:t>
      </w:r>
    </w:p>
    <w:p>
      <w:pPr>
        <w:spacing w:before="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  <w:t xml:space="preserve">III. 2 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Informácie o záväzkoch</w:t>
      </w:r>
    </w:p>
    <w:p>
      <w:pPr>
        <w:spacing w:before="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III. 2 a) Záväzky so zostatkovou dobou splatnosti dlh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šou ako p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ä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ť rokov:</w:t>
      </w:r>
    </w:p>
    <w:tbl>
      <w:tblPr/>
      <w:tblGrid>
        <w:gridCol w:w="3387"/>
        <w:gridCol w:w="2835"/>
        <w:gridCol w:w="2820"/>
      </w:tblGrid>
      <w:tr>
        <w:trPr>
          <w:trHeight w:val="1" w:hRule="atLeast"/>
          <w:jc w:val="left"/>
        </w:trPr>
        <w:tc>
          <w:tcPr>
            <w:tcW w:w="338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Názov polo</w:t>
            </w: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žky</w:t>
            </w:r>
          </w:p>
        </w:tc>
        <w:tc>
          <w:tcPr>
            <w:tcW w:w="2835" w:type="dxa"/>
            <w:tcBorders>
              <w:top w:val="single" w:color="000000" w:sz="12"/>
              <w:left w:val="single" w:color="000000" w:sz="4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Be</w:t>
            </w: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žn</w:t>
            </w: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é ú</w:t>
            </w: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čtovn</w:t>
            </w: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é obdobie</w:t>
            </w:r>
          </w:p>
        </w:tc>
        <w:tc>
          <w:tcPr>
            <w:tcW w:w="2820" w:type="dxa"/>
            <w:tcBorders>
              <w:top w:val="single" w:color="000000" w:sz="12"/>
              <w:left w:val="single" w:color="000000" w:sz="4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Bezprostredne predchádzajúce ú</w:t>
            </w: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čtovn</w:t>
            </w: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left"/>
        </w:trPr>
        <w:tc>
          <w:tcPr>
            <w:tcW w:w="338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Dlhodobé záväzky spolu</w:t>
            </w:r>
          </w:p>
        </w:tc>
        <w:tc>
          <w:tcPr>
            <w:tcW w:w="2835" w:type="dxa"/>
            <w:tcBorders>
              <w:top w:val="single" w:color="000000" w:sz="12"/>
              <w:left w:val="single" w:color="000000" w:sz="4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20" w:type="dxa"/>
            <w:tcBorders>
              <w:top w:val="single" w:color="000000" w:sz="12"/>
              <w:left w:val="single" w:color="000000" w:sz="4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3387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so zostatkovou dobou splatnosti nad pä</w:t>
            </w: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  <w:tc>
          <w:tcPr>
            <w:tcW w:w="2835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2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3387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so zostatkovou dobou splatnosti jeden rok a</w:t>
            </w: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2"/>
                <w:shd w:fill="auto" w:val="clear"/>
              </w:rPr>
              <w:t xml:space="preserve">ž p</w:t>
            </w: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2"/>
                <w:shd w:fill="auto" w:val="clear"/>
              </w:rPr>
              <w:t xml:space="preserve">ä</w:t>
            </w: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  <w:tc>
          <w:tcPr>
            <w:tcW w:w="2835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2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55" w:hRule="auto"/>
          <w:jc w:val="left"/>
        </w:trPr>
        <w:tc>
          <w:tcPr>
            <w:tcW w:w="338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Krátkodobé záväzky spolu</w:t>
            </w:r>
          </w:p>
        </w:tc>
        <w:tc>
          <w:tcPr>
            <w:tcW w:w="2835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2106</w:t>
            </w:r>
          </w:p>
        </w:tc>
        <w:tc>
          <w:tcPr>
            <w:tcW w:w="282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1964</w:t>
            </w:r>
          </w:p>
        </w:tc>
      </w:tr>
      <w:tr>
        <w:trPr>
          <w:trHeight w:val="1" w:hRule="atLeast"/>
          <w:jc w:val="left"/>
        </w:trPr>
        <w:tc>
          <w:tcPr>
            <w:tcW w:w="3387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so zostatkovou dobou splatnosti do jedného roka vrátane (v celých eurách)</w:t>
            </w:r>
          </w:p>
        </w:tc>
        <w:tc>
          <w:tcPr>
            <w:tcW w:w="2835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4"/>
                <w:shd w:fill="auto" w:val="clear"/>
              </w:rPr>
              <w:t xml:space="preserve">2106</w:t>
            </w:r>
          </w:p>
        </w:tc>
        <w:tc>
          <w:tcPr>
            <w:tcW w:w="282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4"/>
                <w:shd w:fill="auto" w:val="clear"/>
              </w:rPr>
              <w:t xml:space="preserve">1964</w:t>
            </w:r>
          </w:p>
        </w:tc>
      </w:tr>
      <w:tr>
        <w:trPr>
          <w:trHeight w:val="527" w:hRule="auto"/>
          <w:jc w:val="left"/>
        </w:trPr>
        <w:tc>
          <w:tcPr>
            <w:tcW w:w="3387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4"/>
                <w:shd w:fill="auto" w:val="clear"/>
              </w:rPr>
              <w:t xml:space="preserve">Záväzky po lehote splatnosti</w:t>
            </w:r>
          </w:p>
        </w:tc>
        <w:tc>
          <w:tcPr>
            <w:tcW w:w="2835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2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200" w:line="240"/>
        <w:ind w:right="0" w:left="0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4"/>
          <w:shd w:fill="auto" w:val="clear"/>
        </w:rPr>
      </w:pPr>
      <w:r>
        <w:rPr>
          <w:rFonts w:ascii="Cambria" w:hAnsi="Cambria" w:cs="Cambria" w:eastAsia="Cambria"/>
          <w:color w:val="auto"/>
          <w:spacing w:val="0"/>
          <w:position w:val="0"/>
          <w:sz w:val="24"/>
          <w:shd w:fill="auto" w:val="clear"/>
        </w:rPr>
        <w:t xml:space="preserve">Spolo</w:t>
      </w:r>
      <w:r>
        <w:rPr>
          <w:rFonts w:ascii="Cambria" w:hAnsi="Cambria" w:cs="Cambria" w:eastAsia="Cambria"/>
          <w:color w:val="auto"/>
          <w:spacing w:val="0"/>
          <w:position w:val="0"/>
          <w:sz w:val="24"/>
          <w:shd w:fill="auto" w:val="clear"/>
        </w:rPr>
        <w:t xml:space="preserve">čnosť k 31.12.2019 neeviduje žiadne dlhodob</w:t>
      </w:r>
      <w:r>
        <w:rPr>
          <w:rFonts w:ascii="Cambria" w:hAnsi="Cambria" w:cs="Cambria" w:eastAsia="Cambria"/>
          <w:color w:val="auto"/>
          <w:spacing w:val="0"/>
          <w:position w:val="0"/>
          <w:sz w:val="24"/>
          <w:shd w:fill="auto" w:val="clear"/>
        </w:rPr>
        <w:t xml:space="preserve">é záväzky. Suma krátkodobých záväzkov k 31.12.2019 predstavuje da</w:t>
      </w:r>
      <w:r>
        <w:rPr>
          <w:rFonts w:ascii="Cambria" w:hAnsi="Cambria" w:cs="Cambria" w:eastAsia="Cambria"/>
          <w:color w:val="auto"/>
          <w:spacing w:val="0"/>
          <w:position w:val="0"/>
          <w:sz w:val="24"/>
          <w:shd w:fill="auto" w:val="clear"/>
        </w:rPr>
        <w:t xml:space="preserve">ň z pr</w:t>
      </w:r>
      <w:r>
        <w:rPr>
          <w:rFonts w:ascii="Cambria" w:hAnsi="Cambria" w:cs="Cambria" w:eastAsia="Cambria"/>
          <w:color w:val="auto"/>
          <w:spacing w:val="0"/>
          <w:position w:val="0"/>
          <w:sz w:val="24"/>
          <w:shd w:fill="auto" w:val="clear"/>
        </w:rPr>
        <w:t xml:space="preserve">íjmov PO (ú</w:t>
      </w:r>
      <w:r>
        <w:rPr>
          <w:rFonts w:ascii="Cambria" w:hAnsi="Cambria" w:cs="Cambria" w:eastAsia="Cambria"/>
          <w:color w:val="auto"/>
          <w:spacing w:val="0"/>
          <w:position w:val="0"/>
          <w:sz w:val="24"/>
          <w:shd w:fill="auto" w:val="clear"/>
        </w:rPr>
        <w:t xml:space="preserve">čet 341) spoločnosti za rok 2019 </w:t>
      </w:r>
      <w:r>
        <w:rPr>
          <w:rFonts w:ascii="Cambria" w:hAnsi="Cambria" w:cs="Cambria" w:eastAsia="Cambria"/>
          <w:color w:val="auto"/>
          <w:spacing w:val="0"/>
          <w:position w:val="0"/>
          <w:sz w:val="24"/>
          <w:shd w:fill="auto" w:val="clear"/>
        </w:rPr>
        <w:t xml:space="preserve">ú</w:t>
      </w:r>
      <w:r>
        <w:rPr>
          <w:rFonts w:ascii="Cambria" w:hAnsi="Cambria" w:cs="Cambria" w:eastAsia="Cambria"/>
          <w:color w:val="auto"/>
          <w:spacing w:val="0"/>
          <w:position w:val="0"/>
          <w:sz w:val="24"/>
          <w:shd w:fill="auto" w:val="clear"/>
        </w:rPr>
        <w:t xml:space="preserve">čtovan</w:t>
      </w:r>
      <w:r>
        <w:rPr>
          <w:rFonts w:ascii="Cambria" w:hAnsi="Cambria" w:cs="Cambria" w:eastAsia="Cambria"/>
          <w:color w:val="auto"/>
          <w:spacing w:val="0"/>
          <w:position w:val="0"/>
          <w:sz w:val="24"/>
          <w:shd w:fill="auto" w:val="clear"/>
        </w:rPr>
        <w:t xml:space="preserve">ú súvz</w:t>
      </w:r>
      <w:r>
        <w:rPr>
          <w:rFonts w:ascii="Cambria" w:hAnsi="Cambria" w:cs="Cambria" w:eastAsia="Cambria"/>
          <w:color w:val="auto"/>
          <w:spacing w:val="0"/>
          <w:position w:val="0"/>
          <w:sz w:val="24"/>
          <w:shd w:fill="auto" w:val="clear"/>
        </w:rPr>
        <w:t xml:space="preserve">ťažne na n</w:t>
      </w:r>
      <w:r>
        <w:rPr>
          <w:rFonts w:ascii="Cambria" w:hAnsi="Cambria" w:cs="Cambria" w:eastAsia="Cambria"/>
          <w:color w:val="auto"/>
          <w:spacing w:val="0"/>
          <w:position w:val="0"/>
          <w:sz w:val="24"/>
          <w:shd w:fill="auto" w:val="clear"/>
        </w:rPr>
        <w:t xml:space="preserve">ákladový ú</w:t>
      </w:r>
      <w:r>
        <w:rPr>
          <w:rFonts w:ascii="Cambria" w:hAnsi="Cambria" w:cs="Cambria" w:eastAsia="Cambria"/>
          <w:color w:val="auto"/>
          <w:spacing w:val="0"/>
          <w:position w:val="0"/>
          <w:sz w:val="24"/>
          <w:shd w:fill="auto" w:val="clear"/>
        </w:rPr>
        <w:t xml:space="preserve">čet 591. </w:t>
      </w:r>
    </w:p>
    <w:p>
      <w:pPr>
        <w:spacing w:before="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III. 2 b) Hodnota záväzkov zabezpe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čen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á zálo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žn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ým právom:</w:t>
      </w:r>
    </w:p>
    <w:tbl>
      <w:tblPr/>
      <w:tblGrid>
        <w:gridCol w:w="3387"/>
        <w:gridCol w:w="3119"/>
        <w:gridCol w:w="2536"/>
      </w:tblGrid>
      <w:tr>
        <w:trPr>
          <w:trHeight w:val="1" w:hRule="atLeast"/>
          <w:jc w:val="left"/>
        </w:trPr>
        <w:tc>
          <w:tcPr>
            <w:tcW w:w="3387" w:type="dxa"/>
            <w:vMerge w:val="restart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Druh formy zabezpe</w:t>
            </w: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čenia z</w:t>
            </w: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áväzku</w:t>
            </w:r>
          </w:p>
        </w:tc>
        <w:tc>
          <w:tcPr>
            <w:tcW w:w="5655" w:type="dxa"/>
            <w:gridSpan w:val="2"/>
            <w:tcBorders>
              <w:top w:val="single" w:color="000000" w:sz="12"/>
              <w:left w:val="single" w:color="000000" w:sz="4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Hodnota záväzku zabezpe</w:t>
            </w: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čen</w:t>
            </w: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á</w:t>
            </w:r>
          </w:p>
        </w:tc>
      </w:tr>
      <w:tr>
        <w:trPr>
          <w:trHeight w:val="1" w:hRule="atLeast"/>
          <w:jc w:val="left"/>
        </w:trPr>
        <w:tc>
          <w:tcPr>
            <w:tcW w:w="3387" w:type="dxa"/>
            <w:vMerge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426" w:hanging="426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119" w:type="dxa"/>
            <w:tcBorders>
              <w:top w:val="single" w:color="000000" w:sz="4"/>
              <w:left w:val="single" w:color="000000" w:sz="4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Zálo</w:t>
            </w: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žn</w:t>
            </w: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ým právom</w:t>
            </w:r>
          </w:p>
        </w:tc>
        <w:tc>
          <w:tcPr>
            <w:tcW w:w="2536" w:type="dxa"/>
            <w:tcBorders>
              <w:top w:val="single" w:color="000000" w:sz="4"/>
              <w:left w:val="single" w:color="000000" w:sz="4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Inou formou zabezpe</w:t>
            </w: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čenia</w:t>
            </w:r>
          </w:p>
        </w:tc>
      </w:tr>
      <w:tr>
        <w:trPr>
          <w:trHeight w:val="1" w:hRule="atLeast"/>
          <w:jc w:val="left"/>
        </w:trPr>
        <w:tc>
          <w:tcPr>
            <w:tcW w:w="338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119" w:type="dxa"/>
            <w:tcBorders>
              <w:top w:val="single" w:color="000000" w:sz="12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36" w:type="dxa"/>
            <w:tcBorders>
              <w:top w:val="single" w:color="000000" w:sz="12"/>
              <w:left w:val="single" w:color="000000" w:sz="4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3387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1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3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3387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1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3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3387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1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3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36" w:hRule="auto"/>
          <w:jc w:val="left"/>
        </w:trPr>
        <w:tc>
          <w:tcPr>
            <w:tcW w:w="3387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119" w:type="dxa"/>
            <w:tcBorders>
              <w:top w:val="single" w:color="000000" w:sz="4"/>
              <w:left w:val="single" w:color="000000" w:sz="4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36" w:type="dxa"/>
            <w:tcBorders>
              <w:top w:val="single" w:color="000000" w:sz="4"/>
              <w:left w:val="single" w:color="000000" w:sz="4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36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200" w:line="240"/>
        <w:ind w:right="0" w:left="0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4"/>
          <w:shd w:fill="auto" w:val="clear"/>
        </w:rPr>
      </w:pPr>
      <w:r>
        <w:rPr>
          <w:rFonts w:ascii="Cambria" w:hAnsi="Cambria" w:cs="Cambria" w:eastAsia="Cambria"/>
          <w:color w:val="auto"/>
          <w:spacing w:val="0"/>
          <w:position w:val="0"/>
          <w:sz w:val="24"/>
          <w:shd w:fill="auto" w:val="clear"/>
        </w:rPr>
        <w:t xml:space="preserve">Spolo</w:t>
      </w:r>
      <w:r>
        <w:rPr>
          <w:rFonts w:ascii="Cambria" w:hAnsi="Cambria" w:cs="Cambria" w:eastAsia="Cambria"/>
          <w:color w:val="auto"/>
          <w:spacing w:val="0"/>
          <w:position w:val="0"/>
          <w:sz w:val="24"/>
          <w:shd w:fill="auto" w:val="clear"/>
        </w:rPr>
        <w:t xml:space="preserve">čnosť k 31.12.2019 neeviduje žiadne z</w:t>
      </w:r>
      <w:r>
        <w:rPr>
          <w:rFonts w:ascii="Cambria" w:hAnsi="Cambria" w:cs="Cambria" w:eastAsia="Cambria"/>
          <w:color w:val="auto"/>
          <w:spacing w:val="0"/>
          <w:position w:val="0"/>
          <w:sz w:val="24"/>
          <w:shd w:fill="auto" w:val="clear"/>
        </w:rPr>
        <w:t xml:space="preserve">áväzky zabezpe</w:t>
      </w:r>
      <w:r>
        <w:rPr>
          <w:rFonts w:ascii="Cambria" w:hAnsi="Cambria" w:cs="Cambria" w:eastAsia="Cambria"/>
          <w:color w:val="auto"/>
          <w:spacing w:val="0"/>
          <w:position w:val="0"/>
          <w:sz w:val="24"/>
          <w:shd w:fill="auto" w:val="clear"/>
        </w:rPr>
        <w:t xml:space="preserve">čen</w:t>
      </w:r>
      <w:r>
        <w:rPr>
          <w:rFonts w:ascii="Cambria" w:hAnsi="Cambria" w:cs="Cambria" w:eastAsia="Cambria"/>
          <w:color w:val="auto"/>
          <w:spacing w:val="0"/>
          <w:position w:val="0"/>
          <w:sz w:val="24"/>
          <w:shd w:fill="auto" w:val="clear"/>
        </w:rPr>
        <w:t xml:space="preserve">é zálo</w:t>
      </w:r>
      <w:r>
        <w:rPr>
          <w:rFonts w:ascii="Cambria" w:hAnsi="Cambria" w:cs="Cambria" w:eastAsia="Cambria"/>
          <w:color w:val="auto"/>
          <w:spacing w:val="0"/>
          <w:position w:val="0"/>
          <w:sz w:val="24"/>
          <w:shd w:fill="auto" w:val="clear"/>
        </w:rPr>
        <w:t xml:space="preserve">žn</w:t>
      </w:r>
      <w:r>
        <w:rPr>
          <w:rFonts w:ascii="Cambria" w:hAnsi="Cambria" w:cs="Cambria" w:eastAsia="Cambria"/>
          <w:color w:val="auto"/>
          <w:spacing w:val="0"/>
          <w:position w:val="0"/>
          <w:sz w:val="24"/>
          <w:shd w:fill="auto" w:val="clear"/>
        </w:rPr>
        <w:t xml:space="preserve">ým právom. </w:t>
      </w:r>
    </w:p>
    <w:p>
      <w:pPr>
        <w:spacing w:before="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III. 4 a), b), d) Informácie o orgánoch ú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čtovnej jednotky:</w:t>
      </w:r>
    </w:p>
    <w:tbl>
      <w:tblPr/>
      <w:tblGrid>
        <w:gridCol w:w="1699"/>
        <w:gridCol w:w="1393"/>
        <w:gridCol w:w="1192"/>
        <w:gridCol w:w="1013"/>
        <w:gridCol w:w="1393"/>
        <w:gridCol w:w="1255"/>
        <w:gridCol w:w="1097"/>
      </w:tblGrid>
      <w:tr>
        <w:trPr>
          <w:trHeight w:val="828" w:hRule="auto"/>
          <w:jc w:val="left"/>
        </w:trPr>
        <w:tc>
          <w:tcPr>
            <w:tcW w:w="1699" w:type="dxa"/>
            <w:vMerge w:val="restart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Druh príjmu, výhody</w:t>
            </w:r>
          </w:p>
        </w:tc>
        <w:tc>
          <w:tcPr>
            <w:tcW w:w="3598" w:type="dxa"/>
            <w:gridSpan w:val="3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Hodnota príjmu, výhody sú</w:t>
            </w: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časn</w:t>
            </w: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ých </w:t>
            </w: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členov org</w:t>
            </w: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ánov</w:t>
            </w:r>
          </w:p>
        </w:tc>
        <w:tc>
          <w:tcPr>
            <w:tcW w:w="3745" w:type="dxa"/>
            <w:gridSpan w:val="3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Hodnota príjmu, výhody bývalých </w:t>
            </w: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členov org</w:t>
            </w: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ánov</w:t>
            </w:r>
          </w:p>
        </w:tc>
      </w:tr>
      <w:tr>
        <w:trPr>
          <w:trHeight w:val="1" w:hRule="atLeast"/>
          <w:jc w:val="left"/>
        </w:trPr>
        <w:tc>
          <w:tcPr>
            <w:tcW w:w="1699" w:type="dxa"/>
            <w:vMerge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426" w:hanging="426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9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štatut</w:t>
            </w: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árnych</w:t>
            </w:r>
          </w:p>
        </w:tc>
        <w:tc>
          <w:tcPr>
            <w:tcW w:w="1192" w:type="dxa"/>
            <w:tcBorders>
              <w:top w:val="single" w:color="000000" w:sz="4"/>
              <w:left w:val="single" w:color="000000" w:sz="4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dozorných</w:t>
            </w:r>
          </w:p>
        </w:tc>
        <w:tc>
          <w:tcPr>
            <w:tcW w:w="1013" w:type="dxa"/>
            <w:tcBorders>
              <w:top w:val="single" w:color="000000" w:sz="4"/>
              <w:left w:val="single" w:color="000000" w:sz="4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iných</w:t>
            </w:r>
          </w:p>
        </w:tc>
        <w:tc>
          <w:tcPr>
            <w:tcW w:w="139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štatut</w:t>
            </w: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árnych</w:t>
            </w:r>
          </w:p>
        </w:tc>
        <w:tc>
          <w:tcPr>
            <w:tcW w:w="1255" w:type="dxa"/>
            <w:tcBorders>
              <w:top w:val="single" w:color="000000" w:sz="4"/>
              <w:left w:val="single" w:color="000000" w:sz="4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dozorných</w:t>
            </w:r>
          </w:p>
        </w:tc>
        <w:tc>
          <w:tcPr>
            <w:tcW w:w="1097" w:type="dxa"/>
            <w:tcBorders>
              <w:top w:val="single" w:color="000000" w:sz="4"/>
              <w:left w:val="single" w:color="000000" w:sz="4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iných</w:t>
            </w:r>
          </w:p>
        </w:tc>
      </w:tr>
      <w:tr>
        <w:trPr>
          <w:trHeight w:val="705" w:hRule="auto"/>
          <w:jc w:val="left"/>
        </w:trPr>
        <w:tc>
          <w:tcPr>
            <w:tcW w:w="16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Poskytnuté záruky alebo zabezpe</w:t>
            </w: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čenia</w:t>
            </w:r>
          </w:p>
        </w:tc>
        <w:tc>
          <w:tcPr>
            <w:tcW w:w="139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2" w:type="dxa"/>
            <w:tcBorders>
              <w:top w:val="single" w:color="000000" w:sz="12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13" w:type="dxa"/>
            <w:tcBorders>
              <w:top w:val="single" w:color="000000" w:sz="12"/>
              <w:left w:val="single" w:color="000000" w:sz="4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9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55" w:type="dxa"/>
            <w:tcBorders>
              <w:top w:val="single" w:color="000000" w:sz="12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97" w:type="dxa"/>
            <w:tcBorders>
              <w:top w:val="single" w:color="000000" w:sz="12"/>
              <w:left w:val="single" w:color="000000" w:sz="4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16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Poskytnuté pô</w:t>
            </w: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žičky (ku dňu </w:t>
            </w: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ÚZ) v eurách</w:t>
            </w:r>
          </w:p>
        </w:tc>
        <w:tc>
          <w:tcPr>
            <w:tcW w:w="139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1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9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5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9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699" w:hRule="auto"/>
          <w:jc w:val="left"/>
        </w:trPr>
        <w:tc>
          <w:tcPr>
            <w:tcW w:w="16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Splatené pô</w:t>
            </w: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žičky (ku dňu </w:t>
            </w: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ÚZ)</w:t>
            </w:r>
          </w:p>
        </w:tc>
        <w:tc>
          <w:tcPr>
            <w:tcW w:w="139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1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9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5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9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694" w:hRule="auto"/>
          <w:jc w:val="left"/>
        </w:trPr>
        <w:tc>
          <w:tcPr>
            <w:tcW w:w="16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Odpustené alebo odpísané pô</w:t>
            </w: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žičky</w:t>
            </w:r>
          </w:p>
        </w:tc>
        <w:tc>
          <w:tcPr>
            <w:tcW w:w="139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1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9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5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9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16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Finan</w:t>
            </w: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čn</w:t>
            </w: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é prostriedky a iné plnenie pou</w:t>
            </w: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žit</w:t>
            </w: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é na súkromné ú</w:t>
            </w: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čely na vy</w:t>
            </w: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ú</w:t>
            </w: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čtovanie</w:t>
            </w:r>
          </w:p>
        </w:tc>
        <w:tc>
          <w:tcPr>
            <w:tcW w:w="139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2" w:type="dxa"/>
            <w:tcBorders>
              <w:top w:val="single" w:color="000000" w:sz="4"/>
              <w:left w:val="single" w:color="000000" w:sz="4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13" w:type="dxa"/>
            <w:tcBorders>
              <w:top w:val="single" w:color="000000" w:sz="4"/>
              <w:left w:val="single" w:color="000000" w:sz="4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9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55" w:type="dxa"/>
            <w:tcBorders>
              <w:top w:val="single" w:color="000000" w:sz="4"/>
              <w:left w:val="single" w:color="000000" w:sz="4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97" w:type="dxa"/>
            <w:tcBorders>
              <w:top w:val="single" w:color="000000" w:sz="4"/>
              <w:left w:val="single" w:color="000000" w:sz="4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III. 4 c) Hlavné podmienky, na základe ktorých boli záruky alebo iné zabezpe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čenia </w:t>
        <w:tab/>
        <w:t xml:space="preserve">poskytnut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é (pri pô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žičk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ách sa uvádzajú úrokové sadzby):</w:t>
      </w:r>
    </w:p>
    <w:p>
      <w:pPr>
        <w:spacing w:before="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  <w:t xml:space="preserve">čnosť neposkytla v roku 2019 žiadne z</w:t>
      </w:r>
      <w:r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  <w:t xml:space="preserve">ruky alebo zabezpe</w:t>
      </w:r>
      <w:r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  <w:t xml:space="preserve">čenia.</w:t>
      </w:r>
    </w:p>
    <w:p>
      <w:pPr>
        <w:spacing w:before="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III. 5 a) Informácie o celkovej sume finan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ých povinností, ktoré sa nevykazujú v súvahe:</w:t>
      </w:r>
    </w:p>
    <w:tbl>
      <w:tblPr/>
      <w:tblGrid>
        <w:gridCol w:w="3814"/>
        <w:gridCol w:w="2545"/>
        <w:gridCol w:w="2683"/>
      </w:tblGrid>
      <w:tr>
        <w:trPr>
          <w:trHeight w:val="1" w:hRule="atLeast"/>
          <w:jc w:val="left"/>
        </w:trPr>
        <w:tc>
          <w:tcPr>
            <w:tcW w:w="38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</w:t>
            </w: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25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celkom</w:t>
            </w:r>
          </w:p>
        </w:tc>
        <w:tc>
          <w:tcPr>
            <w:tcW w:w="268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vo</w:t>
            </w: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 dc</w:t>
            </w: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érskej ÚJ  a ÚJ s podstatným vplyvom</w:t>
            </w:r>
          </w:p>
        </w:tc>
      </w:tr>
      <w:tr>
        <w:trPr>
          <w:trHeight w:val="1" w:hRule="atLeast"/>
          <w:jc w:val="left"/>
        </w:trPr>
        <w:tc>
          <w:tcPr>
            <w:tcW w:w="38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Povinnosti nájomcu z operatívneho prenájmu</w:t>
            </w:r>
          </w:p>
        </w:tc>
        <w:tc>
          <w:tcPr>
            <w:tcW w:w="25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4"/>
                <w:shd w:fill="auto" w:val="clear"/>
              </w:rPr>
              <w:t xml:space="preserve">0</w:t>
            </w:r>
          </w:p>
        </w:tc>
        <w:tc>
          <w:tcPr>
            <w:tcW w:w="268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38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Povinnosti z uzatvorených úverov. zmlúv</w:t>
            </w:r>
          </w:p>
        </w:tc>
        <w:tc>
          <w:tcPr>
            <w:tcW w:w="25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4"/>
                <w:shd w:fill="auto" w:val="clear"/>
              </w:rPr>
              <w:t xml:space="preserve">0</w:t>
            </w:r>
          </w:p>
        </w:tc>
        <w:tc>
          <w:tcPr>
            <w:tcW w:w="268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38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Povinnosti z licen</w:t>
            </w: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čn</w:t>
            </w: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ých zmlúv</w:t>
            </w:r>
          </w:p>
        </w:tc>
        <w:tc>
          <w:tcPr>
            <w:tcW w:w="25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4"/>
                <w:shd w:fill="auto" w:val="clear"/>
              </w:rPr>
              <w:t xml:space="preserve">0</w:t>
            </w:r>
          </w:p>
        </w:tc>
        <w:tc>
          <w:tcPr>
            <w:tcW w:w="268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38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Povinnosti z koncesionárskych zmlúv</w:t>
            </w:r>
          </w:p>
        </w:tc>
        <w:tc>
          <w:tcPr>
            <w:tcW w:w="25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4"/>
                <w:shd w:fill="auto" w:val="clear"/>
              </w:rPr>
              <w:t xml:space="preserve">0</w:t>
            </w:r>
          </w:p>
        </w:tc>
        <w:tc>
          <w:tcPr>
            <w:tcW w:w="268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70" w:hRule="auto"/>
          <w:jc w:val="left"/>
        </w:trPr>
        <w:tc>
          <w:tcPr>
            <w:tcW w:w="38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Ostatné</w:t>
            </w:r>
          </w:p>
        </w:tc>
        <w:tc>
          <w:tcPr>
            <w:tcW w:w="25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4"/>
                <w:shd w:fill="auto" w:val="clear"/>
              </w:rPr>
              <w:t xml:space="preserve">0</w:t>
            </w:r>
          </w:p>
        </w:tc>
        <w:tc>
          <w:tcPr>
            <w:tcW w:w="268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12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Opis významných finan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ých povinností:</w:t>
      </w:r>
    </w:p>
    <w:p>
      <w:pPr>
        <w:spacing w:before="120" w:after="200" w:line="240"/>
        <w:ind w:right="0" w:left="0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  <w:t xml:space="preserve">K 31.12.2019 spolo</w:t>
      </w:r>
      <w:r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  <w:t xml:space="preserve">čnosť neeviduje žiadne finančn</w:t>
      </w:r>
      <w:r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  <w:t xml:space="preserve">é povinnosti, ktoré by nevykázala v súvahe. </w:t>
      </w:r>
    </w:p>
    <w:p>
      <w:pPr>
        <w:spacing w:before="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III. 5 b) Informácie o významných podmienených záväzkoch</w:t>
      </w:r>
    </w:p>
    <w:tbl>
      <w:tblPr/>
      <w:tblGrid>
        <w:gridCol w:w="3015"/>
        <w:gridCol w:w="3013"/>
        <w:gridCol w:w="3014"/>
      </w:tblGrid>
      <w:tr>
        <w:trPr>
          <w:trHeight w:val="1" w:hRule="atLeast"/>
          <w:jc w:val="left"/>
        </w:trPr>
        <w:tc>
          <w:tcPr>
            <w:tcW w:w="3015" w:type="dxa"/>
            <w:vMerge w:val="restart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Druh podmieneného záväzku</w:t>
            </w:r>
          </w:p>
        </w:tc>
        <w:tc>
          <w:tcPr>
            <w:tcW w:w="6027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left"/>
        </w:trPr>
        <w:tc>
          <w:tcPr>
            <w:tcW w:w="3015" w:type="dxa"/>
            <w:vMerge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426" w:hanging="426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1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celkom</w:t>
            </w:r>
          </w:p>
        </w:tc>
        <w:tc>
          <w:tcPr>
            <w:tcW w:w="3014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vo</w:t>
            </w: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 dc</w:t>
            </w: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érskej ÚJ                a ÚJ s podstatným vplyvom</w:t>
            </w:r>
          </w:p>
        </w:tc>
      </w:tr>
      <w:tr>
        <w:trPr>
          <w:trHeight w:val="1" w:hRule="atLeast"/>
          <w:jc w:val="left"/>
        </w:trPr>
        <w:tc>
          <w:tcPr>
            <w:tcW w:w="301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Zo súdnych rozhodnutí</w:t>
            </w:r>
          </w:p>
        </w:tc>
        <w:tc>
          <w:tcPr>
            <w:tcW w:w="301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14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301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Z poskytnutých záruk</w:t>
            </w:r>
          </w:p>
        </w:tc>
        <w:tc>
          <w:tcPr>
            <w:tcW w:w="301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1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301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Zo v</w:t>
            </w: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šeobecne z</w:t>
            </w: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áväzných právnych predpisov</w:t>
            </w:r>
          </w:p>
        </w:tc>
        <w:tc>
          <w:tcPr>
            <w:tcW w:w="301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1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301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Zo zmluvy o podriadenom záväzku</w:t>
            </w:r>
          </w:p>
        </w:tc>
        <w:tc>
          <w:tcPr>
            <w:tcW w:w="301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1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301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Z ru</w:t>
            </w: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čenia</w:t>
            </w:r>
          </w:p>
        </w:tc>
        <w:tc>
          <w:tcPr>
            <w:tcW w:w="301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1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301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Iné podmienené záväzky</w:t>
            </w:r>
          </w:p>
        </w:tc>
        <w:tc>
          <w:tcPr>
            <w:tcW w:w="301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14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120" w:after="0" w:line="240"/>
        <w:ind w:right="0" w:left="0" w:firstLine="0"/>
        <w:jc w:val="both"/>
        <w:rPr>
          <w:rFonts w:ascii="Cambria" w:hAnsi="Cambria" w:cs="Cambria" w:eastAsia="Cambria"/>
          <w:b/>
          <w:color w:val="000000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000000"/>
          <w:spacing w:val="0"/>
          <w:position w:val="0"/>
          <w:sz w:val="22"/>
          <w:shd w:fill="auto" w:val="clear"/>
        </w:rPr>
        <w:t xml:space="preserve">Opis významných podmienených záväzkov:</w:t>
      </w:r>
    </w:p>
    <w:p>
      <w:pPr>
        <w:spacing w:before="120" w:after="0" w:line="240"/>
        <w:ind w:right="0" w:left="0" w:firstLine="0"/>
        <w:jc w:val="both"/>
        <w:rPr>
          <w:rFonts w:ascii="Cambria" w:hAnsi="Cambria" w:cs="Cambria" w:eastAsia="Cambria"/>
          <w:color w:val="000000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color w:val="000000"/>
          <w:spacing w:val="0"/>
          <w:position w:val="0"/>
          <w:sz w:val="22"/>
          <w:shd w:fill="auto" w:val="clear"/>
        </w:rPr>
        <w:t xml:space="preserve">K 31.12.2019 spolo</w:t>
      </w:r>
      <w:r>
        <w:rPr>
          <w:rFonts w:ascii="Cambria" w:hAnsi="Cambria" w:cs="Cambria" w:eastAsia="Cambria"/>
          <w:color w:val="000000"/>
          <w:spacing w:val="0"/>
          <w:position w:val="0"/>
          <w:sz w:val="22"/>
          <w:shd w:fill="auto" w:val="clear"/>
        </w:rPr>
        <w:t xml:space="preserve">čnosť neeviduje žiadne podmienen</w:t>
      </w:r>
      <w:r>
        <w:rPr>
          <w:rFonts w:ascii="Cambria" w:hAnsi="Cambria" w:cs="Cambria" w:eastAsia="Cambria"/>
          <w:color w:val="000000"/>
          <w:spacing w:val="0"/>
          <w:position w:val="0"/>
          <w:sz w:val="22"/>
          <w:shd w:fill="auto" w:val="clear"/>
        </w:rPr>
        <w:t xml:space="preserve">é záväzky. </w:t>
      </w:r>
    </w:p>
    <w:p>
      <w:pPr>
        <w:spacing w:before="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III. 5 e) Opis významných povinností ú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čtovnej jednotky vypl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ývajúcich z dôchodkových </w:t>
        <w:tab/>
        <w:t xml:space="preserve">programov pre zamestnancov:</w:t>
      </w:r>
    </w:p>
    <w:p>
      <w:pPr>
        <w:spacing w:before="0" w:after="200" w:line="240"/>
        <w:ind w:right="0" w:left="0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  <w:t xml:space="preserve">čnosť k 31.12.2019 nemala žiadnych zamestnancov. </w:t>
      </w:r>
    </w:p>
    <w:p>
      <w:pPr>
        <w:spacing w:before="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200" w:line="240"/>
        <w:ind w:right="0" w:left="0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III. 6  Informácie o udelení výlu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ého práva alebo osobitného práva, ktorým sa udelilo </w:t>
        <w:tab/>
        <w:t xml:space="preserve">právo poskytova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ť služby vo verejnom z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áujme (uvádza sa aj náhrada za túto </w:t>
        <w:tab/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činnosť v akejkoľvek forme):</w:t>
      </w:r>
    </w:p>
    <w:tbl>
      <w:tblPr/>
      <w:tblGrid>
        <w:gridCol w:w="4452"/>
      </w:tblGrid>
      <w:tr>
        <w:trPr>
          <w:trHeight w:val="273" w:hRule="auto"/>
          <w:jc w:val="left"/>
        </w:trPr>
        <w:tc>
          <w:tcPr>
            <w:tcW w:w="4452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200" w:line="240"/>
        <w:ind w:right="0" w:left="0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  <w:t xml:space="preserve">Žiadne v priebehu roka 2019 neboli spoločnosťou udelen</w:t>
      </w:r>
      <w:r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  <w:t xml:space="preserve">é.</w:t>
      </w:r>
    </w:p>
    <w:p>
      <w:pPr>
        <w:spacing w:before="24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V Bratislave 02.11.2020</w:t>
      </w:r>
    </w:p>
    <w:p>
      <w:pPr>
        <w:spacing w:before="24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Miesto/Dátum/Podpis</w:t>
      </w:r>
    </w:p>
    <w:p>
      <w:pPr>
        <w:spacing w:before="240" w:after="200" w:line="240"/>
        <w:ind w:right="0" w:left="0" w:firstLine="0"/>
        <w:jc w:val="both"/>
        <w:rPr>
          <w:rFonts w:ascii="Cambria" w:hAnsi="Cambria" w:cs="Cambria" w:eastAsia="Cambria"/>
          <w:i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i/>
          <w:color w:val="auto"/>
          <w:spacing w:val="0"/>
          <w:position w:val="0"/>
          <w:sz w:val="20"/>
          <w:shd w:fill="auto" w:val="clear"/>
        </w:rPr>
        <w:t xml:space="preserve">(odporú</w:t>
      </w:r>
      <w:r>
        <w:rPr>
          <w:rFonts w:ascii="Cambria" w:hAnsi="Cambria" w:cs="Cambria" w:eastAsia="Cambria"/>
          <w:i/>
          <w:color w:val="auto"/>
          <w:spacing w:val="0"/>
          <w:position w:val="0"/>
          <w:sz w:val="20"/>
          <w:shd w:fill="auto" w:val="clear"/>
        </w:rPr>
        <w:t xml:space="preserve">čan</w:t>
      </w:r>
      <w:r>
        <w:rPr>
          <w:rFonts w:ascii="Cambria" w:hAnsi="Cambria" w:cs="Cambria" w:eastAsia="Cambria"/>
          <w:i/>
          <w:color w:val="auto"/>
          <w:spacing w:val="0"/>
          <w:position w:val="0"/>
          <w:sz w:val="20"/>
          <w:shd w:fill="auto" w:val="clear"/>
        </w:rPr>
        <w:t xml:space="preserve">é)</w:t>
      </w:r>
    </w:p>
    <w:p>
      <w:pPr>
        <w:spacing w:before="24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240" w:after="200" w:line="240"/>
        <w:ind w:right="0" w:left="0" w:firstLine="0"/>
        <w:jc w:val="right"/>
        <w:rPr>
          <w:rFonts w:ascii="Cambria" w:hAnsi="Cambria" w:cs="Cambria" w:eastAsia="Cambria"/>
          <w:b/>
          <w:i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i/>
          <w:color w:val="auto"/>
          <w:spacing w:val="0"/>
          <w:position w:val="0"/>
          <w:sz w:val="20"/>
          <w:shd w:fill="auto" w:val="clear"/>
        </w:rPr>
        <w:t xml:space="preserve">Koniec dokumentu</w:t>
      </w:r>
    </w:p>
  </w:body>
</w:document>
</file>

<file path=word/numbering.xml><?xml version="1.0" encoding="utf-8"?>
<w:numbering xmlns:w="http://schemas.openxmlformats.org/wordprocessingml/2006/main"/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numbering.xml" Id="docRId0" Type="http://schemas.openxmlformats.org/officeDocument/2006/relationships/numbering" /><Relationship Target="styles.xml" Id="docRId1" Type="http://schemas.openxmlformats.org/officeDocument/2006/relationships/styles" /></Relationships>
</file>