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pBdr>
          <w:top w:val="single" w:sz="4" w:space="1" w:color="00000A"/>
          <w:left w:val="single" w:sz="4" w:space="4" w:color="00000A"/>
          <w:bottom w:val="single" w:sz="4" w:space="1" w:color="00000A"/>
          <w:right w:val="single" w:sz="4" w:space="4" w:color="00000A"/>
        </w:pBdr>
        <w:spacing w:before="480" w:after="0"/>
        <w:ind w:left="360" w:hanging="0"/>
        <w:jc w:val="center"/>
        <w:rPr/>
      </w:pPr>
      <w:r>
        <w:rPr>
          <w:rFonts w:ascii="Franklin Gothic Book" w:hAnsi="Franklin Gothic Book"/>
          <w:smallCaps/>
          <w:color w:val="00000A"/>
          <w:sz w:val="20"/>
          <w:szCs w:val="20"/>
        </w:rPr>
        <w:t>Poznámky k mikro účtovnej závierke za rok 201</w:t>
      </w:r>
      <w:r>
        <w:rPr>
          <w:rFonts w:ascii="Franklin Gothic Book" w:hAnsi="Franklin Gothic Book"/>
          <w:smallCaps/>
          <w:color w:val="00000A"/>
          <w:sz w:val="20"/>
          <w:szCs w:val="20"/>
        </w:rPr>
        <w:t>9</w:t>
      </w:r>
      <w:r>
        <w:rPr>
          <w:rFonts w:ascii="Franklin Gothic Book" w:hAnsi="Franklin Gothic Book"/>
          <w:smallCaps/>
          <w:color w:val="00000A"/>
          <w:sz w:val="20"/>
          <w:szCs w:val="20"/>
        </w:rPr>
        <w:br/>
      </w:r>
      <w:r>
        <w:rPr>
          <w:rFonts w:ascii="Franklin Gothic Book" w:hAnsi="Franklin Gothic Book"/>
          <w:b w:val="false"/>
          <w:color w:val="00000A"/>
          <w:sz w:val="20"/>
          <w:szCs w:val="20"/>
        </w:rPr>
        <w:t>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mikro účtovné jednotky v znení neskorších predpisov (ostatná novela č.MF/18008/2014-74 – FS č. 10/2014)</w:t>
      </w:r>
    </w:p>
    <w:p>
      <w:pPr>
        <w:pStyle w:val="Heading1"/>
        <w:numPr>
          <w:ilvl w:val="0"/>
          <w:numId w:val="3"/>
        </w:numPr>
        <w:ind w:left="426" w:hanging="360"/>
        <w:rPr>
          <w:rFonts w:ascii="Franklin Gothic Book" w:hAnsi="Franklin Gothic Book"/>
          <w:smallCaps/>
          <w:sz w:val="36"/>
          <w:szCs w:val="36"/>
        </w:rPr>
      </w:pPr>
      <w:r>
        <w:rPr>
          <w:rFonts w:ascii="Franklin Gothic Book" w:hAnsi="Franklin Gothic Book"/>
          <w:smallCaps/>
          <w:sz w:val="36"/>
          <w:szCs w:val="36"/>
        </w:rPr>
        <w:t>Všeobecné údaje</w:t>
      </w:r>
    </w:p>
    <w:p>
      <w:pPr>
        <w:pStyle w:val="Normal"/>
        <w:rPr/>
      </w:pPr>
      <w:r>
        <w:rPr/>
      </w:r>
    </w:p>
    <w:p>
      <w:pPr>
        <w:pStyle w:val="Heading3"/>
        <w:rPr>
          <w:rFonts w:ascii="Franklin Gothic Book" w:hAnsi="Franklin Gothic Book"/>
          <w:smallCaps/>
          <w:color w:val="00000A"/>
        </w:rPr>
      </w:pPr>
      <w:r>
        <w:rPr>
          <w:rFonts w:ascii="Franklin Gothic Book" w:hAnsi="Franklin Gothic Book"/>
          <w:smallCaps/>
          <w:color w:val="00000A"/>
        </w:rPr>
        <w:t>Informácie o účtovnej jednotke:</w:t>
      </w:r>
    </w:p>
    <w:p>
      <w:pPr>
        <w:pStyle w:val="Normal"/>
        <w:rPr/>
      </w:pPr>
      <w:r>
        <w:rPr>
          <w:rFonts w:ascii="Franklin Gothic Book" w:hAnsi="Franklin Gothic Book"/>
          <w:sz w:val="20"/>
          <w:szCs w:val="20"/>
        </w:rPr>
        <w:t>Názov:</w:t>
        <w:tab/>
        <w:tab/>
        <w:tab/>
        <w:t>Moeller s.r.o.</w:t>
      </w:r>
    </w:p>
    <w:p>
      <w:pPr>
        <w:pStyle w:val="NoSpacing"/>
        <w:rPr/>
      </w:pPr>
      <w:r>
        <w:rPr>
          <w:rFonts w:ascii="Franklin Gothic Book" w:hAnsi="Franklin Gothic Book"/>
          <w:sz w:val="20"/>
          <w:szCs w:val="20"/>
        </w:rPr>
        <w:t>IČO:</w:t>
        <w:tab/>
        <w:tab/>
        <w:tab/>
        <w:t>52035913</w:t>
        <w:br/>
        <w:t>Sídlo:</w:t>
        <w:tab/>
        <w:tab/>
        <w:tab/>
        <w:t>Pivovarská 1070/2, 010 01  Žilina</w:t>
      </w:r>
    </w:p>
    <w:p>
      <w:pPr>
        <w:pStyle w:val="NoSpacing"/>
        <w:rPr>
          <w:rFonts w:ascii="Franklin Gothic Book" w:hAnsi="Franklin Gothic Book"/>
          <w:sz w:val="20"/>
          <w:szCs w:val="20"/>
        </w:rPr>
      </w:pPr>
      <w:r>
        <w:rPr>
          <w:rFonts w:ascii="Franklin Gothic Book" w:hAnsi="Franklin Gothic Book"/>
          <w:sz w:val="20"/>
          <w:szCs w:val="20"/>
        </w:rPr>
      </w:r>
    </w:p>
    <w:p>
      <w:pPr>
        <w:pStyle w:val="Heading3"/>
        <w:rPr>
          <w:smallCaps/>
          <w:color w:val="00000A"/>
        </w:rPr>
      </w:pPr>
      <w:r>
        <w:rPr>
          <w:smallCaps/>
          <w:color w:val="00000A"/>
        </w:rPr>
        <w:t>Informácie o konsolidovanom celku</w:t>
      </w:r>
    </w:p>
    <w:p>
      <w:pPr>
        <w:pStyle w:val="Normal"/>
        <w:rPr>
          <w:rFonts w:ascii="Franklin Gothic Book" w:hAnsi="Franklin Gothic Book"/>
          <w:sz w:val="20"/>
          <w:szCs w:val="20"/>
        </w:rPr>
      </w:pPr>
      <w:r>
        <w:rPr>
          <w:rFonts w:ascii="Franklin Gothic Book" w:hAnsi="Franklin Gothic Book"/>
          <w:sz w:val="20"/>
          <w:szCs w:val="20"/>
        </w:rPr>
        <w:t>Spoločnosť nie je súčasťou konsolidovaného celku inej obchodnej spoločnosti.</w:t>
      </w:r>
    </w:p>
    <w:p>
      <w:pPr>
        <w:pStyle w:val="Heading3"/>
        <w:rPr>
          <w:smallCaps/>
          <w:color w:val="00000A"/>
        </w:rPr>
      </w:pPr>
      <w:r>
        <w:rPr>
          <w:smallCaps/>
          <w:color w:val="00000A"/>
        </w:rPr>
        <w:t>Údaje o počte zamestnancov</w:t>
      </w:r>
    </w:p>
    <w:p>
      <w:pPr>
        <w:pStyle w:val="Normal"/>
        <w:rPr/>
      </w:pPr>
      <w:r>
        <w:rPr/>
      </w:r>
    </w:p>
    <w:tbl>
      <w:tblPr>
        <w:tblW w:w="4900" w:type="pct"/>
        <w:jc w:val="center"/>
        <w:tblInd w:w="0" w:type="dxa"/>
        <w:tblLayout w:type="fixed"/>
        <w:tblCellMar>
          <w:top w:w="0" w:type="dxa"/>
          <w:left w:w="0" w:type="dxa"/>
          <w:bottom w:w="0" w:type="dxa"/>
          <w:right w:w="15" w:type="dxa"/>
        </w:tblCellMar>
        <w:tblLook w:firstRow="0" w:noVBand="0" w:lastRow="0" w:firstColumn="0" w:lastColumn="0" w:noHBand="0" w:val="0000"/>
      </w:tblPr>
      <w:tblGrid>
        <w:gridCol w:w="4774"/>
        <w:gridCol w:w="4115"/>
      </w:tblGrid>
      <w:tr>
        <w:trPr/>
        <w:tc>
          <w:tcPr>
            <w:tcW w:w="4774"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Franklin Gothic Book" w:hAnsi="Franklin Gothic Book"/>
                <w:sz w:val="20"/>
                <w:szCs w:val="20"/>
              </w:rPr>
            </w:pPr>
            <w:r>
              <w:rPr>
                <w:rFonts w:ascii="Franklin Gothic Book" w:hAnsi="Franklin Gothic Book"/>
                <w:sz w:val="20"/>
                <w:szCs w:val="20"/>
              </w:rPr>
              <w:t>Názov položky</w:t>
            </w:r>
          </w:p>
        </w:tc>
        <w:tc>
          <w:tcPr>
            <w:tcW w:w="4115" w:type="dxa"/>
            <w:tcBorders>
              <w:top w:val="single" w:sz="12" w:space="0" w:color="00000A"/>
              <w:left w:val="single" w:sz="12" w:space="0" w:color="00000A"/>
              <w:right w:val="single" w:sz="12" w:space="0" w:color="00000A"/>
            </w:tcBorders>
            <w:shd w:fill="auto" w:val="clear"/>
            <w:vAlign w:val="center"/>
          </w:tcPr>
          <w:p>
            <w:pPr>
              <w:pStyle w:val="TopHeader"/>
              <w:widowControl w:val="false"/>
              <w:rPr/>
            </w:pPr>
            <w:r>
              <w:rPr>
                <w:rFonts w:ascii="Franklin Gothic Book" w:hAnsi="Franklin Gothic Book"/>
                <w:sz w:val="20"/>
                <w:szCs w:val="20"/>
              </w:rPr>
              <w:t>201</w:t>
            </w:r>
            <w:r>
              <w:rPr>
                <w:rFonts w:ascii="Franklin Gothic Book" w:hAnsi="Franklin Gothic Book"/>
                <w:sz w:val="20"/>
                <w:szCs w:val="20"/>
              </w:rPr>
              <w:t>9</w:t>
            </w:r>
          </w:p>
        </w:tc>
      </w:tr>
      <w:tr>
        <w:trPr/>
        <w:tc>
          <w:tcPr>
            <w:tcW w:w="477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rPr>
                <w:rFonts w:ascii="Franklin Gothic Book" w:hAnsi="Franklin Gothic Book" w:cs="Arial"/>
                <w:sz w:val="20"/>
                <w:szCs w:val="20"/>
              </w:rPr>
            </w:pPr>
            <w:r>
              <w:rPr>
                <w:rFonts w:cs="Arial" w:ascii="Franklin Gothic Book" w:hAnsi="Franklin Gothic Book"/>
                <w:sz w:val="20"/>
                <w:szCs w:val="20"/>
              </w:rPr>
              <w:t>Priemerný prepočítaný počet zamestnancov</w:t>
            </w:r>
          </w:p>
        </w:tc>
        <w:tc>
          <w:tcPr>
            <w:tcW w:w="41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Value"/>
              <w:widowControl w:val="false"/>
              <w:jc w:val="center"/>
              <w:rPr/>
            </w:pPr>
            <w:r>
              <w:rPr>
                <w:rFonts w:ascii="Franklin Gothic Book" w:hAnsi="Franklin Gothic Book"/>
                <w:sz w:val="20"/>
                <w:szCs w:val="20"/>
                <w:lang w:val="sk-SK"/>
              </w:rPr>
              <w:t>0</w:t>
            </w:r>
          </w:p>
        </w:tc>
      </w:tr>
    </w:tbl>
    <w:p>
      <w:pPr>
        <w:pStyle w:val="Heading1"/>
        <w:numPr>
          <w:ilvl w:val="0"/>
          <w:numId w:val="3"/>
        </w:numPr>
        <w:ind w:left="426" w:hanging="349"/>
        <w:rPr>
          <w:rFonts w:ascii="Franklin Gothic Book" w:hAnsi="Franklin Gothic Book"/>
          <w:smallCaps/>
          <w:sz w:val="36"/>
          <w:szCs w:val="36"/>
        </w:rPr>
      </w:pPr>
      <w:r>
        <w:rPr>
          <w:rFonts w:ascii="Franklin Gothic Book" w:hAnsi="Franklin Gothic Book"/>
          <w:smallCaps/>
          <w:sz w:val="36"/>
          <w:szCs w:val="36"/>
        </w:rPr>
        <w:t>Informácie o prijatých postupoch</w:t>
      </w:r>
    </w:p>
    <w:p>
      <w:pPr>
        <w:pStyle w:val="Normal"/>
        <w:rPr/>
      </w:pPr>
      <w:r>
        <w:rPr/>
      </w:r>
    </w:p>
    <w:p>
      <w:pPr>
        <w:pStyle w:val="NoSpacing"/>
        <w:numPr>
          <w:ilvl w:val="0"/>
          <w:numId w:val="1"/>
        </w:numPr>
        <w:ind w:left="426" w:hanging="349"/>
        <w:rPr>
          <w:rFonts w:ascii="Franklin Gothic Book" w:hAnsi="Franklin Gothic Book"/>
        </w:rPr>
      </w:pPr>
      <w:r>
        <w:rPr>
          <w:rFonts w:ascii="Franklin Gothic Book" w:hAnsi="Franklin Gothic Book"/>
          <w:smallCaps/>
        </w:rPr>
        <w:t>Východiská pre zostavenie účtovnej závierky, vplyv zmeny účtovných zásad na hodnotu majetku,   záväzkov, vlastného imania a výsledku hospodárenia účtovnej jednotky.</w:t>
      </w:r>
      <w:r>
        <w:rPr>
          <w:rFonts w:ascii="Franklin Gothic Book" w:hAnsi="Franklin Gothic Book"/>
        </w:rPr>
        <w:br/>
      </w:r>
      <w:r>
        <w:rPr>
          <w:rFonts w:ascii="Franklin Gothic Book" w:hAnsi="Franklin Gothic Book"/>
          <w:sz w:val="20"/>
          <w:szCs w:val="20"/>
        </w:rPr>
        <w:t>Účtovná závierka bola zostavená za predpokladu nepretržitého trvania Spoločnosti (going concern).</w:t>
      </w:r>
      <w:r>
        <w:rPr>
          <w:rFonts w:ascii="Franklin Gothic Book" w:hAnsi="Franklin Gothic Book"/>
        </w:rPr>
        <w:br/>
      </w:r>
      <w:r>
        <w:rPr>
          <w:rFonts w:ascii="Franklin Gothic Book" w:hAnsi="Franklin Gothic Book"/>
          <w:sz w:val="20"/>
          <w:szCs w:val="20"/>
        </w:rPr>
        <w:t>Účtovné metódy a všeobecné účtovné zásady boli účtovnou jednotkou konzistentne aplikované.</w:t>
      </w:r>
    </w:p>
    <w:p>
      <w:pPr>
        <w:pStyle w:val="NoSpacing"/>
        <w:ind w:left="426" w:hanging="0"/>
        <w:rPr>
          <w:rFonts w:ascii="Franklin Gothic Book" w:hAnsi="Franklin Gothic Book"/>
        </w:rPr>
      </w:pPr>
      <w:r>
        <w:rPr>
          <w:rFonts w:ascii="Franklin Gothic Book" w:hAnsi="Franklin Gothic Book"/>
        </w:rPr>
      </w:r>
      <w:bookmarkStart w:id="0" w:name="_GoBack"/>
      <w:bookmarkStart w:id="1" w:name="_GoBack"/>
      <w:bookmarkEnd w:id="1"/>
    </w:p>
    <w:p>
      <w:pPr>
        <w:pStyle w:val="NoSpacing"/>
        <w:numPr>
          <w:ilvl w:val="0"/>
          <w:numId w:val="1"/>
        </w:numPr>
        <w:ind w:left="426" w:hanging="360"/>
        <w:rPr>
          <w:rFonts w:ascii="Franklin Gothic Book" w:hAnsi="Franklin Gothic Book"/>
        </w:rPr>
      </w:pPr>
      <w:r>
        <w:rPr>
          <w:smallCaps/>
        </w:rPr>
        <w:t>Ocenenie zásob obstaraných kúpou, zásob vytvorených vlastnou činnosťou</w:t>
        <w:br/>
      </w:r>
      <w:r>
        <w:rPr>
          <w:rFonts w:ascii="Franklin Gothic Book" w:hAnsi="Franklin Gothic Book"/>
          <w:sz w:val="20"/>
          <w:szCs w:val="20"/>
        </w:rPr>
        <w:t>Nakupované zásoby sa oceňujú obstarávacou cenou, ktorá zahŕňa cenu zásob a náklady súvisiace s obstaraním. Úroky z cudzích zdrojov nie sú súčasťou obstarávacej ceny.</w:t>
      </w:r>
    </w:p>
    <w:p>
      <w:pPr>
        <w:pStyle w:val="NoSpacing"/>
        <w:rPr/>
      </w:pPr>
      <w:r>
        <w:rPr/>
      </w:r>
    </w:p>
    <w:p>
      <w:pPr>
        <w:pStyle w:val="NoSpacing"/>
        <w:numPr>
          <w:ilvl w:val="0"/>
          <w:numId w:val="1"/>
        </w:numPr>
        <w:ind w:left="426" w:hanging="360"/>
        <w:rPr>
          <w:rFonts w:ascii="Franklin Gothic Book" w:hAnsi="Franklin Gothic Book"/>
          <w:smallCaps/>
        </w:rPr>
      </w:pPr>
      <w:r>
        <w:rPr>
          <w:rFonts w:ascii="Franklin Gothic Book" w:hAnsi="Franklin Gothic Book"/>
          <w:smallCaps/>
        </w:rPr>
        <w:t>Ocenenie, odpisové plány DNM a DHM (obstaraného kúpou, vlastnou činnosťou, inak)</w:t>
        <w:br/>
      </w:r>
      <w:r>
        <w:rPr>
          <w:rFonts w:ascii="Franklin Gothic Book" w:hAnsi="Franklin Gothic Book"/>
          <w:sz w:val="20"/>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pPr>
        <w:pStyle w:val="TextBody"/>
        <w:rPr>
          <w:rFonts w:ascii="Franklin Gothic Book" w:hAnsi="Franklin Gothic Book"/>
          <w:sz w:val="20"/>
        </w:rPr>
      </w:pPr>
      <w:r>
        <w:rPr>
          <w:rFonts w:ascii="Franklin Gothic Book" w:hAnsi="Franklin Gothic Book"/>
          <w:sz w:val="20"/>
        </w:rPr>
      </w:r>
    </w:p>
    <w:p>
      <w:pPr>
        <w:pStyle w:val="TextBody"/>
        <w:rPr>
          <w:rFonts w:ascii="Franklin Gothic Book" w:hAnsi="Franklin Gothic Book"/>
          <w:sz w:val="20"/>
        </w:rPr>
      </w:pPr>
      <w:r>
        <w:rPr>
          <w:rFonts w:ascii="Franklin Gothic Book" w:hAnsi="Franklin Gothic Book"/>
          <w:sz w:val="20"/>
        </w:rPr>
        <w:t xml:space="preserve">Odpisy dlhodobého majetku sú stanovené vychádzajúc z predpokladanej doby jeho používania a predpokladaného priebehu jeho opotrebenia. Odpisovať sa začína dňom 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pPr>
        <w:pStyle w:val="NoSpacing"/>
        <w:rPr/>
      </w:pPr>
      <w:r>
        <w:rPr/>
      </w:r>
    </w:p>
    <w:p>
      <w:pPr>
        <w:pStyle w:val="NoSpacing"/>
        <w:rPr/>
      </w:pPr>
      <w:r>
        <w:rPr/>
      </w:r>
    </w:p>
    <w:tbl>
      <w:tblPr>
        <w:tblW w:w="8969" w:type="dxa"/>
        <w:jc w:val="left"/>
        <w:tblInd w:w="163" w:type="dxa"/>
        <w:tblLayout w:type="fixed"/>
        <w:tblCellMar>
          <w:top w:w="0" w:type="dxa"/>
          <w:left w:w="60" w:type="dxa"/>
          <w:bottom w:w="0" w:type="dxa"/>
          <w:right w:w="70" w:type="dxa"/>
        </w:tblCellMar>
        <w:tblLook w:firstRow="0" w:noVBand="0" w:lastRow="0" w:firstColumn="0" w:lastColumn="0" w:noHBand="0" w:val="0000"/>
      </w:tblPr>
      <w:tblGrid>
        <w:gridCol w:w="2731"/>
        <w:gridCol w:w="2160"/>
        <w:gridCol w:w="1291"/>
        <w:gridCol w:w="2786"/>
      </w:tblGrid>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sz w:val="20"/>
              </w:rPr>
            </w:pPr>
            <w:r>
              <w:rPr>
                <w:rFonts w:ascii="Franklin Gothic Book" w:hAnsi="Franklin Gothic Book"/>
                <w:sz w:val="20"/>
              </w:rPr>
            </w:r>
          </w:p>
        </w:tc>
        <w:tc>
          <w:tcPr>
            <w:tcW w:w="2160"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sz w:val="20"/>
              </w:rPr>
            </w:pPr>
            <w:r>
              <w:rPr>
                <w:rFonts w:ascii="Franklin Gothic Book" w:hAnsi="Franklin Gothic Book"/>
                <w:sz w:val="20"/>
              </w:rPr>
              <w:t>predpokladaná doba použitia</w:t>
            </w:r>
          </w:p>
        </w:tc>
        <w:tc>
          <w:tcPr>
            <w:tcW w:w="129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sz w:val="20"/>
              </w:rPr>
            </w:pPr>
            <w:r>
              <w:rPr>
                <w:rFonts w:ascii="Franklin Gothic Book" w:hAnsi="Franklin Gothic Book"/>
                <w:sz w:val="20"/>
              </w:rPr>
              <w:t>metóda</w:t>
            </w:r>
          </w:p>
          <w:p>
            <w:pPr>
              <w:pStyle w:val="TextBody"/>
              <w:widowControl w:val="false"/>
              <w:ind w:left="0" w:hanging="0"/>
              <w:jc w:val="center"/>
              <w:rPr>
                <w:rFonts w:ascii="Franklin Gothic Book" w:hAnsi="Franklin Gothic Book"/>
                <w:sz w:val="20"/>
              </w:rPr>
            </w:pPr>
            <w:r>
              <w:rPr>
                <w:rFonts w:ascii="Franklin Gothic Book" w:hAnsi="Franklin Gothic Book"/>
                <w:sz w:val="20"/>
              </w:rPr>
              <w:t>odpisovania</w:t>
            </w:r>
          </w:p>
        </w:tc>
        <w:tc>
          <w:tcPr>
            <w:tcW w:w="2786"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sz w:val="20"/>
              </w:rPr>
            </w:pPr>
            <w:r>
              <w:rPr>
                <w:rFonts w:ascii="Franklin Gothic Book" w:hAnsi="Franklin Gothic Book"/>
                <w:sz w:val="20"/>
              </w:rPr>
              <w:t>ročná odpisová sadzba</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left"/>
              <w:rPr>
                <w:rFonts w:ascii="Franklin Gothic Book" w:hAnsi="Franklin Gothic Book"/>
                <w:sz w:val="16"/>
              </w:rPr>
            </w:pPr>
            <w:r>
              <w:rPr>
                <w:rFonts w:ascii="Franklin Gothic Book" w:hAnsi="Franklin Gothic Book"/>
                <w:sz w:val="16"/>
              </w:rPr>
            </w:r>
          </w:p>
        </w:tc>
        <w:tc>
          <w:tcPr>
            <w:tcW w:w="216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sz w:val="16"/>
              </w:rPr>
            </w:pPr>
            <w:r>
              <w:rPr>
                <w:rFonts w:ascii="Franklin Gothic Book" w:hAnsi="Franklin Gothic Book"/>
                <w:sz w:val="16"/>
              </w:rPr>
              <w:t>Rok</w:t>
            </w:r>
          </w:p>
        </w:tc>
        <w:tc>
          <w:tcPr>
            <w:tcW w:w="129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sz w:val="16"/>
              </w:rPr>
            </w:pPr>
            <w:r>
              <w:rPr>
                <w:rFonts w:ascii="Franklin Gothic Book" w:hAnsi="Franklin Gothic Book"/>
                <w:sz w:val="16"/>
              </w:rPr>
            </w:r>
          </w:p>
        </w:tc>
        <w:tc>
          <w:tcPr>
            <w:tcW w:w="2786"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sz w:val="16"/>
              </w:rPr>
            </w:pPr>
            <w:r>
              <w:rPr>
                <w:rFonts w:ascii="Franklin Gothic Book" w:hAnsi="Franklin Gothic Book"/>
                <w:sz w:val="16"/>
              </w:rPr>
              <w:t>v podiely</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left"/>
              <w:rPr>
                <w:rFonts w:ascii="Franklin Gothic Book" w:hAnsi="Franklin Gothic Book"/>
                <w:sz w:val="20"/>
              </w:rPr>
            </w:pPr>
            <w:r>
              <w:rPr>
                <w:rFonts w:ascii="Franklin Gothic Book" w:hAnsi="Franklin Gothic Book"/>
                <w:sz w:val="20"/>
              </w:rPr>
              <w:t>stavby</w:t>
            </w:r>
          </w:p>
        </w:tc>
        <w:tc>
          <w:tcPr>
            <w:tcW w:w="216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20</w:t>
            </w:r>
          </w:p>
        </w:tc>
        <w:tc>
          <w:tcPr>
            <w:tcW w:w="129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1/20</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left"/>
              <w:rPr>
                <w:rFonts w:ascii="Franklin Gothic Book" w:hAnsi="Franklin Gothic Book"/>
                <w:sz w:val="20"/>
              </w:rPr>
            </w:pPr>
            <w:r>
              <w:rPr>
                <w:rFonts w:ascii="Franklin Gothic Book" w:hAnsi="Franklin Gothic Book"/>
                <w:sz w:val="20"/>
              </w:rPr>
              <w:t>stroje, prístroje a zariadenia</w:t>
            </w:r>
          </w:p>
        </w:tc>
        <w:tc>
          <w:tcPr>
            <w:tcW w:w="2160"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4-6</w:t>
            </w:r>
          </w:p>
        </w:tc>
        <w:tc>
          <w:tcPr>
            <w:tcW w:w="129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1/4 - 1/6</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left"/>
              <w:rPr>
                <w:rFonts w:ascii="Franklin Gothic Book" w:hAnsi="Franklin Gothic Book"/>
                <w:sz w:val="20"/>
              </w:rPr>
            </w:pPr>
            <w:r>
              <w:rPr>
                <w:rFonts w:ascii="Franklin Gothic Book" w:hAnsi="Franklin Gothic Book"/>
                <w:sz w:val="20"/>
              </w:rPr>
              <w:t>dopravné prostriedky</w:t>
            </w:r>
          </w:p>
        </w:tc>
        <w:tc>
          <w:tcPr>
            <w:tcW w:w="2160"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1/4</w:t>
            </w:r>
          </w:p>
        </w:tc>
      </w:tr>
      <w:tr>
        <w:trPr>
          <w:trHeight w:val="330" w:hRule="atLeast"/>
        </w:trPr>
        <w:tc>
          <w:tcPr>
            <w:tcW w:w="273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left"/>
              <w:rPr>
                <w:rFonts w:ascii="Franklin Gothic Book" w:hAnsi="Franklin Gothic Book"/>
                <w:sz w:val="20"/>
              </w:rPr>
            </w:pPr>
            <w:r>
              <w:rPr>
                <w:rFonts w:ascii="Franklin Gothic Book" w:hAnsi="Franklin Gothic Book"/>
                <w:sz w:val="20"/>
              </w:rPr>
              <w:t>dlhodobý nehmotný majetok</w:t>
            </w:r>
          </w:p>
        </w:tc>
        <w:tc>
          <w:tcPr>
            <w:tcW w:w="2160"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4</w:t>
            </w:r>
          </w:p>
        </w:tc>
        <w:tc>
          <w:tcPr>
            <w:tcW w:w="1291"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lineárna</w:t>
            </w:r>
          </w:p>
        </w:tc>
        <w:tc>
          <w:tcPr>
            <w:tcW w:w="2786" w:type="dxa"/>
            <w:tcBorders>
              <w:top w:val="single" w:sz="4" w:space="0" w:color="00000A"/>
              <w:left w:val="single" w:sz="4" w:space="0" w:color="00000A"/>
              <w:bottom w:val="single" w:sz="4" w:space="0" w:color="00000A"/>
              <w:right w:val="single" w:sz="4" w:space="0" w:color="00000A"/>
            </w:tcBorders>
            <w:shd w:fill="auto" w:val="clear"/>
            <w:vAlign w:val="center"/>
          </w:tcPr>
          <w:p>
            <w:pPr>
              <w:pStyle w:val="TextBody"/>
              <w:widowControl w:val="false"/>
              <w:ind w:left="0" w:hanging="0"/>
              <w:jc w:val="center"/>
              <w:rPr>
                <w:rFonts w:ascii="Franklin Gothic Book" w:hAnsi="Franklin Gothic Book"/>
              </w:rPr>
            </w:pPr>
            <w:r>
              <w:rPr>
                <w:rFonts w:ascii="Franklin Gothic Book" w:hAnsi="Franklin Gothic Book"/>
              </w:rPr>
              <w:t>1/4</w:t>
            </w:r>
          </w:p>
        </w:tc>
      </w:tr>
    </w:tbl>
    <w:p>
      <w:pPr>
        <w:pStyle w:val="NoSpacing"/>
        <w:rPr/>
      </w:pPr>
      <w:r>
        <w:rPr/>
      </w:r>
    </w:p>
    <w:p>
      <w:pPr>
        <w:pStyle w:val="NoSpacing"/>
        <w:numPr>
          <w:ilvl w:val="0"/>
          <w:numId w:val="1"/>
        </w:numPr>
        <w:ind w:left="426" w:hanging="360"/>
        <w:rPr/>
      </w:pPr>
      <w:r>
        <w:rPr>
          <w:smallCaps/>
        </w:rPr>
        <w:t>Ocenenie pohľadávok</w:t>
      </w:r>
      <w:r>
        <w:rPr/>
        <w:br/>
      </w:r>
      <w:r>
        <w:rPr>
          <w:rFonts w:ascii="Franklin Gothic Book" w:hAnsi="Franklin Gothic Book"/>
          <w:sz w:val="20"/>
          <w:szCs w:val="20"/>
        </w:rPr>
        <w:t>Pohľadávky pri ich vzniku sa oceňujú ich menovitou hodnotou. Toto ocenenie sa znižuje o pochybné a nevymožiteľné pohľadávky. Pri posudzovaní vymoženosti pohľadávky účtovná jednotka postupuje individuálne pri každej pohľadávke. Účtovná jednotka netvorí opravné položky k pohľadávkam.</w:t>
      </w:r>
    </w:p>
    <w:p>
      <w:pPr>
        <w:pStyle w:val="NoSpacing"/>
        <w:numPr>
          <w:ilvl w:val="0"/>
          <w:numId w:val="1"/>
        </w:numPr>
        <w:ind w:left="426" w:hanging="360"/>
        <w:rPr/>
      </w:pPr>
      <w:r>
        <w:rPr>
          <w:smallCaps/>
        </w:rPr>
        <w:t>Ocenenie krátkodobého finančného majetku</w:t>
        <w:br/>
      </w:r>
      <w:r>
        <w:rPr>
          <w:rFonts w:ascii="Franklin Gothic Book" w:hAnsi="Franklin Gothic Book"/>
          <w:sz w:val="20"/>
          <w:szCs w:val="20"/>
        </w:rPr>
        <w:t>Peňažné prostriedky a ceniny sa oceňujú ich menovitou hodnotou. Zníženie ich hodnoty sa vyjadruje opravnou položkou. Cenné papiere, dlhové cenné papiere na obchodovanie sa oceňujú obstarávacími cenami vrátane nákladov súvisiacich s obstaraním.</w:t>
      </w:r>
    </w:p>
    <w:p>
      <w:pPr>
        <w:pStyle w:val="NoSpacing"/>
        <w:numPr>
          <w:ilvl w:val="0"/>
          <w:numId w:val="1"/>
        </w:numPr>
        <w:ind w:left="426" w:hanging="360"/>
        <w:rPr/>
      </w:pPr>
      <w:r>
        <w:rPr>
          <w:smallCaps/>
        </w:rPr>
        <w:t>ocenenie záväzkov vrátane rezerv, dlhopisov, pôžičiek a úverov</w:t>
        <w:br/>
      </w:r>
      <w:r>
        <w:rPr>
          <w:rFonts w:ascii="Franklin Gothic Book" w:hAnsi="Franklin Gothic Book"/>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br/>
        <w:t>Rezervy sú záväzky s neurčitým časovým vymedzením alebo výškou; tvoria sa na krytie známych rizík alebo strát z podnikania. Oceňujú sa v očakávanej výške záväzku.</w:t>
        <w:br/>
        <w:t>Spoločnosť nemala počas účtovného obdobia úvery a pôžičky</w:t>
      </w:r>
    </w:p>
    <w:p>
      <w:pPr>
        <w:pStyle w:val="NoSpacing"/>
        <w:numPr>
          <w:ilvl w:val="0"/>
          <w:numId w:val="1"/>
        </w:numPr>
        <w:ind w:left="426" w:hanging="360"/>
        <w:rPr/>
      </w:pPr>
      <w:r>
        <w:rPr>
          <w:smallCaps/>
        </w:rPr>
        <w:t>ocenenie derivátových operácií</w:t>
        <w:br/>
      </w:r>
      <w:r>
        <w:rPr>
          <w:rFonts w:ascii="Franklin Gothic Book" w:hAnsi="Franklin Gothic Book"/>
          <w:sz w:val="20"/>
          <w:szCs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pPr>
        <w:pStyle w:val="NoSpacing"/>
        <w:numPr>
          <w:ilvl w:val="0"/>
          <w:numId w:val="1"/>
        </w:numPr>
        <w:ind w:left="426" w:hanging="360"/>
        <w:rPr/>
      </w:pPr>
      <w:r>
        <w:rPr>
          <w:smallCaps/>
        </w:rPr>
        <w:t>Informácie o poskytnutých dotáciách a ich ocenení</w:t>
        <w:br/>
      </w:r>
      <w:r>
        <w:rPr>
          <w:rFonts w:ascii="Franklin Gothic Book" w:hAnsi="Franklin Gothic Book"/>
          <w:sz w:val="20"/>
          <w:szCs w:val="20"/>
        </w:rPr>
        <w:t>Dotácie na hospodársku činnosť sa vykazujú ako výnosy budúcich období a do výkazu ziskov a strát sa rozpúšťajú ako výnosy z hospodárskej činnosti v časovej a vecnej súvislosti s vynaložením nákladov na príslušný účel.</w:t>
        <w:b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pPr>
        <w:pStyle w:val="NoSpacing"/>
        <w:numPr>
          <w:ilvl w:val="0"/>
          <w:numId w:val="1"/>
        </w:numPr>
        <w:ind w:left="426" w:hanging="360"/>
        <w:rPr/>
      </w:pPr>
      <w:r>
        <w:rPr>
          <w:smallCaps/>
        </w:rPr>
        <w:t>Informácie o opravách významných chýb minulých účtovných období</w:t>
        <w:br/>
      </w:r>
      <w:r>
        <w:rPr>
          <w:rFonts w:ascii="Franklin Gothic Book" w:hAnsi="Franklin Gothic Book"/>
          <w:sz w:val="20"/>
          <w:szCs w:val="20"/>
        </w:rPr>
        <w:t xml:space="preserve">V bežnom účtovnom období Spoločnosť ešte len začala existovať a zatiaľ nevykonávala žiadnu činnosť, z toho vyplýva, že opravy neboli potrebné. </w:t>
      </w:r>
    </w:p>
    <w:p>
      <w:pPr>
        <w:pStyle w:val="Heading1"/>
        <w:numPr>
          <w:ilvl w:val="0"/>
          <w:numId w:val="3"/>
        </w:numPr>
        <w:ind w:left="426" w:hanging="360"/>
        <w:rPr>
          <w:rFonts w:ascii="Franklin Gothic Book" w:hAnsi="Franklin Gothic Book"/>
          <w:smallCaps/>
          <w:sz w:val="36"/>
          <w:szCs w:val="36"/>
        </w:rPr>
      </w:pPr>
      <w:r>
        <w:rPr>
          <w:rFonts w:ascii="Franklin Gothic Book" w:hAnsi="Franklin Gothic Book"/>
          <w:smallCaps/>
          <w:sz w:val="36"/>
          <w:szCs w:val="36"/>
        </w:rPr>
        <w:t>Informácie, ktoré vysvetľujú a dopĺňajú súvahu a výkaz ziskov a strát</w:t>
      </w:r>
    </w:p>
    <w:p>
      <w:pPr>
        <w:pStyle w:val="Normal"/>
        <w:rPr>
          <w:rFonts w:ascii="Franklin Gothic Book" w:hAnsi="Franklin Gothic Book"/>
          <w:b/>
          <w:b/>
          <w:sz w:val="20"/>
          <w:szCs w:val="20"/>
        </w:rPr>
      </w:pPr>
      <w:r>
        <w:rPr>
          <w:rFonts w:ascii="Franklin Gothic Book" w:hAnsi="Franklin Gothic Book"/>
          <w:b/>
          <w:sz w:val="20"/>
          <w:szCs w:val="20"/>
        </w:rPr>
      </w:r>
    </w:p>
    <w:p>
      <w:pPr>
        <w:pStyle w:val="ListParagraph"/>
        <w:numPr>
          <w:ilvl w:val="0"/>
          <w:numId w:val="2"/>
        </w:numPr>
        <w:ind w:left="426" w:hanging="349"/>
        <w:rPr>
          <w:rFonts w:ascii="Franklin Gothic Book" w:hAnsi="Franklin Gothic Book"/>
          <w:sz w:val="20"/>
          <w:szCs w:val="20"/>
        </w:rPr>
      </w:pPr>
      <w:r>
        <w:rPr>
          <w:rFonts w:ascii="Franklin Gothic Book" w:hAnsi="Franklin Gothic Book"/>
          <w:smallCaps/>
        </w:rPr>
        <w:t>Informácie o položkách nákladov a výnosov, ktoré majú výnimočný rozsah alebo výskyt</w:t>
      </w:r>
      <w:r>
        <w:rPr>
          <w:rFonts w:ascii="Franklin Gothic Book" w:hAnsi="Franklin Gothic Book"/>
        </w:rPr>
        <w:br/>
      </w:r>
      <w:r>
        <w:rPr>
          <w:rFonts w:ascii="Franklin Gothic Book" w:hAnsi="Franklin Gothic Book"/>
          <w:sz w:val="20"/>
          <w:szCs w:val="20"/>
        </w:rPr>
        <w:t>Spoločnosť neúčtovala o uvedených položkách.</w:t>
      </w:r>
    </w:p>
    <w:p>
      <w:pPr>
        <w:pStyle w:val="Normal"/>
        <w:rPr>
          <w:rFonts w:ascii="Franklin Gothic Book" w:hAnsi="Franklin Gothic Book"/>
          <w:b/>
          <w:b/>
          <w:sz w:val="20"/>
          <w:szCs w:val="20"/>
        </w:rPr>
      </w:pPr>
      <w:r>
        <w:rPr>
          <w:rFonts w:ascii="Franklin Gothic Book" w:hAnsi="Franklin Gothic Book"/>
          <w:b/>
          <w:sz w:val="20"/>
          <w:szCs w:val="20"/>
        </w:rPr>
      </w:r>
    </w:p>
    <w:p>
      <w:pPr>
        <w:pStyle w:val="ListParagraph"/>
        <w:numPr>
          <w:ilvl w:val="0"/>
          <w:numId w:val="2"/>
        </w:numPr>
        <w:ind w:left="426" w:hanging="360"/>
        <w:rPr>
          <w:rFonts w:ascii="Franklin Gothic Book" w:hAnsi="Franklin Gothic Book"/>
          <w:sz w:val="20"/>
          <w:szCs w:val="20"/>
        </w:rPr>
      </w:pPr>
      <w:r>
        <w:rPr>
          <w:rFonts w:ascii="Franklin Gothic Book" w:hAnsi="Franklin Gothic Book"/>
          <w:smallCaps/>
        </w:rPr>
        <w:t>Záväzky</w:t>
      </w:r>
      <w:r>
        <w:rPr>
          <w:rFonts w:ascii="Franklin Gothic Book" w:hAnsi="Franklin Gothic Book"/>
          <w:sz w:val="20"/>
          <w:szCs w:val="20"/>
        </w:rPr>
        <w:t xml:space="preserve">. </w:t>
        <w:br/>
        <w:t>Štruktúra záväzkov podľa zostatkovej doby splatnosti jeden až päť rokov a dlhšou ako päť rokov je:</w:t>
        <w:br/>
        <w:t>bez náplne</w:t>
      </w:r>
    </w:p>
    <w:p>
      <w:pPr>
        <w:pStyle w:val="NoSpacing"/>
        <w:rPr>
          <w:rFonts w:ascii="Franklin Gothic Book" w:hAnsi="Franklin Gothic Book"/>
          <w:sz w:val="20"/>
          <w:szCs w:val="20"/>
        </w:rPr>
      </w:pPr>
      <w:r>
        <w:rPr>
          <w:rFonts w:ascii="Franklin Gothic Book" w:hAnsi="Franklin Gothic Book"/>
          <w:sz w:val="20"/>
          <w:szCs w:val="20"/>
        </w:rPr>
      </w:r>
    </w:p>
    <w:p>
      <w:pPr>
        <w:pStyle w:val="NoSpacing"/>
        <w:rPr>
          <w:rFonts w:ascii="Franklin Gothic Book" w:hAnsi="Franklin Gothic Book"/>
          <w:sz w:val="20"/>
          <w:szCs w:val="20"/>
        </w:rPr>
      </w:pPr>
      <w:r>
        <w:rPr>
          <w:rFonts w:ascii="Franklin Gothic Book" w:hAnsi="Franklin Gothic Book"/>
          <w:sz w:val="20"/>
          <w:szCs w:val="20"/>
        </w:rPr>
        <w:t xml:space="preserve">        </w:t>
      </w:r>
      <w:r>
        <w:rPr>
          <w:rFonts w:ascii="Franklin Gothic Book" w:hAnsi="Franklin Gothic Book"/>
          <w:sz w:val="20"/>
          <w:szCs w:val="20"/>
        </w:rPr>
        <w:t>Spoločnosť nemá záväzky zabezpečené záložným právom alebo inou formou zabezpečenia.</w:t>
      </w:r>
    </w:p>
    <w:p>
      <w:pPr>
        <w:pStyle w:val="NoSpacing"/>
        <w:rPr>
          <w:rFonts w:ascii="Franklin Gothic Book" w:hAnsi="Franklin Gothic Book"/>
          <w:sz w:val="20"/>
          <w:szCs w:val="20"/>
        </w:rPr>
      </w:pPr>
      <w:r>
        <w:rPr>
          <w:rFonts w:ascii="Franklin Gothic Book" w:hAnsi="Franklin Gothic Book"/>
          <w:sz w:val="20"/>
          <w:szCs w:val="20"/>
        </w:rP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vlastných akciách</w:t>
        <w:br/>
      </w:r>
      <w:r>
        <w:rPr>
          <w:rFonts w:ascii="Franklin Gothic Book" w:hAnsi="Franklin Gothic Book"/>
          <w:sz w:val="20"/>
          <w:szCs w:val="20"/>
        </w:rPr>
        <w:t>Spoločnosť neeviduje vlastné akcie.</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orgánoch účtovnej jednotky</w:t>
        <w:br/>
      </w:r>
      <w:r>
        <w:rPr>
          <w:rFonts w:ascii="Franklin Gothic Book" w:hAnsi="Franklin Gothic Book"/>
          <w:sz w:val="20"/>
          <w:szCs w:val="20"/>
        </w:rPr>
        <w:t>Spoločnosť neposkytla členom orgánov ÚJ záruky, zabezpečenia, pôžičky, plnenia na súkromné účely.</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udelení výlučného práva alebo osobitného práva</w:t>
        <w:br/>
      </w:r>
      <w:r>
        <w:rPr>
          <w:rFonts w:ascii="Franklin Gothic Book" w:hAnsi="Franklin Gothic Book"/>
          <w:sz w:val="20"/>
          <w:szCs w:val="20"/>
        </w:rPr>
        <w:t>Spoločnosti nie je udelené výlučné právo alebo osobitné právo, ktorým jej bolo udelené právo poskytovať služby vo verejnom záujme, pričom prijíma náhradu za túto činnosť v akejkoľvek forme.</w:t>
        <w:br/>
      </w:r>
    </w:p>
    <w:p>
      <w:pPr>
        <w:pStyle w:val="NoSpacing"/>
        <w:numPr>
          <w:ilvl w:val="0"/>
          <w:numId w:val="2"/>
        </w:numPr>
        <w:ind w:left="426" w:hanging="360"/>
        <w:rPr>
          <w:rFonts w:ascii="Franklin Gothic Book" w:hAnsi="Franklin Gothic Book"/>
          <w:sz w:val="20"/>
          <w:szCs w:val="20"/>
        </w:rPr>
      </w:pPr>
      <w:r>
        <w:rPr>
          <w:rFonts w:ascii="Franklin Gothic Book" w:hAnsi="Franklin Gothic Book"/>
          <w:smallCaps/>
          <w:szCs w:val="20"/>
        </w:rPr>
        <w:t>Informácie o povinnostiach účtovnej jednotky, a to</w:t>
        <w:br/>
      </w:r>
      <w:r>
        <w:rPr>
          <w:rFonts w:ascii="Franklin Gothic Book" w:hAnsi="Franklin Gothic Book"/>
          <w:sz w:val="20"/>
          <w:szCs w:val="20"/>
        </w:rPr>
        <w:t>a) celkovej sume finančných povinností, ktoré sa nevykazujú v súvahe, ale sú významné na posúdenie finančnej situácie účtovnej jednotky</w:t>
        <w:br/>
        <w:t>- bez náplne</w:t>
        <w:br/>
        <w:t>b) celkovej sume významných podmienených záväzkov</w:t>
        <w:br/>
        <w:t>- bez náplne</w:t>
        <w:br/>
        <w:t>c) opise významných finančných povinností a významných podmienených záväzkov</w:t>
        <w:br/>
        <w:t>- bez náplne</w:t>
        <w:br/>
        <w:t>d) celkovej sume významných finančných povinností a významných podmienených záväzkoch voči dcérskej účtovnej jednotke a účtovnej jednotke s podstatným vplyvom</w:t>
        <w:br/>
        <w:t>- bez náplne</w:t>
        <w:br/>
        <w:t>e) opise významných povinností účtovnej jednotky vyplývajúcich z dôchodkových programov pre zamestnancov</w:t>
        <w:br/>
        <w:t>- bez náplne</w:t>
      </w:r>
    </w:p>
    <w:p>
      <w:pPr>
        <w:pStyle w:val="NoSpacing"/>
        <w:rPr>
          <w:rFonts w:ascii="Franklin Gothic Book" w:hAnsi="Franklin Gothic Book"/>
          <w:sz w:val="20"/>
          <w:szCs w:val="20"/>
        </w:rPr>
      </w:pPr>
      <w:r>
        <w:rPr>
          <w:rFonts w:ascii="Franklin Gothic Book" w:hAnsi="Franklin Gothic Book"/>
          <w:sz w:val="20"/>
          <w:szCs w:val="20"/>
        </w:rPr>
      </w:r>
    </w:p>
    <w:p>
      <w:pPr>
        <w:pStyle w:val="NoSpacing"/>
        <w:rPr/>
      </w:pPr>
      <w:r>
        <w:rPr/>
        <w:t xml:space="preserve">Spoločnosť bola založená k 30.11.2018. Od jej vzniku sa venuje primárne konzultačným činnostiam a sprostredkovateľských činnostiam v oblasti obchodu a predaja výrobkov z plastu. </w:t>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Arial Narrow">
    <w:charset w:val="ee"/>
    <w:family w:val="roman"/>
    <w:pitch w:val="variable"/>
  </w:font>
  <w:font w:name="Liberation Sans">
    <w:altName w:val="Arial"/>
    <w:charset w:val="ee"/>
    <w:family w:val="roman"/>
    <w:pitch w:val="variable"/>
  </w:font>
  <w:font w:name="Franklin Gothic Book">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30258304"/>
    </w:sdtPr>
    <w:sdtContent>
      <w:p>
        <w:pPr>
          <w:pStyle w:val="Footer"/>
          <w:pBdr>
            <w:top w:val="single" w:sz="4" w:space="1" w:color="D9D9D9"/>
          </w:pBdr>
          <w:jc w:val="right"/>
          <w:rPr/>
        </w:pPr>
        <w:r>
          <w:rPr/>
          <w:fldChar w:fldCharType="begin"/>
        </w:r>
        <w:r>
          <w:rPr/>
          <w:instrText> PAGE </w:instrText>
        </w:r>
        <w:r>
          <w:rPr/>
          <w:fldChar w:fldCharType="separate"/>
        </w:r>
        <w:r>
          <w:rPr/>
          <w:t>3</w:t>
        </w:r>
        <w:r>
          <w:rPr/>
          <w:fldChar w:fldCharType="end"/>
        </w:r>
        <w:r>
          <w:rPr/>
          <w:t xml:space="preserve"> </w:t>
        </w:r>
        <w:r>
          <w:rPr/>
          <w:t xml:space="preserve">| </w:t>
        </w:r>
        <w:r>
          <w:rPr>
            <w:color w:val="808080" w:themeColor="background1" w:themeShade="80"/>
            <w:spacing w:val="60"/>
          </w:rPr>
          <w:t>Strana</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bdr w:val="single" w:sz="4" w:space="0" w:color="00000A"/>
      </w:rPr>
      <w:t>Poznámky Úč MÚJ 3-01</w:t>
    </w:r>
    <w:r>
      <w:rPr/>
      <w:tab/>
      <w:t>IČO: 52035913</w:t>
      <w:tab/>
      <w:t xml:space="preserve">DIČ: 2120883490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96378"/>
    <w:pPr>
      <w:widowControl/>
      <w:bidi w:val="0"/>
      <w:spacing w:lineRule="auto" w:line="276"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paragraph" w:styleId="Heading1">
    <w:name w:val="Heading 1"/>
    <w:basedOn w:val="Normal"/>
    <w:next w:val="Normal"/>
    <w:link w:val="Heading1Char"/>
    <w:uiPriority w:val="9"/>
    <w:qFormat/>
    <w:rsid w:val="00096378"/>
    <w:pPr>
      <w:keepNext w:val="true"/>
      <w:keepLines/>
      <w:spacing w:before="480" w:after="0"/>
      <w:outlineLvl w:val="0"/>
    </w:pPr>
    <w:rPr>
      <w:rFonts w:ascii="Cambria" w:hAnsi="Cambria" w:eastAsia="ＭＳ ゴシック" w:cs="" w:asciiTheme="majorHAnsi" w:cstheme="majorBid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096378"/>
    <w:pPr>
      <w:keepNext w:val="true"/>
      <w:keepLines/>
      <w:spacing w:before="200" w:after="0"/>
      <w:outlineLvl w:val="1"/>
    </w:pPr>
    <w:rPr>
      <w:rFonts w:ascii="Cambria" w:hAnsi="Cambria" w:eastAsia="ＭＳ ゴシック"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096378"/>
    <w:pPr>
      <w:keepNext w:val="true"/>
      <w:keepLines/>
      <w:spacing w:before="200" w:after="0"/>
      <w:outlineLvl w:val="2"/>
    </w:pPr>
    <w:rPr>
      <w:rFonts w:ascii="Cambria" w:hAnsi="Cambria" w:eastAsia="ＭＳ ゴシック"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96378"/>
    <w:rPr/>
  </w:style>
  <w:style w:type="character" w:styleId="FooterChar" w:customStyle="1">
    <w:name w:val="Footer Char"/>
    <w:basedOn w:val="DefaultParagraphFont"/>
    <w:link w:val="Footer"/>
    <w:uiPriority w:val="99"/>
    <w:qFormat/>
    <w:rsid w:val="00096378"/>
    <w:rPr/>
  </w:style>
  <w:style w:type="character" w:styleId="BalloonTextChar" w:customStyle="1">
    <w:name w:val="Balloon Text Char"/>
    <w:basedOn w:val="DefaultParagraphFont"/>
    <w:link w:val="BalloonText"/>
    <w:uiPriority w:val="99"/>
    <w:semiHidden/>
    <w:qFormat/>
    <w:rsid w:val="00096378"/>
    <w:rPr>
      <w:rFonts w:ascii="Tahoma" w:hAnsi="Tahoma" w:cs="Tahoma"/>
      <w:sz w:val="16"/>
      <w:szCs w:val="16"/>
    </w:rPr>
  </w:style>
  <w:style w:type="character" w:styleId="Heading1Char" w:customStyle="1">
    <w:name w:val="Heading 1 Char"/>
    <w:basedOn w:val="DefaultParagraphFont"/>
    <w:link w:val="Heading1"/>
    <w:uiPriority w:val="9"/>
    <w:qFormat/>
    <w:rsid w:val="00096378"/>
    <w:rPr>
      <w:rFonts w:ascii="Cambria" w:hAnsi="Cambria"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096378"/>
    <w:rPr>
      <w:rFonts w:ascii="Cambria" w:hAnsi="Cambria"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096378"/>
    <w:rPr>
      <w:rFonts w:ascii="Cambria" w:hAnsi="Cambria" w:eastAsia="ＭＳ ゴシック" w:cs="" w:asciiTheme="majorHAnsi" w:cstheme="majorBidi" w:eastAsiaTheme="majorEastAsia" w:hAnsiTheme="majorHAnsi"/>
      <w:b/>
      <w:bCs/>
      <w:color w:val="4F81BD" w:themeColor="accent1"/>
    </w:rPr>
  </w:style>
  <w:style w:type="character" w:styleId="ValueChar" w:customStyle="1">
    <w:name w:val="Value Char"/>
    <w:link w:val="Value"/>
    <w:qFormat/>
    <w:locked/>
    <w:rsid w:val="00096378"/>
    <w:rPr>
      <w:rFonts w:ascii="Arial Narrow" w:hAnsi="Arial Narrow" w:eastAsia="Times New Roman" w:cs="Times New Roman"/>
      <w:szCs w:val="24"/>
      <w:lang w:val="x-none"/>
    </w:rPr>
  </w:style>
  <w:style w:type="character" w:styleId="BodyTextChar" w:customStyle="1">
    <w:name w:val="Body Text Char"/>
    <w:basedOn w:val="DefaultParagraphFont"/>
    <w:link w:val="BodyText"/>
    <w:semiHidden/>
    <w:qFormat/>
    <w:rsid w:val="00472b51"/>
    <w:rPr>
      <w:rFonts w:ascii="Cambria" w:hAnsi="Cambria" w:eastAsia="Times New Roman" w:cs="Times New Roman"/>
      <w:sz w:val="18"/>
      <w:szCs w:val="20"/>
      <w:lang w:eastAsia="sk-SK"/>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link w:val="BodyTextChar"/>
    <w:semiHidden/>
    <w:rsid w:val="00472b51"/>
    <w:pPr>
      <w:spacing w:lineRule="auto" w:line="240"/>
      <w:ind w:left="426" w:hanging="0"/>
      <w:jc w:val="both"/>
    </w:pPr>
    <w:rPr>
      <w:rFonts w:ascii="Cambria" w:hAnsi="Cambria" w:eastAsia="Times New Roman" w:cs="Times New Roman"/>
      <w:sz w:val="18"/>
      <w:szCs w:val="20"/>
      <w:lang w:eastAsia="sk-SK"/>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andFooter">
    <w:name w:val="Header and Footer"/>
    <w:basedOn w:val="Normal"/>
    <w:qFormat/>
    <w:pPr/>
    <w:rPr/>
  </w:style>
  <w:style w:type="paragraph" w:styleId="Header">
    <w:name w:val="Header"/>
    <w:basedOn w:val="Normal"/>
    <w:link w:val="HeaderChar"/>
    <w:uiPriority w:val="99"/>
    <w:unhideWhenUsed/>
    <w:rsid w:val="00096378"/>
    <w:pPr>
      <w:tabs>
        <w:tab w:val="clear" w:pos="708"/>
        <w:tab w:val="center" w:pos="4536" w:leader="none"/>
        <w:tab w:val="right" w:pos="9072" w:leader="none"/>
      </w:tabs>
      <w:spacing w:lineRule="auto" w:line="240"/>
    </w:pPr>
    <w:rPr/>
  </w:style>
  <w:style w:type="paragraph" w:styleId="Footer">
    <w:name w:val="Footer"/>
    <w:basedOn w:val="Normal"/>
    <w:link w:val="FooterChar"/>
    <w:uiPriority w:val="99"/>
    <w:unhideWhenUsed/>
    <w:rsid w:val="00096378"/>
    <w:pPr>
      <w:tabs>
        <w:tab w:val="clear" w:pos="708"/>
        <w:tab w:val="center" w:pos="4536" w:leader="none"/>
        <w:tab w:val="right" w:pos="9072" w:leader="none"/>
      </w:tabs>
      <w:spacing w:lineRule="auto" w:line="240"/>
    </w:pPr>
    <w:rPr/>
  </w:style>
  <w:style w:type="paragraph" w:styleId="BalloonText">
    <w:name w:val="Balloon Text"/>
    <w:basedOn w:val="Normal"/>
    <w:link w:val="BalloonTextChar"/>
    <w:uiPriority w:val="99"/>
    <w:semiHidden/>
    <w:unhideWhenUsed/>
    <w:qFormat/>
    <w:rsid w:val="00096378"/>
    <w:pPr>
      <w:spacing w:lineRule="auto" w:line="240"/>
    </w:pPr>
    <w:rPr>
      <w:rFonts w:ascii="Tahoma" w:hAnsi="Tahoma" w:cs="Tahoma"/>
      <w:sz w:val="16"/>
      <w:szCs w:val="16"/>
    </w:rPr>
  </w:style>
  <w:style w:type="paragraph" w:styleId="TopHeader" w:customStyle="1">
    <w:name w:val="Top Header"/>
    <w:basedOn w:val="Normal"/>
    <w:qFormat/>
    <w:rsid w:val="00096378"/>
    <w:pPr>
      <w:spacing w:lineRule="auto" w:line="240"/>
      <w:jc w:val="center"/>
    </w:pPr>
    <w:rPr>
      <w:rFonts w:ascii="Arial Narrow" w:hAnsi="Arial Narrow" w:eastAsia="Times New Roman" w:cs="Times New Roman"/>
      <w:b/>
      <w:bCs/>
    </w:rPr>
  </w:style>
  <w:style w:type="paragraph" w:styleId="Value" w:customStyle="1">
    <w:name w:val="Value"/>
    <w:basedOn w:val="Normal"/>
    <w:link w:val="ValueChar"/>
    <w:qFormat/>
    <w:rsid w:val="00096378"/>
    <w:pPr>
      <w:spacing w:lineRule="auto" w:line="240"/>
      <w:jc w:val="right"/>
    </w:pPr>
    <w:rPr>
      <w:rFonts w:ascii="Arial Narrow" w:hAnsi="Arial Narrow" w:eastAsia="Times New Roman" w:cs="Times New Roman"/>
      <w:szCs w:val="24"/>
      <w:lang w:val="x-none"/>
    </w:rPr>
  </w:style>
  <w:style w:type="paragraph" w:styleId="NoSpacing">
    <w:name w:val="No Spacing"/>
    <w:uiPriority w:val="1"/>
    <w:qFormat/>
    <w:rsid w:val="00096378"/>
    <w:pPr>
      <w:widowControl/>
      <w:bidi w:val="0"/>
      <w:spacing w:lineRule="auto" w:line="240"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paragraph" w:styleId="ListParagraph">
    <w:name w:val="List Paragraph"/>
    <w:basedOn w:val="Normal"/>
    <w:uiPriority w:val="34"/>
    <w:qFormat/>
    <w:rsid w:val="002a6a21"/>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LibreOffice/7.0.2.2$Windows_X86_64 LibreOffice_project/8349ace3c3162073abd90d81fd06dcfb6b36b994</Application>
  <Pages>3</Pages>
  <Words>948</Words>
  <Characters>5861</Characters>
  <CharactersWithSpaces>6762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2018-04-02T20:53:00Z</dcterms:created>
  <dc:creator>PC</dc:creator>
  <dc:description/>
  <dc:language>sk-SK</dc:language>
  <cp:lastModifiedBy/>
  <dcterms:modified xsi:type="dcterms:W3CDTF">2020-11-02T23:45:39Z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