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charts/_rels/chart3.xml.rels" ContentType="application/vnd.openxmlformats-package.relationships+xml"/>
  <Override PartName="/word/embeddings/Microsoft_Excel_Worksheet3.xlsx" ContentType="application/vnd.openxmlformats-officedocument.spreadsheetml.sheet"/>
  <Override PartName="/word/embeddings/Microsoft_Excel_Worksheet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1.xlsx" ContentType="application/vnd.openxmlformats-officedocument.spreadsheetml.sheet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TES MI s.r.o.  </w:t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V Ý R O Č N Á    S P R Á V A</w:t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1 9  </w:t>
      </w:r>
    </w:p>
    <w:p>
      <w:pPr>
        <w:pStyle w:val="Normal"/>
        <w:tabs>
          <w:tab w:val="left" w:pos="1872" w:leader="none"/>
          <w:tab w:val="left" w:pos="2160" w:leader="none"/>
          <w:tab w:val="left" w:pos="4752" w:leader="none"/>
        </w:tabs>
        <w:spacing w:lineRule="atLeast" w:line="480" w:before="0" w:after="1440"/>
        <w:ind w:right="-12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  <w:tab/>
        <w:t xml:space="preserve">TES MI s.r.o., Továrenská 2, 071 01 Michalovce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  <w:tab/>
        <w:tab/>
        <w:t>36 190 217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Telefón:</w:t>
        <w:tab/>
        <w:t>056/6884741</w:t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B S A H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PREHĽAD FINANČNÝCH ÚDAJOV ZA ROKY 2017 - 2019</w:t>
        <w:tab/>
        <w:t xml:space="preserve">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SPRÁVA KONATEĽA O PODNIKATEĽSKEJ </w:t>
        <w:tab/>
        <w:t xml:space="preserve">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ČINNOSTI V ROKU 2019: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vystavená.</w:t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jednotky.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f) Návrh na schválenie účtovnej závierky a na rozdelenie zisku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alebo vyrovnanie straty.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ÚČTOVNÁ ZÁVIERKA ZA ROK 2019</w:t>
        <w:tab/>
        <w:tab/>
        <w:t xml:space="preserve">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Bilancia (súvaha)</w:t>
        <w:tab/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Výkaz ziskov a strát</w:t>
        <w:tab/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2017-2019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T R Ž B Y,  P R I D A N Á  H O D N O T A,  H O S P.   V Ý S L E D O K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 0 1 7 – 2 0 1 9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  <w:tab w:val="right" w:pos="9203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5241925" cy="472567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2017 – 2019                                 P A S Í V A 2017 - 2019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2625725" cy="3974465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center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2019</w:t>
      </w:r>
    </w:p>
    <w:p>
      <w:pPr>
        <w:pStyle w:val="Normal"/>
        <w:tabs>
          <w:tab w:val="left" w:pos="6440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5541010" cy="2978785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</w:t>
      </w: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SPRÁVA KONATEĽOV O PODNIKATEĽSKEJ ČINNOSTI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 ROKU 2019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vystavená.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Účtovná jednotka TES MI s.r.o. v priebehu roka 2019 vykonávala svoju činnosť v štandardnom režime bez mimoriadnych výkyvov, rizík a neistôt.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Odberateľom dodávala svoju produkciu v dohodnutých termínoch a štandardnej kvalite. Finančné záväzky voči svojím dodávateľom uhrádzala v termínoch splatnosti.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 úhrade vlastných pohľadávok sa nevyskytli problémy a pohľadávky boli uhrádzané dlžníkmi v termínoch splatnosti.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Celkovo možno hodnotiť vývoj spoločnosti ako štandardný a bezrizikový.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VÝKAZ ZISKOV A STRÁT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Ukazovatele efektívnosti hospodárenia:</w:t>
      </w:r>
    </w:p>
    <w:p>
      <w:pPr>
        <w:pStyle w:val="Normal"/>
        <w:tabs>
          <w:tab w:val="left" w:pos="2127" w:leader="none"/>
          <w:tab w:val="left" w:pos="3686" w:leader="none"/>
          <w:tab w:val="left" w:pos="4962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ab/>
        <w:t>k 31.12.2019</w:t>
        <w:tab/>
        <w:t xml:space="preserve">  k 31.12.2018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zisk+úroky      1 059 128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  x  100  =                        3,58 %</w:t>
        <w:tab/>
        <w:t xml:space="preserve">    5,89 %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Celkový kapitál k 1.1.      29 601 122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                 1 035 167 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 x  100  =                       10,32 %</w:t>
        <w:tab/>
        <w:t xml:space="preserve">  15,90 %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Vlastný kapitál  k 1.1.     10 034 174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Hosp.výsledok               1 035 167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   </w:t>
      </w:r>
      <w:r>
        <w:rPr>
          <w:rFonts w:ascii="Times New Roman" w:hAnsi="Times New Roman"/>
          <w:sz w:val="22"/>
          <w:szCs w:val="22"/>
        </w:rPr>
        <w:t>=  ––––––––––   x   100    =                         5,15 %</w:t>
        <w:tab/>
        <w:t xml:space="preserve">    7,57 %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Celkové náklady          20 088 572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d) Nákladovosť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Náklady celkom         20 088 572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529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 x   100     =                       95,09 % </w:t>
        <w:tab/>
        <w:t xml:space="preserve">     92,95 %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Výnosy celkom          21 123 739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BILANCIA  (SÚVAHA)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Analýza štruktúry majetku (aktív), popis obchodného majetku, stálych aktív, obežného majetku, ostatných aktív, %-tuálne zloženie,  medziročný pohyb. Analýza zdrojov (pasív), vlastného imania, cudzích zdrojov, ostatných pasív.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9039" w:type="dxa"/>
        <w:jc w:val="left"/>
        <w:tblInd w:w="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85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50"/>
        <w:gridCol w:w="1559"/>
        <w:gridCol w:w="1189"/>
        <w:gridCol w:w="1647"/>
        <w:gridCol w:w="1189"/>
        <w:gridCol w:w="1504"/>
      </w:tblGrid>
      <w:tr>
        <w:trPr>
          <w:cantSplit w:val="true"/>
        </w:trPr>
        <w:tc>
          <w:tcPr>
            <w:tcW w:w="195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31.12.2018</w:t>
            </w:r>
          </w:p>
        </w:tc>
        <w:tc>
          <w:tcPr>
            <w:tcW w:w="1189" w:type="dxa"/>
            <w:tcBorders>
              <w:top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 31.12.2019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2019 – 2018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11 350 590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38,3</w:t>
            </w:r>
          </w:p>
        </w:tc>
        <w:tc>
          <w:tcPr>
            <w:tcW w:w="164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12 628 716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42,9</w:t>
            </w:r>
          </w:p>
        </w:tc>
        <w:tc>
          <w:tcPr>
            <w:tcW w:w="1504" w:type="dxa"/>
            <w:tcBorders>
              <w:top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+ 1 278 126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18 239 666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61,6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16 777 174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57,0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- 1 462 492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3 700 666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12,5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2 237 939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7,6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- 1 462 727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5 108 121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17,3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4 104 066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14,0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- 1 004 055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9 430 879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31,8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10 435 169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35,4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+ 1 004 290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10 866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13 467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504" w:type="dxa"/>
            <w:tcBorders>
              <w:top w:val="single" w:sz="6" w:space="0" w:color="00000A"/>
              <w:right w:val="single" w:sz="18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    2 601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00000A"/>
              <w:insideV w:val="single" w:sz="6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29 601 122</w:t>
            </w:r>
          </w:p>
        </w:tc>
        <w:tc>
          <w:tcPr>
            <w:tcW w:w="1189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29 419 357</w:t>
            </w:r>
          </w:p>
        </w:tc>
        <w:tc>
          <w:tcPr>
            <w:tcW w:w="1189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- 181 765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10 034 174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33,9</w:t>
            </w:r>
          </w:p>
        </w:tc>
        <w:tc>
          <w:tcPr>
            <w:tcW w:w="16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10 086 537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34,3</w:t>
            </w:r>
          </w:p>
        </w:tc>
        <w:tc>
          <w:tcPr>
            <w:tcW w:w="1504" w:type="dxa"/>
            <w:tcBorders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 52 363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19 566 948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66,1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19 332 820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65,7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- 234 128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1 484 763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5,0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2 714 649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9,2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+ 1 229 886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A"/>
              <w:right w:val="single" w:sz="18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29 601 122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29 419 357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- 181 765</w:t>
            </w:r>
          </w:p>
        </w:tc>
      </w:tr>
    </w:tbl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5387" w:leader="none"/>
          <w:tab w:val="left" w:pos="6804" w:leader="none"/>
        </w:tabs>
        <w:ind w:left="5392" w:right="-12" w:hanging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</w:t>
      </w:r>
      <w:r>
        <w:rPr>
          <w:rFonts w:ascii="Times New Roman" w:hAnsi="Times New Roman"/>
          <w:b/>
          <w:bCs/>
          <w:sz w:val="22"/>
          <w:szCs w:val="22"/>
        </w:rPr>
        <w:t>2019             2018</w:t>
      </w:r>
    </w:p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10 086 537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x 100 =                                    79,9 %           88,4 %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Stále aktíva                12 628 716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10 086 537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 x 100 =                                   34,3 %</w:t>
        <w:tab/>
        <w:t xml:space="preserve">           33,9 %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Celkové aktíva          29 419 357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zadlženosť (veriteľské riziko):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Cudzí kapitál             19 332 820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x 100 =</w:t>
        <w:tab/>
        <w:t xml:space="preserve">              65,7 %</w:t>
        <w:tab/>
        <w:t xml:space="preserve">           66,1 %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29 419 357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 toho úverová zadlženosť:</w:t>
      </w:r>
      <w:r>
        <w:rPr>
          <w:rFonts w:ascii="Times New Roman" w:hAnsi="Times New Roman"/>
          <w:bCs/>
          <w:sz w:val="22"/>
          <w:szCs w:val="22"/>
        </w:rPr>
        <w:tab/>
        <w:tab/>
        <w:t xml:space="preserve">                9,2 %</w:t>
        <w:tab/>
        <w:t xml:space="preserve">             5,0 %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Finančný majetok                    10 435 169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–––––––––––– =  1,832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5 694 683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0,2 - 0,5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- zásoby          14 539 235 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=  2,553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záväzky + úvery      5 694 683    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1,0 - 1,5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                     16 777 174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=   2,946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5 694 683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2,0 - 2,5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 xml:space="preserve">        </w:t>
        <w:tab/>
        <w:t xml:space="preserve">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(obežný majetok - krátkodobé záväzky)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tabs>
          <w:tab w:val="left" w:pos="2977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16 777 174 – 5 694 683 =  11 082 491 eur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potrebné uviesť vo výročnej správe.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jednotky.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Účtovná jednotka bude pokračovať vo svojej činnosti v rozsahu roku 2019.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Spoločnosť nečerpala žiadne náklady na vedu a výskum.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Spoločnosť nenadobudla žiadne vlastné obchodné podiely.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f) Návrh na schválenie účtovnej závierky za rok 2019 a na rozdelenie zisku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>alebo vyrovnanie straty.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Konateľ TES MI s.r.o. v zmysle spoločenskej zmluvy po preskúmaní ročnej účtovnej závierky a výročnej správy za rok 2019 a správy audítora, predkladá  valnému zhromaždeniu na  schválenie návrh: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Schváliť účtovnú závierku a výročnú správu za rok 2019.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Hospodársky výsledok zisk + 1 035 167,46 € zúčtovať nasledovne: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 </w:t>
      </w:r>
      <w:r>
        <w:rPr>
          <w:rFonts w:ascii="Times New Roman" w:hAnsi="Times New Roman"/>
          <w:sz w:val="22"/>
          <w:szCs w:val="22"/>
        </w:rPr>
        <w:t xml:space="preserve">900 000.- €, podiel na zisku materskej spoločnosti   </w:t>
      </w:r>
    </w:p>
    <w:p>
      <w:pPr>
        <w:pStyle w:val="Normal"/>
        <w:tabs>
          <w:tab w:val="left" w:pos="1134" w:leader="none"/>
        </w:tabs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</w:t>
      </w:r>
      <w:r>
        <w:rPr>
          <w:rFonts w:ascii="Times New Roman" w:hAnsi="Times New Roman"/>
          <w:sz w:val="22"/>
          <w:szCs w:val="22"/>
        </w:rPr>
        <w:t xml:space="preserve">68 360.- €, podiel na zisku menšinových vlastníkov </w:t>
        <w:tab/>
        <w:t xml:space="preserve">    </w:t>
      </w:r>
    </w:p>
    <w:p>
      <w:pPr>
        <w:pStyle w:val="Normal"/>
        <w:tabs>
          <w:tab w:val="left" w:pos="1134" w:leader="none"/>
        </w:tabs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    66 807,46 €, v prospech nerozdeleného zisku minulých rokov                  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Pre spoločnosť bezpredmetné.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Účtovná jednotka nemá organizačnú zložku v zahraničí.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5103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  <w:tab/>
        <w:tab/>
        <w:t>Paolo Felisa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konateľ spoločnosti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 </w:t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VÝKAZ  ZISKOV  A STRÁT  01.01.2019 - 31.12.2019, 2018, 2017</w:t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823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25"/>
        <w:gridCol w:w="1261"/>
        <w:gridCol w:w="1218"/>
        <w:gridCol w:w="1218"/>
      </w:tblGrid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v eurách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left="-155"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00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06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hosp.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21 113 472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21 164 826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22 235 054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tovaru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10 894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vlastných výrobkov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20 822 112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20 330 440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22 132 338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Tržby z predaja služieb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78 448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301 957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84 291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96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dlh.majetku a  mat.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206 568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24 299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hosp. 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6 344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508 130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7 531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  <w:p>
            <w:pPr>
              <w:pStyle w:val="Normal"/>
              <w:ind w:right="-157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hosp. činnosť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19 767 594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19 284 105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18 181 099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Náklady na obst. tovaru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6 262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Spotreba materiálu a energie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15 778 188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14 777 623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14 196 767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Služby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1 904 718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2 659 402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2 309 971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Osobné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469 766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509 263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475 715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Mzdové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303 568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332 960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307 252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106 167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116 832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107 746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60 030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59 471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60 717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Dane a poplatky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26 018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29 889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25 346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Odpisy dlhodobého majetku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1 428 342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1 237 498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1 099 818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4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Zost.cena pred.dlh.majetku a mat.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60 000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13 632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Opravné položky k pohľadávkam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2 767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prevádzkové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97 795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56 798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67 220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hosp.činnosti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1 345 878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1 880 721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4 053 955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bCs/>
                <w:color w:val="993300"/>
              </w:rPr>
              <w:t>Pridaná hodnota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3 217 654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3 195 372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5 714 523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finanč.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10 267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8 338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7 636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Výnosové úroky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10 267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8 338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7 636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finanč. 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fin.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31 538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15 753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15 795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Nákladové úroky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23 961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9 586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11 341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Kurzové straty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3 039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náklady z finanč.činnosti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4 538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6 167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4 339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finanč.činnosti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- 21 271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- 7 415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- 8 159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Výsled. hosp. pred zdanením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1 324 607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1 873 306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4 045 796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91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Daň z príjmov – splatná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276 609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285 249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844 499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4111" w:leader="none"/>
              </w:tabs>
              <w:ind w:right="-105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                        </w:t>
            </w:r>
            <w:r>
              <w:rPr>
                <w:rFonts w:cs="Arial" w:ascii="Arial" w:hAnsi="Arial"/>
                <w:color w:val="000000"/>
              </w:rPr>
              <w:t>-odložená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12 831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97 400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9 323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491" w:hanging="0"/>
              <w:rPr>
                <w:rFonts w:ascii="Arial" w:hAnsi="Arial" w:cs="Arial"/>
                <w:b/>
                <w:b/>
                <w:bCs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</w:r>
          </w:p>
          <w:p>
            <w:pPr>
              <w:pStyle w:val="Normal"/>
              <w:ind w:right="-491" w:hanging="0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Výsledok hosp.za účt. obdobie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1 035 167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1 490 657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3 191 974</w:t>
            </w:r>
          </w:p>
        </w:tc>
      </w:tr>
    </w:tbl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31.12.2019, 2018, 2017</w:t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tbl>
      <w:tblPr>
        <w:tblW w:w="8068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35"/>
        <w:gridCol w:w="1394"/>
        <w:gridCol w:w="1276"/>
        <w:gridCol w:w="1262"/>
      </w:tblGrid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24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062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Neobežný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12 628 716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11 350 590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10 363 392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nehmotný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hmotný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9 394 161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8 201 591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7 440 651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Pozemky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846 693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846 693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846 693</w:t>
            </w:r>
          </w:p>
        </w:tc>
      </w:tr>
      <w:tr>
        <w:trPr>
          <w:trHeight w:val="6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Stavby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2 632 108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2 912 510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3 191 199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3 384 989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2 889 122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2 730 842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2 530 371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1 553 266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671 917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finančný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3 234 555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3 148 999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2 922 741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Podiely v prepojených účt. jednotkách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3 234 555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3 148 999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2 922 741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Obežný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16 777 174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18 239 666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15 081 198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Zásoby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2 237 939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3 700 666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1 065 167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Materiál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2 150 571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3 613 298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977 799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Tovar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Cs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Odložená daňová pohľadávka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10 002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9 205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112 405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4 094 064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5 098 916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5 052 527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4 072 219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4 530 518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5 050 651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voči spoločníkom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9 380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5 489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9 288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559 432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3 177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3 477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1 876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Finančné účty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10 435 169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9 430 879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8 851 099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Peniaze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9 445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8 792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7 135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Účty v bankách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10 425 724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9 422 087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8 843 964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13 467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10 866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10 799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13 467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10 866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10 799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Príjmy budúcich období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MAJETOK CELKOM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29 419 357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29 601 122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25 455 389</w:t>
            </w:r>
          </w:p>
        </w:tc>
      </w:tr>
    </w:tbl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31.12.2019, 2018, 2017</w:t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  <w:tab w:val="left" w:pos="779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680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058"/>
        <w:gridCol w:w="1218"/>
        <w:gridCol w:w="1173"/>
        <w:gridCol w:w="1230"/>
      </w:tblGrid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6" w:hanging="0"/>
              <w:jc w:val="center"/>
              <w:rPr>
                <w:rFonts w:ascii="Arial" w:hAnsi="Arial" w:cs="Arial"/>
                <w:b/>
                <w:b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color w:val="000000"/>
                <w:u w:val="single"/>
              </w:rPr>
              <w:t>31 12.2018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31.12.2017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248" w:hanging="531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Vlastné imanie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10 086 537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10 034 174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9 375 829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Základné imanie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Fondy zo zisku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Oceňovacie rozdiely z prec. majetku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2 225 334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2 139 778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1 913 520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hosp.min.rokov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6 799 376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6 377 079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4 243 675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hosp.za účtovné obdobie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1 035 167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1 490 657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3 191 974</w:t>
            </w:r>
          </w:p>
        </w:tc>
      </w:tr>
      <w:tr>
        <w:trPr>
          <w:trHeight w:val="566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19 332 820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19 566 948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16 079 560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13 019 053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12 004 846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11 136 474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Ost. záv. voči prepojeným úč. jednotkám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12 986 519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11 986 519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10 986 519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Ostatné dlhodobé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126 614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15 295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14 717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13 931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Odložený daňový záväzok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17 239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3 610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9 410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bankové úvery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619 084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910 508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500 005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3 579 215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6 061 920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4 427 133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3 316 470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5 700 609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3 563 577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2 434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16 762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16 132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15 712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20 207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20 697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19 851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178 353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162 783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657 513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47 423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161 699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168 046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Krátkodobé rezervy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19 903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15 419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15 948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Bežné bankové úvery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2 095 565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574 255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Časové rozlíšenie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29 419 357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29 601 122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25 455 389</w:t>
            </w:r>
          </w:p>
        </w:tc>
      </w:tr>
    </w:tbl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/>
      </w:pPr>
      <w:r>
        <w:rPr/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4"/>
          <w:szCs w:val="24"/>
          <w:lang w:val="sk-SK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pBdr/>
        <w:tabs>
          <w:tab w:val="left" w:pos="709" w:leader="none"/>
          <w:tab w:val="left" w:pos="2977" w:leader="none"/>
        </w:tabs>
        <w:ind w:right="283" w:hanging="0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418" w:right="1134" w:header="709" w:top="1134" w:footer="709" w:bottom="1418" w:gutter="0"/>
      <w:pgNumType w:fmt="decimal"/>
      <w:formProt w:val="false"/>
      <w:titlePg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MS Serif">
    <w:charset w:val="ee"/>
    <w:family w:val="roman"/>
    <w:pitch w:val="variable"/>
  </w:font>
  <w:font w:name="Helv">
    <w:altName w:val="Arial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>
        <w:sz w:val="24"/>
      </w:rPr>
    </w:pPr>
    <w:r>
      <w:rPr>
        <w:sz w:val="24"/>
      </w:rPr>
    </w:r>
    <w:r>
      <mc:AlternateContent>
        <mc:Choice Requires="wps">
          <w:drawing>
            <wp:anchor behindDoc="0" distT="0" distB="0" distL="0" distR="0" simplePos="0" locked="0" layoutInCell="1" allowOverlap="1" relativeHeight="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61355" cy="290830"/>
              <wp:effectExtent l="0" t="0" r="0" b="0"/>
              <wp:wrapSquare wrapText="largest"/>
              <wp:docPr id="4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1355" cy="2908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pBdr/>
                            <w:rPr/>
                          </w:pPr>
                          <w:r>
                            <w:rPr/>
                            <w:tab/>
                            <w:t xml:space="preserve">- </w:t>
                          </w: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/>
                            <w:t xml:space="preserve"> -</w:t>
                            <w:tab/>
                            <w:t xml:space="preserve"> </w:t>
                          </w:r>
                        </w:p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53.65pt;height:22.9pt;mso-wrap-distance-left:0pt;mso-wrap-distance-right:0pt;mso-wrap-distance-top:0pt;mso-wrap-distance-bottom:0pt;margin-top:0.05pt;mso-position-vertical-relative:text;margin-left:7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pBdr/>
                      <w:rPr/>
                    </w:pPr>
                    <w:r>
                      <w:rPr/>
                      <w:tab/>
                      <w:t xml:space="preserve">- </w:t>
                    </w: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/>
                      <w:t xml:space="preserve"> -</w:t>
                      <w:tab/>
                      <w:t xml:space="preserve"> </w:t>
                    </w:r>
                  </w:p>
                  <w:p>
                    <w:pPr>
                      <w:pStyle w:val="Pta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ms Rmn" w:hAnsi="Tms Rmn" w:eastAsia="Times New Roman" w:cs="Times New Roman"/>
        <w:lang w:val="en-US" w:eastAsia="zh-CN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MS Serif" w:hAnsi="MS Serif" w:eastAsia="Times New Roman" w:cs="Times New Roman"/>
      <w:color w:val="auto"/>
      <w:sz w:val="20"/>
      <w:szCs w:val="20"/>
      <w:lang w:val="sk-SK" w:eastAsia="cs-CZ" w:bidi="ar-SA"/>
    </w:rPr>
  </w:style>
  <w:style w:type="paragraph" w:styleId="Nadpis1">
    <w:name w:val="Heading 1"/>
    <w:basedOn w:val="Normal"/>
    <w:qFormat/>
    <w:pPr>
      <w:spacing w:before="240" w:after="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al"/>
    <w:qFormat/>
    <w:pPr>
      <w:spacing w:before="120" w:after="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al"/>
    <w:qFormat/>
    <w:pPr>
      <w:ind w:left="354" w:hanging="0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al"/>
    <w:qFormat/>
    <w:pPr>
      <w:ind w:left="354" w:hanging="0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al"/>
    <w:qFormat/>
    <w:pPr>
      <w:ind w:left="708" w:hanging="0"/>
      <w:outlineLvl w:val="4"/>
    </w:pPr>
    <w:rPr>
      <w:rFonts w:ascii="Tms Rmn" w:hAnsi="Tms Rmn"/>
      <w:b/>
      <w:bCs/>
    </w:rPr>
  </w:style>
  <w:style w:type="paragraph" w:styleId="Nadpis6">
    <w:name w:val="Heading 6"/>
    <w:basedOn w:val="Normal"/>
    <w:qFormat/>
    <w:pPr>
      <w:ind w:left="708" w:hanging="0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al"/>
    <w:qFormat/>
    <w:pPr>
      <w:ind w:left="708" w:hanging="0"/>
      <w:outlineLvl w:val="6"/>
    </w:pPr>
    <w:rPr>
      <w:rFonts w:ascii="Tms Rmn" w:hAnsi="Tms Rmn"/>
      <w:i/>
      <w:iCs/>
    </w:rPr>
  </w:style>
  <w:style w:type="paragraph" w:styleId="Nadpis8">
    <w:name w:val="Heading 8"/>
    <w:basedOn w:val="Normal"/>
    <w:qFormat/>
    <w:pPr>
      <w:ind w:left="708" w:hanging="0"/>
      <w:outlineLvl w:val="7"/>
    </w:pPr>
    <w:rPr>
      <w:rFonts w:ascii="Tms Rmn" w:hAnsi="Tms Rmn"/>
      <w:i/>
      <w:iCs/>
    </w:rPr>
  </w:style>
  <w:style w:type="paragraph" w:styleId="Nadpis9">
    <w:name w:val="Heading 9"/>
    <w:basedOn w:val="Normal"/>
    <w:qFormat/>
    <w:pPr>
      <w:ind w:left="708" w:hanging="0"/>
      <w:outlineLvl w:val="8"/>
    </w:pPr>
    <w:rPr>
      <w:rFonts w:ascii="Tms Rmn" w:hAnsi="Tms Rm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semiHidden/>
    <w:qFormat/>
    <w:rPr>
      <w:sz w:val="16"/>
      <w:szCs w:val="16"/>
    </w:rPr>
  </w:style>
  <w:style w:type="character" w:styleId="Pagenumber">
    <w:name w:val="page number"/>
    <w:basedOn w:val="DefaultParagraphFont"/>
    <w:qFormat/>
    <w:rPr/>
  </w:style>
  <w:style w:type="character" w:styleId="TextbublinyChar" w:customStyle="1">
    <w:name w:val="Text bubliny Char"/>
    <w:link w:val="Textbubliny"/>
    <w:qFormat/>
    <w:rsid w:val="00a20618"/>
    <w:rPr>
      <w:rFonts w:ascii="Segoe UI" w:hAnsi="Segoe UI" w:cs="Segoe UI"/>
      <w:sz w:val="18"/>
      <w:szCs w:val="18"/>
      <w:lang w:eastAsia="cs-CZ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cc502b"/>
    <w:pPr>
      <w:spacing w:before="0" w:after="12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Indent">
    <w:name w:val="Normal Indent"/>
    <w:basedOn w:val="Normal"/>
    <w:qFormat/>
    <w:pPr>
      <w:ind w:left="708" w:hanging="0"/>
    </w:pPr>
    <w:rPr/>
  </w:style>
  <w:style w:type="paragraph" w:styleId="Hlavika">
    <w:name w:val="Header"/>
    <w:basedOn w:val="Normal"/>
    <w:pPr>
      <w:tabs>
        <w:tab w:val="center" w:pos="4819" w:leader="none"/>
        <w:tab w:val="right" w:pos="9071" w:leader="none"/>
      </w:tabs>
    </w:pPr>
    <w:rPr/>
  </w:style>
  <w:style w:type="paragraph" w:styleId="Footnotetext">
    <w:name w:val="footnote text"/>
    <w:basedOn w:val="Normal"/>
    <w:semiHidden/>
    <w:qFormat/>
    <w:pPr/>
    <w:rPr/>
  </w:style>
  <w:style w:type="paragraph" w:styleId="Odsadenietelatextu">
    <w:name w:val="Body Text Indent"/>
    <w:basedOn w:val="Normal"/>
    <w:pPr>
      <w:tabs>
        <w:tab w:val="left" w:pos="709" w:leader="none"/>
        <w:tab w:val="left" w:pos="2977" w:leader="none"/>
        <w:tab w:val="left" w:pos="4962" w:leader="none"/>
        <w:tab w:val="left" w:pos="6663" w:leader="none"/>
        <w:tab w:val="left" w:pos="8222" w:leader="none"/>
      </w:tabs>
      <w:ind w:left="426" w:hanging="0"/>
      <w:jc w:val="both"/>
    </w:pPr>
    <w:rPr>
      <w:rFonts w:ascii="Times New Roman" w:hAnsi="Times New Roman"/>
      <w:sz w:val="26"/>
      <w:szCs w:val="26"/>
    </w:rPr>
  </w:style>
  <w:style w:type="paragraph" w:styleId="BodyTextIndent2">
    <w:name w:val="Body Text Indent 2"/>
    <w:basedOn w:val="Normal"/>
    <w:qFormat/>
    <w:pPr>
      <w:tabs>
        <w:tab w:val="left" w:pos="2127" w:leader="none"/>
        <w:tab w:val="left" w:pos="3686" w:leader="none"/>
        <w:tab w:val="left" w:pos="5387" w:leader="none"/>
        <w:tab w:val="left" w:pos="6804" w:leader="none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qFormat/>
    <w:rsid w:val="00af55b5"/>
    <w:pPr/>
    <w:rPr>
      <w:rFonts w:ascii="Courier New" w:hAnsi="Courier New" w:cs="Courier New"/>
      <w:lang w:val="cs-CZ"/>
    </w:rPr>
  </w:style>
  <w:style w:type="paragraph" w:styleId="BalloonText">
    <w:name w:val="Balloon Text"/>
    <w:basedOn w:val="Normal"/>
    <w:link w:val="TextbublinyChar"/>
    <w:qFormat/>
    <w:rsid w:val="00a20618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3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22227523</c:v>
                </c:pt>
                <c:pt idx="1">
                  <c:v>20632397</c:v>
                </c:pt>
                <c:pt idx="2">
                  <c:v>20822112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5714523</c:v>
                </c:pt>
                <c:pt idx="1">
                  <c:v>3195372</c:v>
                </c:pt>
                <c:pt idx="2">
                  <c:v>3217654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3191974</c:v>
                </c:pt>
                <c:pt idx="1">
                  <c:v>1490657</c:v>
                </c:pt>
                <c:pt idx="2">
                  <c:v>1035167</c:v>
                </c:pt>
              </c:numCache>
            </c:numRef>
          </c:val>
        </c:ser>
        <c:gapWidth val="50"/>
        <c:overlap val="30"/>
        <c:axId val="49712230"/>
        <c:axId val="77252983"/>
      </c:barChart>
      <c:catAx>
        <c:axId val="49712230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7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77252983"/>
        <c:crosses val="autoZero"/>
        <c:auto val="1"/>
        <c:lblAlgn val="ctr"/>
        <c:lblOffset val="100"/>
      </c:catAx>
      <c:valAx>
        <c:axId val="77252983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7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49712230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30925"/>
          <c:y val="0.343777777777778"/>
        </c:manualLayout>
      </c:layout>
      <c:spPr>
        <a:noFill/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10363392</c:v>
                </c:pt>
                <c:pt idx="1">
                  <c:v>11350590</c:v>
                </c:pt>
                <c:pt idx="2">
                  <c:v>12628716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15081198</c:v>
                </c:pt>
                <c:pt idx="1">
                  <c:v>18239666</c:v>
                </c:pt>
                <c:pt idx="2">
                  <c:v>16777174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10799</c:v>
                </c:pt>
                <c:pt idx="1">
                  <c:v>10866</c:v>
                </c:pt>
                <c:pt idx="2">
                  <c:v>13467</c:v>
                </c:pt>
              </c:numCache>
            </c:numRef>
          </c:val>
        </c:ser>
        <c:gapWidth val="50"/>
        <c:overlap val="100"/>
        <c:axId val="89719404"/>
        <c:axId val="90481886"/>
      </c:barChart>
      <c:catAx>
        <c:axId val="89719404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5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90481886"/>
        <c:crosses val="autoZero"/>
        <c:auto val="1"/>
        <c:lblAlgn val="ctr"/>
        <c:lblOffset val="100"/>
      </c:catAx>
      <c:valAx>
        <c:axId val="90481886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5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89719404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406"/>
          <c:y val="0.390555555555556"/>
        </c:manualLayout>
      </c:layout>
      <c:spPr>
        <a:solidFill>
          <a:srgbClr val="ffffff"/>
        </a:solidFill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Stav 1.1.2019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0</c:f>
              <c:numCache>
                <c:formatCode>General</c:formatCode>
                <c:ptCount val="1"/>
                <c:pt idx="0">
                  <c:v>9430879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1</c:f>
              <c:numCache>
                <c:formatCode>General</c:formatCode>
                <c:ptCount val="1"/>
                <c:pt idx="0">
                  <c:v>2416171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2</c:f>
              <c:numCache>
                <c:formatCode>General</c:formatCode>
                <c:ptCount val="1"/>
                <c:pt idx="0">
                  <c:v>-2420911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3</c:f>
              <c:numCache>
                <c:formatCode>General</c:formatCode>
                <c:ptCount val="1"/>
                <c:pt idx="0">
                  <c:v>1009030</c:v>
                </c:pt>
              </c:numCache>
            </c:numRef>
          </c:val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Stav 31.12.2019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4</c:f>
              <c:numCache>
                <c:formatCode>General</c:formatCode>
                <c:ptCount val="1"/>
                <c:pt idx="0">
                  <c:v>10436169</c:v>
                </c:pt>
              </c:numCache>
            </c:numRef>
          </c:val>
        </c:ser>
        <c:gapWidth val="50"/>
        <c:overlap val="30"/>
        <c:axId val="54363477"/>
        <c:axId val="86514053"/>
      </c:barChart>
      <c:catAx>
        <c:axId val="54363477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6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86514053"/>
        <c:crosses val="autoZero"/>
        <c:auto val="1"/>
        <c:lblAlgn val="ctr"/>
        <c:lblOffset val="100"/>
      </c:catAx>
      <c:valAx>
        <c:axId val="86514053"/>
        <c:scaling>
          <c:orientation val="minMax"/>
        </c:scaling>
        <c:delete val="0"/>
        <c:axPos val="l"/>
        <c:numFmt formatCode="\ [$€-41B]\ * #,##0.00\ ;\ [$€-41B]\ * \(#,##0.00\);\ [$€-41B]\ * \-#\ 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6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54363477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4529375"/>
          <c:y val="0.0968888888888889"/>
        </c:manualLayout>
      </c:layout>
      <c:spPr>
        <a:solidFill>
          <a:srgbClr val="ffffff"/>
        </a:solidFill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BCF9C-BD25-4625-8908-D1B459F4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Application>LibreOffice/5.3.3.2$Windows_X86_64 LibreOffice_project/3d9a8b4b4e538a85e0782bd6c2d430bafe583448</Application>
  <Pages>38</Pages>
  <Words>1923</Words>
  <Characters>8720</Characters>
  <CharactersWithSpaces>11571</CharactersWithSpaces>
  <Paragraphs>592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2020-04-27T10:05:00Z</dcterms:created>
  <dc:creator>Management Library</dc:creator>
  <dc:description/>
  <dc:language>sk-SK</dc:language>
  <cp:lastModifiedBy>Ing. Martin Šepeľák</cp:lastModifiedBy>
  <cp:lastPrinted>2020-11-02T18:49:00Z</cp:lastPrinted>
  <dcterms:modified xsi:type="dcterms:W3CDTF">2020-11-02T18:50:00Z</dcterms:modified>
  <cp:revision>24</cp:revision>
  <dc:subject/>
  <dc:title>PLYNROZ, akciová spoločnosť, Sobrance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17cb76b2-10b8-4fe1-93d4-2202842406cd_Application">
    <vt:lpwstr>Microsoft Azure Information Protection</vt:lpwstr>
  </property>
  <property fmtid="{D5CDD505-2E9C-101B-9397-08002B2CF9AE}" pid="7" name="MSIP_Label_17cb76b2-10b8-4fe1-93d4-2202842406cd_Enabled">
    <vt:lpwstr>True</vt:lpwstr>
  </property>
  <property fmtid="{D5CDD505-2E9C-101B-9397-08002B2CF9AE}" pid="8" name="MSIP_Label_17cb76b2-10b8-4fe1-93d4-2202842406cd_Extended_MSFT_Method">
    <vt:lpwstr>Manual</vt:lpwstr>
  </property>
  <property fmtid="{D5CDD505-2E9C-101B-9397-08002B2CF9AE}" pid="9" name="MSIP_Label_17cb76b2-10b8-4fe1-93d4-2202842406cd_Name">
    <vt:lpwstr>External Public</vt:lpwstr>
  </property>
  <property fmtid="{D5CDD505-2E9C-101B-9397-08002B2CF9AE}" pid="10" name="MSIP_Label_17cb76b2-10b8-4fe1-93d4-2202842406cd_Owner">
    <vt:lpwstr>Martin_Sepelak@dell.com</vt:lpwstr>
  </property>
  <property fmtid="{D5CDD505-2E9C-101B-9397-08002B2CF9AE}" pid="11" name="MSIP_Label_17cb76b2-10b8-4fe1-93d4-2202842406cd_SetDate">
    <vt:lpwstr>2020-02-10T12:22:04.7235243Z</vt:lpwstr>
  </property>
  <property fmtid="{D5CDD505-2E9C-101B-9397-08002B2CF9AE}" pid="12" name="MSIP_Label_17cb76b2-10b8-4fe1-93d4-2202842406cd_SiteId">
    <vt:lpwstr>945c199a-83a2-4e80-9f8c-5a91be5752dd</vt:lpwstr>
  </property>
  <property fmtid="{D5CDD505-2E9C-101B-9397-08002B2CF9AE}" pid="13" name="ScaleCrop">
    <vt:bool>0</vt:bool>
  </property>
  <property fmtid="{D5CDD505-2E9C-101B-9397-08002B2CF9AE}" pid="14" name="ShareDoc">
    <vt:bool>0</vt:bool>
  </property>
  <property fmtid="{D5CDD505-2E9C-101B-9397-08002B2CF9AE}" pid="15" name="aiplabel">
    <vt:lpwstr>External Public</vt:lpwstr>
  </property>
</Properties>
</file>