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_rels/chart1.xml.rels" ContentType="application/vnd.openxmlformats-package.relationships+xml"/>
  <Override PartName="/word/charts/_rels/chart2.xml.rels" ContentType="application/vnd.openxmlformats-package.relationships+xml"/>
  <Override PartName="/word/charts/_rels/chart3.xml.rels" ContentType="application/vnd.openxmlformats-package.relationships+xml"/>
  <Override PartName="/word/embeddings/Microsoft_Excel_Worksheet3.xlsx" ContentType="application/vnd.openxmlformats-officedocument.spreadsheetml.sheet"/>
  <Override PartName="/word/embeddings/Microsoft_Excel_Worksheet.xlsx" ContentType="application/vnd.openxmlformats-officedocument.spreadsheetml.sheet"/>
  <Override PartName="/word/embeddings/Microsoft_Excel_Worksheet2.xlsx" ContentType="application/vnd.openxmlformats-officedocument.spreadsheetml.sheet"/>
  <Override PartName="/word/embeddings/Microsoft_Excel_Worksheet1.xlsx" ContentType="application/vnd.openxmlformats-officedocument.spreadsheetml.sheet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TES MI s.r.o.  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rPr>
          <w:rFonts w:ascii="Times New Roman" w:hAnsi="Times New Roman"/>
          <w:sz w:val="40"/>
          <w:szCs w:val="40"/>
        </w:rPr>
      </w:pPr>
      <w:r>
        <w:rPr>
          <w:rFonts w:ascii="Times New Roman" w:hAnsi="Times New Roman"/>
          <w:sz w:val="40"/>
          <w:szCs w:val="4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</w:t>
      </w:r>
      <w:r>
        <w:rPr>
          <w:rFonts w:ascii="Times New Roman" w:hAnsi="Times New Roman"/>
          <w:b/>
          <w:sz w:val="40"/>
          <w:szCs w:val="40"/>
        </w:rPr>
        <w:t>V Ý R O Č N Á    S P R Á V A</w:t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b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1 9  </w:t>
      </w:r>
    </w:p>
    <w:p>
      <w:pPr>
        <w:pStyle w:val="Normal"/>
        <w:tabs>
          <w:tab w:val="left" w:pos="1872" w:leader="none"/>
          <w:tab w:val="left" w:pos="2160" w:leader="none"/>
          <w:tab w:val="left" w:pos="4752" w:leader="none"/>
        </w:tabs>
        <w:spacing w:lineRule="atLeast" w:line="480" w:before="0" w:after="1440"/>
        <w:ind w:right="-12" w:hanging="0"/>
        <w:jc w:val="center"/>
        <w:rPr>
          <w:rFonts w:ascii="Times New Roman" w:hAnsi="Times New Roman"/>
          <w:b/>
          <w:b/>
          <w:sz w:val="30"/>
          <w:szCs w:val="30"/>
        </w:rPr>
      </w:pPr>
      <w:r>
        <w:rPr>
          <w:rFonts w:ascii="Times New Roman" w:hAnsi="Times New Roman"/>
          <w:b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  <w:tab/>
        <w:t xml:space="preserve">TES MI s.r.o., Továrenská 2, 071 01 Michalovce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  <w:tab/>
        <w:tab/>
        <w:t>36 190 217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  <w:tab/>
        <w:t>056/6884741</w:t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1418" w:leader="none"/>
          <w:tab w:val="left" w:pos="1872" w:leader="none"/>
          <w:tab w:val="left" w:pos="2160" w:leader="none"/>
          <w:tab w:val="left" w:pos="4752" w:leader="none"/>
        </w:tabs>
        <w:spacing w:lineRule="atLeast" w:line="240"/>
        <w:ind w:right="-12" w:hanging="0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ind w:right="15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 B S A H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PREHĽAD FINANČNÝCH ÚDAJOV ZA ROKY 2017 - 2019</w:t>
        <w:tab/>
        <w:t xml:space="preserve">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SPRÁVA KONATEĽA O PODNIKATEĽSKEJ </w:t>
        <w:tab/>
        <w:t xml:space="preserve">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ČINNOSTI V ROKU 2019: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vystavená.</w:t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ÚČTOVNÁ ZÁVIERKA ZA ROK 2019</w:t>
        <w:tab/>
        <w:tab/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Bilancia (súvaha)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>- Výkaz ziskov a strát</w:t>
        <w:tab/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right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0" w:leader="none"/>
          <w:tab w:val="left" w:pos="2977" w:leader="none"/>
          <w:tab w:val="left" w:pos="7938" w:leader="none"/>
        </w:tabs>
        <w:ind w:right="152" w:firstLine="142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2017-2019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T R Ž B Y,  P R I D A N Á  H O D N O T A,  H O S P.   V Ý S L E D O K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2 0 1 7 – 2 0 1 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  <w:tab w:val="right" w:pos="9203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>
        <w:rPr>
          <w:rFonts w:ascii="Times New Roman" w:hAnsi="Times New Roman"/>
          <w:sz w:val="26"/>
          <w:szCs w:val="26"/>
        </w:rPr>
        <w:drawing>
          <wp:inline distT="0" distB="0" distL="0" distR="0">
            <wp:extent cx="5241925" cy="4725670"/>
            <wp:effectExtent l="0" t="0" r="0" b="0"/>
            <wp:docPr id="1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"/>
              </a:graphicData>
            </a:graphic>
          </wp:inline>
        </w:drawing>
      </w:r>
      <w:r>
        <w:rPr>
          <w:rFonts w:ascii="Times New Roman" w:hAnsi="Times New Roman"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5104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2017 – 2019                                 P A S Í V A 2017 - 2019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2625725" cy="3974465"/>
            <wp:effectExtent l="0" t="0" r="0" b="0"/>
            <wp:docPr id="2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center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2019</w:t>
      </w:r>
    </w:p>
    <w:p>
      <w:pPr>
        <w:pStyle w:val="Normal"/>
        <w:tabs>
          <w:tab w:val="left" w:pos="6440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/>
        <w:drawing>
          <wp:inline distT="0" distB="0" distL="0" distR="0">
            <wp:extent cx="5541010" cy="2978785"/>
            <wp:effectExtent l="0" t="0" r="0" b="0"/>
            <wp:docPr id="3" name="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4536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KONATEĽOV O PODNIKATEĽSKEJ ČINNOSTI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2019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center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a o významných rizikách a neistotách, ktorým je účtovná jednotka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vystavená.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Účtovná jednotka TES MI s.r.o. v priebehu roka 2019 vykonávala svoju činnosť v štandardnom režime bez mimoriadnych výkyvov, rizík a neistôt.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Odberateľom dodávala svoju produkciu v dohodnutých termínoch a štandardnej kvalite. Finančné záväzky voči svojím dodávateľom uhrádzala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Pri úhrade vlastných pohľadávok sa nevyskytli problémy a pohľadávky boli uhrádzané dlžníkmi v termínoch splatnosti.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Celkovo možno hodnotiť vývoj spoločnosti ako štandardný a bezrizikový.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left="284" w:right="152" w:firstLine="425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>
      <w:pPr>
        <w:pStyle w:val="Normal"/>
        <w:tabs>
          <w:tab w:val="left" w:pos="2127" w:leader="none"/>
          <w:tab w:val="left" w:pos="3686" w:leader="none"/>
          <w:tab w:val="left" w:pos="4962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ab/>
        <w:t>k 31.12.2019</w:t>
        <w:tab/>
        <w:t xml:space="preserve">  k 31.12.2018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zisk+úroky      1 059 128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  x  100  =                        3,58 %</w:t>
        <w:tab/>
        <w:t xml:space="preserve">    5,89 %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29 601 122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b) Rentabilita vlastného kapitálu;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 1 035 167 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 x  100  =                       10,32 %</w:t>
        <w:tab/>
        <w:t xml:space="preserve">  15,90 %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10 034 174 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Hosp.výsledok               1 035 167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670" w:leader="none"/>
          <w:tab w:val="left" w:pos="6946" w:leader="none"/>
        </w:tabs>
        <w:ind w:right="-1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</w:t>
      </w:r>
      <w:r>
        <w:rPr>
          <w:rFonts w:ascii="Times New Roman" w:hAnsi="Times New Roman"/>
          <w:sz w:val="22"/>
          <w:szCs w:val="22"/>
        </w:rPr>
        <w:t>=  ––––––––––   x   100    =                         5,15 %</w:t>
        <w:tab/>
        <w:t xml:space="preserve">    7,57 %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 20 088 572 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20 088 572                </w:t>
      </w:r>
    </w:p>
    <w:p>
      <w:pPr>
        <w:pStyle w:val="Normal"/>
        <w:tabs>
          <w:tab w:val="left" w:pos="2127" w:leader="none"/>
          <w:tab w:val="left" w:pos="3686" w:leader="none"/>
          <w:tab w:val="left" w:pos="5529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 xml:space="preserve">= ––––––––––––  x   100     =                       95,09 % </w:t>
        <w:tab/>
        <w:t xml:space="preserve">     92,95 %        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21 123 739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BILANCIA  (SÚVAHA)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%-tuálne zloženie,  medziročný pohyb. Analýza zdrojov (pasív), vlastného imania, cudzích zdrojov, ostatných pasív.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9039" w:type="dxa"/>
        <w:jc w:val="left"/>
        <w:tblInd w:w="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8" w:space="0" w:color="00000A"/>
          <w:insideH w:val="single" w:sz="18" w:space="0" w:color="00000A"/>
          <w:insideV w:val="single" w:sz="18" w:space="0" w:color="00000A"/>
        </w:tblBorders>
        <w:tblCellMar>
          <w:top w:w="0" w:type="dxa"/>
          <w:left w:w="85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1950"/>
        <w:gridCol w:w="1559"/>
        <w:gridCol w:w="1189"/>
        <w:gridCol w:w="1647"/>
        <w:gridCol w:w="1189"/>
        <w:gridCol w:w="1504"/>
      </w:tblGrid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31.12.2018</w:t>
            </w:r>
          </w:p>
        </w:tc>
        <w:tc>
          <w:tcPr>
            <w:tcW w:w="1189" w:type="dxa"/>
            <w:tcBorders>
              <w:top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31.12.2019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insideH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center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>
            <w:pPr>
              <w:pStyle w:val="Normal"/>
              <w:jc w:val="center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2019 – 2018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Neob majetok</w:t>
            </w:r>
          </w:p>
        </w:tc>
        <w:tc>
          <w:tcPr>
            <w:tcW w:w="1559" w:type="dxa"/>
            <w:tcBorders>
              <w:top w:val="single" w:sz="18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11 350 590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38,3</w:t>
            </w:r>
          </w:p>
        </w:tc>
        <w:tc>
          <w:tcPr>
            <w:tcW w:w="1647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12 628 716</w:t>
            </w:r>
          </w:p>
        </w:tc>
        <w:tc>
          <w:tcPr>
            <w:tcW w:w="1189" w:type="dxa"/>
            <w:tcBorders>
              <w:top w:val="single" w:sz="18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42,9</w:t>
            </w:r>
          </w:p>
        </w:tc>
        <w:tc>
          <w:tcPr>
            <w:tcW w:w="1504" w:type="dxa"/>
            <w:tcBorders>
              <w:top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+ 1 278 126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Obež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18 239 666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61,6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16 777 174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57,0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- 1 462 492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3 700 666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12,5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2 237 939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7,6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- 1 462 727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5 108 121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17,3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4 104 066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14,0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- 1 004 055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9 430 879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31,8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10 435 169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35,4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+ 1 004 290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10 866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13 467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0,1</w:t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    2 601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right w:val="single" w:sz="6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29 601 122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29 419 357</w:t>
            </w:r>
          </w:p>
        </w:tc>
        <w:tc>
          <w:tcPr>
            <w:tcW w:w="1189" w:type="dxa"/>
            <w:tcBorders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2" w:space="0" w:color="00000A"/>
              <w:right w:val="single" w:sz="18" w:space="0" w:color="00000A"/>
              <w:insideH w:val="single" w:sz="12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- 181 765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10 034 174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33,9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10 086 537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34,3</w:t>
            </w:r>
          </w:p>
        </w:tc>
        <w:tc>
          <w:tcPr>
            <w:tcW w:w="1504" w:type="dxa"/>
            <w:tcBorders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  52 363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19 566 948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66,1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19 332 820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65,7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- 234 128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1 484 763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5,0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2 714 649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9,2</w:t>
            </w:r>
          </w:p>
        </w:tc>
        <w:tc>
          <w:tcPr>
            <w:tcW w:w="1504" w:type="dxa"/>
            <w:tcBorders>
              <w:top w:val="single" w:sz="6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i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+ 1 229 886</w:t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6" w:space="0" w:color="00000A"/>
              <w:left w:val="single" w:sz="18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00000A"/>
              <w:left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00000A"/>
              <w:right w:val="single" w:sz="18" w:space="0" w:color="00000A"/>
              <w:insideV w:val="single" w:sz="18" w:space="0" w:color="00000A"/>
            </w:tcBorders>
            <w:shd w:fill="auto" w:val="clear"/>
          </w:tcPr>
          <w:p>
            <w:pPr>
              <w:pStyle w:val="Normal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</w:r>
          </w:p>
        </w:tc>
      </w:tr>
      <w:tr>
        <w:trPr>
          <w:cantSplit w:val="true"/>
        </w:trPr>
        <w:tc>
          <w:tcPr>
            <w:tcW w:w="1950" w:type="dxa"/>
            <w:tcBorders>
              <w:top w:val="single" w:sz="12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  <w:tcMar>
              <w:left w:w="85" w:type="dxa"/>
            </w:tcMar>
          </w:tcPr>
          <w:p>
            <w:pPr>
              <w:pStyle w:val="Normal"/>
              <w:ind w:left="57" w:right="57" w:hanging="0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29 601 122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ind w:left="57" w:right="57" w:hanging="0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29 419 357</w:t>
            </w:r>
          </w:p>
        </w:tc>
        <w:tc>
          <w:tcPr>
            <w:tcW w:w="1189" w:type="dxa"/>
            <w:tcBorders>
              <w:top w:val="single" w:sz="12" w:space="0" w:color="00000A"/>
              <w:left w:val="single" w:sz="6" w:space="0" w:color="00000A"/>
              <w:bottom w:val="single" w:sz="18" w:space="0" w:color="00000A"/>
              <w:right w:val="single" w:sz="6" w:space="0" w:color="00000A"/>
              <w:insideH w:val="single" w:sz="18" w:space="0" w:color="00000A"/>
              <w:insideV w:val="single" w:sz="6" w:space="0" w:color="00000A"/>
            </w:tcBorders>
            <w:shd w:color="auto" w:fill="auto" w:val="pct10"/>
            <w:tcMar>
              <w:left w:w="100" w:type="dxa"/>
            </w:tcMar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pct10"/>
          </w:tcPr>
          <w:p>
            <w:pPr>
              <w:pStyle w:val="Normal"/>
              <w:jc w:val="right"/>
              <w:rPr>
                <w:rFonts w:ascii="Times New Roman" w:hAnsi="Times New Roman"/>
                <w:b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- 181 765</w:t>
            </w:r>
          </w:p>
        </w:tc>
      </w:tr>
    </w:tbl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5387" w:leader="none"/>
          <w:tab w:val="left" w:pos="6804" w:leader="none"/>
        </w:tabs>
        <w:ind w:left="5392" w:right="-12" w:hanging="0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</w:t>
      </w:r>
      <w:r>
        <w:rPr>
          <w:rFonts w:ascii="Times New Roman" w:hAnsi="Times New Roman"/>
          <w:b/>
          <w:bCs/>
          <w:sz w:val="22"/>
          <w:szCs w:val="22"/>
        </w:rPr>
        <w:t>2019             2018</w:t>
      </w:r>
    </w:p>
    <w:p>
      <w:pPr>
        <w:pStyle w:val="Normal"/>
        <w:tabs>
          <w:tab w:val="left" w:pos="5387" w:leader="none"/>
          <w:tab w:val="left" w:pos="6804" w:leader="none"/>
        </w:tabs>
        <w:ind w:right="-12" w:firstLine="547"/>
        <w:jc w:val="both"/>
        <w:rPr>
          <w:rFonts w:ascii="Times New Roman" w:hAnsi="Times New Roman"/>
          <w:b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10 086 537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x 100 =                                    79,9 %           88,4 %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Stále aktíva                12 628 716</w:t>
      </w:r>
    </w:p>
    <w:p>
      <w:pPr>
        <w:pStyle w:val="Normal"/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Finančná stabilita  (koeficient samofinancovania):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Vlastný kapitál          10 086 537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 x 100 =                                   34,3 %</w:t>
        <w:tab/>
        <w:t xml:space="preserve">           33,9 %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>Celkové aktíva          29 419 357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Cudzí kapitál             19 332 820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x 100 =</w:t>
        <w:tab/>
        <w:t xml:space="preserve">              65,7 %</w:t>
        <w:tab/>
        <w:t xml:space="preserve">           66,1 %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Celkové aktíva          29 419 357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  <w:tab/>
        <w:t xml:space="preserve">                9,2 %</w:t>
        <w:tab/>
        <w:t xml:space="preserve">             5,0 %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10 435 169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–––––––––––– =  1,832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5 694 683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14 539 235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</w:t>
      </w:r>
      <w:r>
        <w:rPr>
          <w:rFonts w:ascii="Times New Roman" w:hAnsi="Times New Roman"/>
          <w:sz w:val="22"/>
          <w:szCs w:val="22"/>
        </w:rPr>
        <w:t>= ––––––––––– =  2,553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5 694 683    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16 777 174    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  </w:t>
      </w:r>
      <w:r>
        <w:rPr>
          <w:rFonts w:ascii="Times New Roman" w:hAnsi="Times New Roman"/>
          <w:sz w:val="22"/>
          <w:szCs w:val="22"/>
        </w:rPr>
        <w:t>= –––––––––––  =   2,946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záv.vč.úverov        5 694 683                     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ind w:left="426" w:right="-12" w:hanging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left="426"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  <w:tab/>
        <w:t xml:space="preserve">        </w:t>
        <w:tab/>
        <w:t xml:space="preserve">   </w:t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</w:r>
    </w:p>
    <w:p>
      <w:pPr>
        <w:pStyle w:val="Normal"/>
        <w:tabs>
          <w:tab w:val="left" w:pos="2552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>
      <w:pPr>
        <w:pStyle w:val="Normal"/>
        <w:tabs>
          <w:tab w:val="left" w:pos="2977" w:leader="none"/>
          <w:tab w:val="left" w:pos="4253" w:leader="none"/>
          <w:tab w:val="left" w:pos="5387" w:leader="none"/>
          <w:tab w:val="left" w:pos="6804" w:leader="none"/>
        </w:tabs>
        <w:spacing w:lineRule="atLeast" w:line="240"/>
        <w:ind w:right="-11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16 777 174 – 5 694 683 =  11 082 491 eur   </w:t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2127" w:leader="none"/>
          <w:tab w:val="left" w:pos="3686" w:leader="none"/>
          <w:tab w:val="left" w:pos="5387" w:leader="none"/>
          <w:tab w:val="left" w:pos="6804" w:leader="none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993" w:leader="none"/>
          <w:tab w:val="left" w:pos="1418" w:leader="none"/>
          <w:tab w:val="left" w:pos="2977" w:leader="none"/>
          <w:tab w:val="left" w:pos="7938" w:leader="none"/>
        </w:tabs>
        <w:ind w:left="993" w:right="152" w:hanging="284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b) Informácie o udalostiach osobitného významu, ktoré nastali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po skončení účtovného obdobia, za ktoré sa vyhotovuje výročná správa.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 skončení účtovného obdobia nenastali skutočnosti osobitného významu, ktoré by bolo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potrebné uviesť vo výročnej správe.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</w:t>
      </w:r>
      <w:r>
        <w:rPr>
          <w:rFonts w:ascii="Times New Roman" w:hAnsi="Times New Roman"/>
          <w:b/>
          <w:sz w:val="22"/>
          <w:szCs w:val="22"/>
        </w:rPr>
        <w:t>jednotky.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Účtovná jednotka bude pokračovať vo svojej činnosti v rozsahu roku 2019.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Spoločnosť nečerpala žiadne náklady na vedu a výskum.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i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</w:t>
      </w:r>
      <w:r>
        <w:rPr>
          <w:rFonts w:ascii="Times New Roman" w:hAnsi="Times New Roman"/>
          <w:sz w:val="22"/>
          <w:szCs w:val="22"/>
        </w:rPr>
        <w:t xml:space="preserve">Spoločnosť nenadobudla žiadne vlastné obchodné podiely.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2019 a na rozdelenie zisku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</w:t>
      </w:r>
      <w:r>
        <w:rPr>
          <w:rFonts w:ascii="Times New Roman" w:hAnsi="Times New Roman"/>
          <w:b/>
          <w:sz w:val="22"/>
          <w:szCs w:val="22"/>
        </w:rPr>
        <w:t>alebo vyrovnanie straty.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TES MI s.r.o. v zmysle spoločenskej zmluvy po preskúmaní ročnej účtovnej závierky a výročnej správy za rok 2019 a správy audítora, predkladá  valnému zhromaždeniu na  schválenie návrh: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2019.</w:t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+ 1 035 167,46 € zúčtovať nasledovne: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 </w:t>
      </w:r>
      <w:r>
        <w:rPr>
          <w:rFonts w:ascii="Times New Roman" w:hAnsi="Times New Roman"/>
          <w:sz w:val="22"/>
          <w:szCs w:val="22"/>
        </w:rPr>
        <w:t xml:space="preserve">900 000.- €, podiel na zisku materskej spoločnosti   </w:t>
      </w:r>
    </w:p>
    <w:p>
      <w:pPr>
        <w:pStyle w:val="Normal"/>
        <w:tabs>
          <w:tab w:val="left" w:pos="1134" w:leader="none"/>
        </w:tabs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</w:t>
      </w:r>
      <w:r>
        <w:rPr>
          <w:rFonts w:ascii="Times New Roman" w:hAnsi="Times New Roman"/>
          <w:sz w:val="22"/>
          <w:szCs w:val="22"/>
        </w:rPr>
        <w:t xml:space="preserve">68 360.- €, podiel na zisku menšinových vlastníkov </w:t>
        <w:tab/>
        <w:t xml:space="preserve">    </w:t>
      </w:r>
    </w:p>
    <w:p>
      <w:pPr>
        <w:pStyle w:val="Normal"/>
        <w:tabs>
          <w:tab w:val="left" w:pos="1134" w:leader="none"/>
        </w:tabs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            66 807,46 €, v prospech nerozdeleného zisku minulých rokov                   </w:t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</w:r>
    </w:p>
    <w:p>
      <w:pPr>
        <w:pStyle w:val="Normal"/>
        <w:ind w:left="284" w:right="424" w:firstLine="283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  <w:r>
        <w:rPr>
          <w:rFonts w:ascii="Times New Roman" w:hAnsi="Times New Roman"/>
          <w:sz w:val="22"/>
          <w:szCs w:val="22"/>
        </w:rPr>
        <w:t xml:space="preserve">Pre spoločnosť bezpredmetné.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left="709"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7938" w:leader="none"/>
        </w:tabs>
        <w:ind w:right="152" w:hanging="0"/>
        <w:jc w:val="both"/>
        <w:rPr>
          <w:rFonts w:ascii="Times New Roman" w:hAnsi="Times New Roman"/>
          <w:i/>
          <w:i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Účtovná jednotka nemá organizačnú zložku v zahraničí.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right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5103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ab/>
        <w:tab/>
        <w:tab/>
        <w:t>Paolo Felisa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2"/>
          <w:szCs w:val="22"/>
        </w:rPr>
        <w:t>konateľ spoločnosti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hanging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b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01.01.2019 - 31.12.2019, 2018, 2017</w:t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center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823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25"/>
        <w:gridCol w:w="1261"/>
        <w:gridCol w:w="1218"/>
        <w:gridCol w:w="1218"/>
      </w:tblGrid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</w:rPr>
              <w:t>v eurách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left="-155"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0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06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hosp.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21 113 472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21 164 826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22 235 054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10 894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vlastných výrobkov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20 822 112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20 330 440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22 132 338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Tržby z predaja služieb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78 448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301 957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84 291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96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Tržby z predaja dlh.majetku a 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206 568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24 299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hosp.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6 344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508 130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7 531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57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  <w:p>
            <w:pPr>
              <w:pStyle w:val="Normal"/>
              <w:ind w:right="-157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hosp. činnosť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19 767 594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19 284 105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18 181 099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Náklady na obst. tovaru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6 262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Spotreba materiálu a energie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15 778 188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14 777 623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14 196 767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Služby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1 904 718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2 659 402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2 309 971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Osobné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469 766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509 263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475 715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303 568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332 960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307 252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106 167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116 832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107 746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60 030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59 471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60 717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Dane a poplatky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26 018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29 889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25 346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Odpisy dlhodobého majetku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1 428 342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1 237 498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1 099 818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4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Zost.cena pred.dlh.majetku a mat.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60 000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13 632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Opravné položky k pohľadávkam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2 767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prevádzkové náklady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97 795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56 798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67 220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hosp.činnosti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1 345 878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1 880 721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4 053 955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bCs/>
                <w:color w:val="993300"/>
              </w:rPr>
              <w:t>Pridaná hodnota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3 217 654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3 195 372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5 714 523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Výnosy z finanč.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10 267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8 338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</w:r>
          </w:p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7 636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Výnosové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10 267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8 338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7 636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výnosy z finanč. 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Náklady na fin. činn. spolu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31 538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15 753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15 795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Nákladové úroky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23 961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9 586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11 341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8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Kurzové straty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3 039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115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Ostatné náklady z 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4 538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6 167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4 339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8" w:hanging="0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bCs/>
                <w:color w:val="0000FF"/>
              </w:rPr>
              <w:t>Výsledok hosp.z finanč.činnosti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- 21 271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- 7 415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0000FF"/>
              </w:rPr>
            </w:pPr>
            <w:r>
              <w:rPr>
                <w:rFonts w:cs="Arial" w:ascii="Arial" w:hAnsi="Arial"/>
                <w:b/>
                <w:color w:val="0000FF"/>
              </w:rPr>
              <w:t>- 8 159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Výsled. hosp. pred zdanením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1 324 607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1 873 306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993300"/>
              </w:rPr>
            </w:pPr>
            <w:r>
              <w:rPr>
                <w:rFonts w:cs="Arial" w:ascii="Arial" w:hAnsi="Arial"/>
                <w:b/>
                <w:color w:val="993300"/>
              </w:rPr>
              <w:t>4 045 796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3544" w:leader="none"/>
              </w:tabs>
              <w:ind w:right="-518" w:hanging="0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6600"/>
              </w:rPr>
            </w:pPr>
            <w:r>
              <w:rPr>
                <w:rFonts w:cs="Arial" w:ascii="Arial" w:hAnsi="Arial"/>
                <w:b/>
                <w:color w:val="FF6600"/>
              </w:rPr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91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Daň z príjmov – splatná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276 609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285 249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844 499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4111" w:leader="none"/>
              </w:tabs>
              <w:ind w:right="-105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                        </w:t>
            </w:r>
            <w:r>
              <w:rPr>
                <w:rFonts w:cs="Arial" w:ascii="Arial" w:hAnsi="Arial"/>
                <w:color w:val="000000"/>
              </w:rPr>
              <w:t>-odložená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12 831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97 400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9 323</w:t>
            </w:r>
          </w:p>
        </w:tc>
      </w:tr>
      <w:tr>
        <w:trPr>
          <w:trHeight w:val="255" w:hRule="atLeast"/>
        </w:trPr>
        <w:tc>
          <w:tcPr>
            <w:tcW w:w="4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bCs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</w:r>
          </w:p>
          <w:p>
            <w:pPr>
              <w:pStyle w:val="Normal"/>
              <w:ind w:right="-491" w:hanging="0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Výsledok hosp.za účt. obdobie</w:t>
            </w:r>
          </w:p>
        </w:tc>
        <w:tc>
          <w:tcPr>
            <w:tcW w:w="12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1 035 167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1 490 657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tabs>
                <w:tab w:val="left" w:pos="1208" w:leader="none"/>
              </w:tabs>
              <w:ind w:right="48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3 191 974</w:t>
            </w:r>
          </w:p>
        </w:tc>
      </w:tr>
    </w:tbl>
    <w:p>
      <w:pPr>
        <w:pStyle w:val="Normal"/>
        <w:tabs>
          <w:tab w:val="left" w:pos="709" w:leader="none"/>
          <w:tab w:val="left" w:pos="1418" w:leader="none"/>
          <w:tab w:val="left" w:pos="2977" w:leader="none"/>
          <w:tab w:val="left" w:pos="9072" w:leader="none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31.12.2019, 2018, 2017</w:t>
      </w:r>
    </w:p>
    <w:p>
      <w:pPr>
        <w:pStyle w:val="Normal"/>
        <w:tabs>
          <w:tab w:val="left" w:pos="709" w:leader="none"/>
          <w:tab w:val="left" w:pos="2977" w:leader="none"/>
        </w:tabs>
        <w:ind w:left="426" w:right="283" w:firstLine="141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p>
      <w:pPr>
        <w:pStyle w:val="Normal"/>
        <w:tabs>
          <w:tab w:val="left" w:pos="709" w:leader="none"/>
          <w:tab w:val="left" w:pos="2977" w:leader="none"/>
        </w:tabs>
        <w:jc w:val="right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</w:r>
    </w:p>
    <w:tbl>
      <w:tblPr>
        <w:tblW w:w="8068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135"/>
        <w:gridCol w:w="1394"/>
        <w:gridCol w:w="1276"/>
        <w:gridCol w:w="1262"/>
      </w:tblGrid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3" w:hanging="0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1062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Neobežný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12 628 716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11 350 590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10 363 392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nehmotný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-24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hmotný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9 394 161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8 201 591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7 440 651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Pozemky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846 693</w:t>
            </w:r>
          </w:p>
        </w:tc>
      </w:tr>
      <w:tr>
        <w:trPr>
          <w:trHeight w:val="6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Stavby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2 632 108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2 912 510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3 191 199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3 384 989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2 889 122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2 730 842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Obstarávaný dlhod. hm.majetok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2 530 371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1 553 266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671 917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Dlhodobý finančný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3 234 555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3 148 999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2 922 741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Podiely v prepojených účt. jednotkách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3 234 555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3 148 999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2 922 741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69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Obežný majetok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16 777 174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18 239 666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15 081 198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Zásoby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2 237 939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3 700 666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1 065 167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Materiál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2 150 571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3 613 298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977 799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Tovar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87 368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Cs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Odložená daňová pohľadávka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10 002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9 205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112 405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4 094 064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5 098 916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5 052 527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4 072 219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4 530 518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5 050 651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9 380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5 489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9 288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559 432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3 177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3 477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1 876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Finančné účty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10 435 169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9 430 879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8 851 099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Peniaze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9 445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8 792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7 135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10 425 724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9 422 087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8 843 964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13 467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10 866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10 799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13 467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10 866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10 799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 Príjmy budúcich období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MAJETOK CELKOM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29 419 357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29 601 122</w:t>
            </w:r>
          </w:p>
        </w:tc>
        <w:tc>
          <w:tcPr>
            <w:tcW w:w="1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5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25 455 389</w:t>
            </w:r>
          </w:p>
        </w:tc>
      </w:tr>
    </w:tbl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bookmarkStart w:id="0" w:name="_GoBack"/>
      <w:bookmarkStart w:id="1" w:name="_GoBack"/>
      <w:bookmarkEnd w:id="1"/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BILANCIA K 31.12.2019, 2018, 2017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  <w:tab w:val="left" w:pos="7797" w:leader="none"/>
        </w:tabs>
        <w:ind w:right="283" w:firstLine="567"/>
        <w:jc w:val="both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</w:t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tbl>
      <w:tblPr>
        <w:tblW w:w="7680" w:type="dxa"/>
        <w:jc w:val="left"/>
        <w:tblInd w:w="56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15" w:type="dxa"/>
          <w:left w:w="15" w:type="dxa"/>
          <w:bottom w:w="15" w:type="dxa"/>
          <w:right w:w="15" w:type="dxa"/>
        </w:tblCellMar>
        <w:tblLook w:firstRow="0" w:noVBand="0" w:lastRow="0" w:firstColumn="0" w:lastColumn="0" w:noHBand="0" w:val="0000"/>
      </w:tblPr>
      <w:tblGrid>
        <w:gridCol w:w="4058"/>
        <w:gridCol w:w="1218"/>
        <w:gridCol w:w="1173"/>
        <w:gridCol w:w="1230"/>
      </w:tblGrid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26" w:hanging="0"/>
              <w:jc w:val="center"/>
              <w:rPr>
                <w:rFonts w:ascii="Arial" w:hAnsi="Arial" w:cs="Arial"/>
                <w:b/>
                <w:b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color w:val="000000"/>
                <w:u w:val="single"/>
              </w:rPr>
              <w:t>31 12.2018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31.12.2017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bCs/>
                <w:color w:val="000000"/>
                <w:u w:val="single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left="248" w:hanging="531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127" w:hanging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8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Vlastné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10 086 537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10 034 174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9 375 829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Základné imanie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25 000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Fondy zo zisku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1 660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Oceňovacie rozdiely z prec. majetku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2 225 334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2 139 778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1 913 520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hosp.min.rokov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6 799 376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6 377 079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4 243 675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Výsledok hosp.za účtovné obdobie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1 035 167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1 490 657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3 191 974</w:t>
            </w:r>
          </w:p>
        </w:tc>
      </w:tr>
      <w:tr>
        <w:trPr>
          <w:trHeight w:val="566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b/>
                <w:bCs/>
                <w:color w:val="008000"/>
              </w:rPr>
              <w:t>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19 332 820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19 566 948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bottom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16 079 560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13 019 053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12 004 846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11 136 474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Ost. záv. voči prepojeným úč. jednotkám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12 986 519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11 986 519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10 986 519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126 614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soc.fondu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15 295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14 717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13 931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Odložený daňový záväzok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17 239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3 610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9 410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Dlhodobé bankové úvery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619 084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910 508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500 005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Krátkodobé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3 579 215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6 061 920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4 427 133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3 316 470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5 700 609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3 563 577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iCs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2 434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16 762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16 132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15 712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Záväzky zo soc.zabezpečenia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20 207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20 697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19 851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178 353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162 783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657 513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Iné záväzky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47 423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161 699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168 046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Cs/>
                <w:color w:val="000000"/>
              </w:rPr>
              <w:t>Krátkodobé rezervy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19 903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15 419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15 948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 xml:space="preserve">Bežné bankové úvery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2 095 565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574 255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Časové rozlíšenie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008000"/>
              </w:rPr>
            </w:pPr>
            <w:r>
              <w:rPr>
                <w:rFonts w:cs="Arial" w:ascii="Arial" w:hAnsi="Arial"/>
                <w:b/>
                <w:color w:val="008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i/>
                <w:iCs/>
                <w:color w:val="000000"/>
              </w:rPr>
              <w:t>- Výnosy budúcich období krátkod.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  <w:t>-</w:t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000000"/>
              </w:rPr>
            </w:pPr>
            <w:r>
              <w:rPr>
                <w:rFonts w:cs="Arial" w:ascii="Arial" w:hAnsi="Arial"/>
                <w:color w:val="000000"/>
              </w:rPr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i/>
                <w:i/>
                <w:color w:val="000000"/>
              </w:rPr>
            </w:pPr>
            <w:r>
              <w:rPr>
                <w:rFonts w:cs="Arial" w:ascii="Arial" w:hAnsi="Arial"/>
                <w:i/>
                <w:color w:val="000000"/>
              </w:rPr>
            </w:r>
          </w:p>
        </w:tc>
      </w:tr>
      <w:tr>
        <w:trPr>
          <w:trHeight w:val="255" w:hRule="atLeast"/>
        </w:trPr>
        <w:tc>
          <w:tcPr>
            <w:tcW w:w="4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rPr>
                <w:rFonts w:ascii="Arial" w:hAnsi="Arial" w:cs="Arial"/>
                <w:color w:val="FF0000"/>
              </w:rPr>
            </w:pPr>
            <w:r>
              <w:rPr>
                <w:rFonts w:cs="Arial" w:ascii="Arial" w:hAnsi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29 419 357</w:t>
            </w:r>
          </w:p>
        </w:tc>
        <w:tc>
          <w:tcPr>
            <w:tcW w:w="1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29 601 122</w:t>
            </w:r>
          </w:p>
        </w:tc>
        <w:tc>
          <w:tcPr>
            <w:tcW w:w="12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ind w:right="87" w:hanging="0"/>
              <w:jc w:val="right"/>
              <w:rPr>
                <w:rFonts w:ascii="Arial" w:hAnsi="Arial" w:cs="Arial"/>
                <w:b/>
                <w:b/>
                <w:color w:val="FF0000"/>
              </w:rPr>
            </w:pPr>
            <w:r>
              <w:rPr>
                <w:rFonts w:cs="Arial" w:ascii="Arial" w:hAnsi="Arial"/>
                <w:b/>
                <w:color w:val="FF0000"/>
              </w:rPr>
              <w:t>25 455 389</w:t>
            </w:r>
          </w:p>
        </w:tc>
      </w:tr>
    </w:tbl>
    <w:p>
      <w:pPr>
        <w:pStyle w:val="Normal"/>
        <w:tabs>
          <w:tab w:val="left" w:pos="709" w:leader="none"/>
          <w:tab w:val="left" w:pos="4678" w:leader="none"/>
          <w:tab w:val="left" w:pos="6379" w:leader="none"/>
          <w:tab w:val="left" w:pos="7655" w:leader="none"/>
        </w:tabs>
        <w:ind w:left="426" w:hanging="0"/>
        <w:jc w:val="right"/>
        <w:rPr/>
      </w:pPr>
      <w:r>
        <w:rPr/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4"/>
          <w:szCs w:val="24"/>
          <w:lang w:val="sk-SK"/>
        </w:rPr>
      </w:pPr>
      <w:r>
        <w:rPr>
          <w:rFonts w:eastAsia="MS Mincho" w:cs="Times New Roman" w:ascii="Times New Roman" w:hAnsi="Times New Roman"/>
          <w:b/>
          <w:bCs/>
          <w:sz w:val="24"/>
          <w:szCs w:val="24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firstLine="567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PlainText"/>
        <w:tabs>
          <w:tab w:val="left" w:pos="2700" w:leader="none"/>
        </w:tabs>
        <w:ind w:left="-270" w:right="85" w:hanging="0"/>
        <w:jc w:val="center"/>
        <w:rPr>
          <w:rFonts w:ascii="Times New Roman" w:hAnsi="Times New Roman" w:eastAsia="MS Mincho" w:cs="Times New Roman"/>
          <w:b/>
          <w:b/>
          <w:bCs/>
          <w:sz w:val="22"/>
          <w:szCs w:val="22"/>
          <w:lang w:val="sk-SK"/>
        </w:rPr>
      </w:pPr>
      <w:r>
        <w:rPr>
          <w:rFonts w:eastAsia="MS Mincho" w:cs="Times New Roman" w:ascii="Times New Roman" w:hAnsi="Times New Roman"/>
          <w:b/>
          <w:bCs/>
          <w:sz w:val="22"/>
          <w:szCs w:val="22"/>
          <w:lang w:val="sk-SK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tabs>
          <w:tab w:val="left" w:pos="709" w:leader="none"/>
          <w:tab w:val="left" w:pos="2977" w:leader="none"/>
        </w:tabs>
        <w:ind w:right="283" w:hanging="0"/>
        <w:rPr>
          <w:rFonts w:ascii="Times New Roman" w:hAnsi="Times New Roman"/>
          <w:b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</w:r>
    </w:p>
    <w:p>
      <w:pPr>
        <w:pStyle w:val="Normal"/>
        <w:pBdr/>
        <w:tabs>
          <w:tab w:val="left" w:pos="709" w:leader="none"/>
          <w:tab w:val="left" w:pos="2977" w:leader="none"/>
        </w:tabs>
        <w:ind w:right="283" w:hanging="0"/>
        <w:rPr/>
      </w:pPr>
      <w:r>
        <w:rPr/>
      </w:r>
    </w:p>
    <w:sectPr>
      <w:headerReference w:type="default" r:id="rId5"/>
      <w:footerReference w:type="default" r:id="rId6"/>
      <w:type w:val="nextPage"/>
      <w:pgSz w:w="11906" w:h="16838"/>
      <w:pgMar w:left="1418" w:right="1134" w:header="709" w:top="1134" w:footer="709" w:bottom="1418" w:gutter="0"/>
      <w:pgNumType w:fmt="decimal"/>
      <w:formProt w:val="false"/>
      <w:titlePg/>
      <w:textDirection w:val="lrTb"/>
      <w:docGrid w:type="default" w:linePitch="240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ms Rmn">
    <w:altName w:val="Times New Roman"/>
    <w:charset w:val="ee"/>
    <w:family w:val="roman"/>
    <w:pitch w:val="variable"/>
  </w:font>
  <w:font w:name="MS Serif">
    <w:charset w:val="ee"/>
    <w:family w:val="roman"/>
    <w:pitch w:val="variable"/>
  </w:font>
  <w:font w:name="Helv">
    <w:altName w:val="Arial"/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Courier Ne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>
        <w:sz w:val="24"/>
      </w:rPr>
    </w:pPr>
    <w:r>
      <w:rPr>
        <w:sz w:val="24"/>
      </w:rPr>
    </w:r>
    <w:r>
      <mc:AlternateContent>
        <mc:Choice Requires="wps">
          <w:drawing>
            <wp:anchor behindDoc="0" distT="0" distB="0" distL="0" distR="0" simplePos="0" locked="0" layoutInCell="1" allowOverlap="1" relativeHeight="13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5761355" cy="290830"/>
              <wp:effectExtent l="0" t="0" r="0" b="0"/>
              <wp:wrapSquare wrapText="largest"/>
              <wp:docPr id="4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1355" cy="29083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/>
                          </w:pPr>
                          <w:r>
                            <w:rPr/>
                            <w:tab/>
                            <w:t xml:space="preserve">- </w:t>
                          </w:r>
                          <w:r>
                            <w:rPr/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  <w:r>
                            <w:rPr/>
                            <w:t xml:space="preserve"> -</w:t>
                            <w:tab/>
                            <w:t xml:space="preserve"> </w:t>
                          </w:r>
                        </w:p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53.65pt;height:22.9pt;mso-wrap-distance-left:0pt;mso-wrap-distance-right:0pt;mso-wrap-distance-top:0pt;mso-wrap-distance-bottom:0pt;margin-top:0.05pt;mso-position-vertical-relative:text;margin-left:7.05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/>
                    </w:pPr>
                    <w:r>
                      <w:rPr/>
                      <w:tab/>
                      <w:t xml:space="preserve">- </w:t>
                    </w:r>
                    <w:r>
                      <w:rPr/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  <w:r>
                      <w:rPr/>
                      <w:t xml:space="preserve"> -</w:t>
                      <w:tab/>
                      <w:t xml:space="preserve"> </w:t>
                    </w:r>
                  </w:p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/>
                    </w:r>
                  </w:p>
                </w:txbxContent>
              </v:textbox>
              <w10:wrap type="square" side="largest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00"/>
  <w:defaultTabStop w:val="72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en-US" w:eastAsia="zh-CN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ms Rmn" w:hAnsi="Tms Rmn" w:eastAsia="Times New Roman" w:cs="Times New Roman"/>
        <w:lang w:val="en-US" w:eastAsia="zh-CN" w:bidi="ar-SA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pPr>
      <w:widowControl/>
      <w:bidi w:val="0"/>
      <w:jc w:val="left"/>
    </w:pPr>
    <w:rPr>
      <w:rFonts w:ascii="MS Serif" w:hAnsi="MS Serif" w:eastAsia="Times New Roman" w:cs="Times New Roman"/>
      <w:color w:val="auto"/>
      <w:sz w:val="20"/>
      <w:szCs w:val="20"/>
      <w:lang w:val="sk-SK" w:eastAsia="cs-CZ" w:bidi="ar-SA"/>
    </w:rPr>
  </w:style>
  <w:style w:type="paragraph" w:styleId="Nadpis1">
    <w:name w:val="Heading 1"/>
    <w:basedOn w:val="Normal"/>
    <w:qFormat/>
    <w:pPr>
      <w:spacing w:before="240" w:after="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al"/>
    <w:qFormat/>
    <w:pPr>
      <w:spacing w:before="120" w:after="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al"/>
    <w:qFormat/>
    <w:pPr>
      <w:ind w:left="354" w:hanging="0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al"/>
    <w:qFormat/>
    <w:pPr>
      <w:ind w:left="354" w:hanging="0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al"/>
    <w:qFormat/>
    <w:pPr>
      <w:ind w:left="708" w:hanging="0"/>
      <w:outlineLvl w:val="4"/>
    </w:pPr>
    <w:rPr>
      <w:rFonts w:ascii="Tms Rmn" w:hAnsi="Tms Rmn"/>
      <w:b/>
      <w:bCs/>
    </w:rPr>
  </w:style>
  <w:style w:type="paragraph" w:styleId="Nadpis6">
    <w:name w:val="Heading 6"/>
    <w:basedOn w:val="Normal"/>
    <w:qFormat/>
    <w:pPr>
      <w:ind w:left="708" w:hanging="0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al"/>
    <w:qFormat/>
    <w:pPr>
      <w:ind w:left="708" w:hanging="0"/>
      <w:outlineLvl w:val="6"/>
    </w:pPr>
    <w:rPr>
      <w:rFonts w:ascii="Tms Rmn" w:hAnsi="Tms Rmn"/>
      <w:i/>
      <w:iCs/>
    </w:rPr>
  </w:style>
  <w:style w:type="paragraph" w:styleId="Nadpis8">
    <w:name w:val="Heading 8"/>
    <w:basedOn w:val="Normal"/>
    <w:qFormat/>
    <w:pPr>
      <w:ind w:left="708" w:hanging="0"/>
      <w:outlineLvl w:val="7"/>
    </w:pPr>
    <w:rPr>
      <w:rFonts w:ascii="Tms Rmn" w:hAnsi="Tms Rmn"/>
      <w:i/>
      <w:iCs/>
    </w:rPr>
  </w:style>
  <w:style w:type="paragraph" w:styleId="Nadpis9">
    <w:name w:val="Heading 9"/>
    <w:basedOn w:val="Normal"/>
    <w:qFormat/>
    <w:pPr>
      <w:ind w:left="708" w:hanging="0"/>
      <w:outlineLvl w:val="8"/>
    </w:pPr>
    <w:rPr>
      <w:rFonts w:ascii="Tms Rmn" w:hAnsi="Tms Rm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Footnotereference">
    <w:name w:val="footnote reference"/>
    <w:semiHidden/>
    <w:qFormat/>
    <w:rPr>
      <w:sz w:val="16"/>
      <w:szCs w:val="16"/>
    </w:rPr>
  </w:style>
  <w:style w:type="character" w:styleId="Pagenumber">
    <w:name w:val="page number"/>
    <w:basedOn w:val="DefaultParagraphFont"/>
    <w:qFormat/>
    <w:rPr/>
  </w:style>
  <w:style w:type="character" w:styleId="TextbublinyChar" w:customStyle="1">
    <w:name w:val="Text bubliny Char"/>
    <w:link w:val="Textbubliny"/>
    <w:qFormat/>
    <w:rsid w:val="00a20618"/>
    <w:rPr>
      <w:rFonts w:ascii="Segoe UI" w:hAnsi="Segoe UI" w:cs="Segoe UI"/>
      <w:sz w:val="18"/>
      <w:szCs w:val="18"/>
      <w:lang w:eastAsia="cs-CZ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cc502b"/>
    <w:pPr>
      <w:spacing w:before="0" w:after="12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NormalIndent">
    <w:name w:val="Normal Indent"/>
    <w:basedOn w:val="Normal"/>
    <w:qFormat/>
    <w:pPr>
      <w:ind w:left="708" w:hanging="0"/>
    </w:pPr>
    <w:rPr/>
  </w:style>
  <w:style w:type="paragraph" w:styleId="Hlavika">
    <w:name w:val="Header"/>
    <w:basedOn w:val="Normal"/>
    <w:pPr>
      <w:tabs>
        <w:tab w:val="center" w:pos="4819" w:leader="none"/>
        <w:tab w:val="right" w:pos="9071" w:leader="none"/>
      </w:tabs>
    </w:pPr>
    <w:rPr/>
  </w:style>
  <w:style w:type="paragraph" w:styleId="Footnotetext">
    <w:name w:val="footnote text"/>
    <w:basedOn w:val="Normal"/>
    <w:semiHidden/>
    <w:qFormat/>
    <w:pPr/>
    <w:rPr/>
  </w:style>
  <w:style w:type="paragraph" w:styleId="Odsadenietelatextu">
    <w:name w:val="Body Text Indent"/>
    <w:basedOn w:val="Normal"/>
    <w:pPr>
      <w:tabs>
        <w:tab w:val="left" w:pos="709" w:leader="none"/>
        <w:tab w:val="left" w:pos="2977" w:leader="none"/>
        <w:tab w:val="left" w:pos="4962" w:leader="none"/>
        <w:tab w:val="left" w:pos="6663" w:leader="none"/>
        <w:tab w:val="left" w:pos="8222" w:leader="none"/>
      </w:tabs>
      <w:ind w:left="426" w:hanging="0"/>
      <w:jc w:val="both"/>
    </w:pPr>
    <w:rPr>
      <w:rFonts w:ascii="Times New Roman" w:hAnsi="Times New Roman"/>
      <w:sz w:val="26"/>
      <w:szCs w:val="26"/>
    </w:rPr>
  </w:style>
  <w:style w:type="paragraph" w:styleId="BodyTextIndent2">
    <w:name w:val="Body Text Indent 2"/>
    <w:basedOn w:val="Normal"/>
    <w:qFormat/>
    <w:pPr>
      <w:tabs>
        <w:tab w:val="left" w:pos="2127" w:leader="none"/>
        <w:tab w:val="left" w:pos="3686" w:leader="none"/>
        <w:tab w:val="left" w:pos="5387" w:leader="none"/>
        <w:tab w:val="left" w:pos="6804" w:leader="none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lainText">
    <w:name w:val="Plain Text"/>
    <w:basedOn w:val="Normal"/>
    <w:qFormat/>
    <w:rsid w:val="00af55b5"/>
    <w:pPr/>
    <w:rPr>
      <w:rFonts w:ascii="Courier New" w:hAnsi="Courier New" w:cs="Courier New"/>
      <w:lang w:val="cs-CZ"/>
    </w:rPr>
  </w:style>
  <w:style w:type="paragraph" w:styleId="BalloonText">
    <w:name w:val="Balloon Text"/>
    <w:basedOn w:val="Normal"/>
    <w:link w:val="TextbublinyChar"/>
    <w:qFormat/>
    <w:rsid w:val="00a20618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chart" Target="charts/chart1.xml"/><Relationship Id="rId3" Type="http://schemas.openxmlformats.org/officeDocument/2006/relationships/chart" Target="charts/chart2.xml"/><Relationship Id="rId4" Type="http://schemas.openxmlformats.org/officeDocument/2006/relationships/chart" Target="charts/chart3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charts/_rels/chart1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.xlsx"/>
</Relationships>
</file>

<file path=word/charts/_rels/chart2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2.xlsx"/>
</Relationships>
</file>

<file path=word/charts/_rels/chart3.xml.rels><?xml version="1.0" encoding="UTF-8"?>
<Relationships xmlns="http://schemas.openxmlformats.org/package/2006/relationships"><Relationship Id="rId1" Type="http://schemas.openxmlformats.org/officeDocument/2006/relationships/package" Target="../embeddings/Microsoft_Excel_Worksheet3.xlsx"/>
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22227523</c:v>
                </c:pt>
                <c:pt idx="1">
                  <c:v>20632397</c:v>
                </c:pt>
                <c:pt idx="2">
                  <c:v>20822112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5714523</c:v>
                </c:pt>
                <c:pt idx="1">
                  <c:v>3195372</c:v>
                </c:pt>
                <c:pt idx="2">
                  <c:v>3217654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3191974</c:v>
                </c:pt>
                <c:pt idx="1">
                  <c:v>1490657</c:v>
                </c:pt>
                <c:pt idx="2">
                  <c:v>1035167</c:v>
                </c:pt>
              </c:numCache>
            </c:numRef>
          </c:val>
        </c:ser>
        <c:gapWidth val="50"/>
        <c:overlap val="30"/>
        <c:axId val="49712230"/>
        <c:axId val="77252983"/>
      </c:barChart>
      <c:catAx>
        <c:axId val="49712230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77252983"/>
        <c:crosses val="autoZero"/>
        <c:auto val="1"/>
        <c:lblAlgn val="ctr"/>
        <c:lblOffset val="100"/>
      </c:catAx>
      <c:valAx>
        <c:axId val="77252983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7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49712230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30925"/>
          <c:y val="0.343777777777778"/>
        </c:manualLayout>
      </c:layout>
      <c:spPr>
        <a:noFill/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stack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0</c:f>
              <c:numCache>
                <c:formatCode>General</c:formatCode>
                <c:ptCount val="3"/>
                <c:pt idx="0">
                  <c:v>10363392</c:v>
                </c:pt>
                <c:pt idx="1">
                  <c:v>11350590</c:v>
                </c:pt>
                <c:pt idx="2">
                  <c:v>12628716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1</c:f>
              <c:numCache>
                <c:formatCode>General</c:formatCode>
                <c:ptCount val="3"/>
                <c:pt idx="0">
                  <c:v>15081198</c:v>
                </c:pt>
                <c:pt idx="1">
                  <c:v>18239666</c:v>
                </c:pt>
                <c:pt idx="2">
                  <c:v>16777174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ctr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3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</c:strCache>
            </c:strRef>
          </c:cat>
          <c:val>
            <c:numRef>
              <c:f>2</c:f>
              <c:numCache>
                <c:formatCode>General</c:formatCode>
                <c:ptCount val="3"/>
                <c:pt idx="0">
                  <c:v>10799</c:v>
                </c:pt>
                <c:pt idx="1">
                  <c:v>10866</c:v>
                </c:pt>
                <c:pt idx="2">
                  <c:v>13467</c:v>
                </c:pt>
              </c:numCache>
            </c:numRef>
          </c:val>
        </c:ser>
        <c:gapWidth val="50"/>
        <c:overlap val="100"/>
        <c:axId val="89719404"/>
        <c:axId val="90481886"/>
      </c:barChart>
      <c:catAx>
        <c:axId val="89719404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90481886"/>
        <c:crosses val="autoZero"/>
        <c:auto val="1"/>
        <c:lblAlgn val="ctr"/>
        <c:lblOffset val="100"/>
      </c:catAx>
      <c:valAx>
        <c:axId val="90481886"/>
        <c:scaling>
          <c:orientation val="minMax"/>
        </c:scaling>
        <c:delete val="0"/>
        <c:axPos val="l"/>
        <c:numFmt formatCode="\ [$€-41B]\ * #,##0\ ;\ [$€-41B]\ * \(#,##0\);\ [$€-41B]\ * &quot;- &quot;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5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89719404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06"/>
          <c:y val="0.390555555555556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en-US"/>
  <c:roundedCorners val="0"/>
  <c:chart>
    <c:plotArea>
      <c:barChart>
        <c:barDir val="col"/>
        <c:grouping val="clustered"/>
        <c:varyColors val="0"/>
        <c:ser>
          <c:idx val="0"/>
          <c:order val="0"/>
          <c:tx>
            <c:strRef>
              <c:f>label 0</c:f>
              <c:strCache>
                <c:ptCount val="1"/>
                <c:pt idx="0">
                  <c:v>Stav 1.1.2019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0</c:f>
              <c:numCache>
                <c:formatCode>General</c:formatCode>
                <c:ptCount val="1"/>
                <c:pt idx="0">
                  <c:v>9430879</c:v>
                </c:pt>
              </c:numCache>
            </c:numRef>
          </c:val>
        </c:ser>
        <c:ser>
          <c:idx val="1"/>
          <c:order val="1"/>
          <c:tx>
            <c:strRef>
              <c:f>label 1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1</c:f>
              <c:numCache>
                <c:formatCode>General</c:formatCode>
                <c:ptCount val="1"/>
                <c:pt idx="0">
                  <c:v>2416171</c:v>
                </c:pt>
              </c:numCache>
            </c:numRef>
          </c:val>
        </c:ser>
        <c:ser>
          <c:idx val="2"/>
          <c:order val="2"/>
          <c:tx>
            <c:strRef>
              <c:f>label 2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2</c:f>
              <c:numCache>
                <c:formatCode>General</c:formatCode>
                <c:ptCount val="1"/>
                <c:pt idx="0">
                  <c:v>-2420911</c:v>
                </c:pt>
              </c:numCache>
            </c:numRef>
          </c:val>
        </c:ser>
        <c:ser>
          <c:idx val="3"/>
          <c:order val="3"/>
          <c:tx>
            <c:strRef>
              <c:f>label 3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3</c:f>
              <c:numCache>
                <c:formatCode>General</c:formatCode>
                <c:ptCount val="1"/>
                <c:pt idx="0">
                  <c:v>1009030</c:v>
                </c:pt>
              </c:numCache>
            </c:numRef>
          </c:val>
        </c:ser>
        <c:ser>
          <c:idx val="4"/>
          <c:order val="4"/>
          <c:tx>
            <c:strRef>
              <c:f>label 4</c:f>
              <c:strCache>
                <c:ptCount val="1"/>
                <c:pt idx="0">
                  <c:v>Stav 31.12.2019</c:v>
                </c:pt>
              </c:strCache>
            </c:strRef>
          </c:tx>
          <c:spPr>
            <a:solidFill>
              <a:srgbClr val="ccccff"/>
            </a:solidFill>
            <a:ln w="12600">
              <a:solidFill>
                <a:srgbClr val="000000"/>
              </a:solidFill>
              <a:round/>
            </a:ln>
          </c:spPr>
          <c:invertIfNegative val="0"/>
          <c:dLbls>
            <c:dLblPos val="outEnd"/>
            <c:showLegendKey val="0"/>
            <c:showVal val="0"/>
            <c:showCatName val="0"/>
            <c:showSerName val="0"/>
            <c:showPercent val="0"/>
            <c:showLeaderLines val="0"/>
          </c:dLbls>
          <c:cat>
            <c:strRef>
              <c:f>categories</c:f>
              <c:strCache>
                <c:ptCount val="1"/>
                <c:pt idx="0">
                  <c:v/>
                </c:pt>
              </c:strCache>
            </c:strRef>
          </c:cat>
          <c:val>
            <c:numRef>
              <c:f>4</c:f>
              <c:numCache>
                <c:formatCode>General</c:formatCode>
                <c:ptCount val="1"/>
                <c:pt idx="0">
                  <c:v>10436169</c:v>
                </c:pt>
              </c:numCache>
            </c:numRef>
          </c:val>
        </c:ser>
        <c:gapWidth val="50"/>
        <c:overlap val="30"/>
        <c:axId val="54363477"/>
        <c:axId val="86514053"/>
      </c:barChart>
      <c:catAx>
        <c:axId val="54363477"/>
        <c:scaling>
          <c:orientation val="minMax"/>
        </c:scaling>
        <c:delete val="0"/>
        <c:axPos val="b"/>
        <c:numFmt formatCode="DD/MM/YYYY" sourceLinked="1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86514053"/>
        <c:crosses val="autoZero"/>
        <c:auto val="1"/>
        <c:lblAlgn val="ctr"/>
        <c:lblOffset val="100"/>
      </c:catAx>
      <c:valAx>
        <c:axId val="86514053"/>
        <c:scaling>
          <c:orientation val="minMax"/>
        </c:scaling>
        <c:delete val="0"/>
        <c:axPos val="l"/>
        <c:numFmt formatCode="\ [$€-41B]\ * #,##0.00\ ;\ [$€-41B]\ * \(#,##0.00\);\ [$€-41B]\ * \-#\ ;\ @\ " sourceLinked="0"/>
        <c:majorTickMark val="cross"/>
        <c:minorTickMark val="none"/>
        <c:tickLblPos val="nextTo"/>
        <c:spPr>
          <a:ln w="3240">
            <a:solidFill>
              <a:srgbClr val="000000"/>
            </a:solidFill>
            <a:round/>
          </a:ln>
        </c:spPr>
        <c:txPr>
          <a:bodyPr/>
          <a:p>
            <a:pPr>
              <a:defRPr b="1" sz="996" spc="-1" strike="noStrike">
                <a:solidFill>
                  <a:srgbClr val="000000"/>
                </a:solidFill>
                <a:uFill>
                  <a:solidFill>
                    <a:srgbClr val="ffffff"/>
                  </a:solidFill>
                </a:uFill>
                <a:latin typeface="Arial"/>
                <a:ea typeface="Arial"/>
              </a:defRPr>
            </a:pPr>
          </a:p>
        </c:txPr>
        <c:crossAx val="54363477"/>
        <c:crosses val="autoZero"/>
      </c:valAx>
      <c:spPr>
        <a:noFill/>
        <a:ln w="25200">
          <a:noFill/>
        </a:ln>
      </c:spPr>
    </c:plotArea>
    <c:legend>
      <c:layout>
        <c:manualLayout>
          <c:xMode val="edge"/>
          <c:yMode val="edge"/>
          <c:x val="0.4529375"/>
          <c:y val="0.0968888888888889"/>
        </c:manualLayout>
      </c:layout>
      <c:spPr>
        <a:solidFill>
          <a:srgbClr val="ffffff"/>
        </a:solidFill>
        <a:ln w="3240">
          <a:solidFill>
            <a:srgbClr val="000000"/>
          </a:solidFill>
          <a:round/>
        </a:ln>
      </c:spPr>
    </c:legend>
    <c:plotVisOnly val="1"/>
    <c:dispBlanksAs val="gap"/>
  </c:chart>
  <c:spPr>
    <a:noFill/>
    <a:ln>
      <a:noFill/>
    </a:ln>
  </c:spPr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DBCF9C-BD25-4625-8908-D1B459F4F6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Application>LibreOffice/5.3.3.2$Windows_X86_64 LibreOffice_project/3d9a8b4b4e538a85e0782bd6c2d430bafe583448</Application>
  <Pages>38</Pages>
  <Words>1923</Words>
  <Characters>8720</Characters>
  <CharactersWithSpaces>11571</CharactersWithSpaces>
  <Paragraphs>592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2020-04-27T10:05:00Z</dcterms:created>
  <dc:creator>Management Library</dc:creator>
  <dc:description/>
  <dc:language>sk-SK</dc:language>
  <cp:lastModifiedBy>Ing. Martin Šepeľák</cp:lastModifiedBy>
  <cp:lastPrinted>2020-11-02T18:49:00Z</cp:lastPrinted>
  <dcterms:modified xsi:type="dcterms:W3CDTF">2020-11-02T18:50:00Z</dcterms:modified>
  <cp:revision>24</cp:revision>
  <dc:subject/>
  <dc:title>PLYNROZ, akciová spoločnosť, Sobrance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MSIP_Label_17cb76b2-10b8-4fe1-93d4-2202842406cd_Application">
    <vt:lpwstr>Microsoft Azure Information Protection</vt:lpwstr>
  </property>
  <property fmtid="{D5CDD505-2E9C-101B-9397-08002B2CF9AE}" pid="7" name="MSIP_Label_17cb76b2-10b8-4fe1-93d4-2202842406cd_Enabled">
    <vt:lpwstr>True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MSIP_Label_17cb76b2-10b8-4fe1-93d4-2202842406cd_Name">
    <vt:lpwstr>External Public</vt:lpwstr>
  </property>
  <property fmtid="{D5CDD505-2E9C-101B-9397-08002B2CF9AE}" pid="10" name="MSIP_Label_17cb76b2-10b8-4fe1-93d4-2202842406cd_Owner">
    <vt:lpwstr>Martin_Sepelak@dell.com</vt:lpwstr>
  </property>
  <property fmtid="{D5CDD505-2E9C-101B-9397-08002B2CF9AE}" pid="11" name="MSIP_Label_17cb76b2-10b8-4fe1-93d4-2202842406cd_SetDate">
    <vt:lpwstr>2020-02-10T12:22:04.7235243Z</vt:lpwstr>
  </property>
  <property fmtid="{D5CDD505-2E9C-101B-9397-08002B2CF9AE}" pid="12" name="MSIP_Label_17cb76b2-10b8-4fe1-93d4-2202842406cd_SiteId">
    <vt:lpwstr>945c199a-83a2-4e80-9f8c-5a91be5752dd</vt:lpwstr>
  </property>
  <property fmtid="{D5CDD505-2E9C-101B-9397-08002B2CF9AE}" pid="13" name="ScaleCrop">
    <vt:bool>0</vt:bool>
  </property>
  <property fmtid="{D5CDD505-2E9C-101B-9397-08002B2CF9AE}" pid="14" name="ShareDoc">
    <vt:bool>0</vt:bool>
  </property>
  <property fmtid="{D5CDD505-2E9C-101B-9397-08002B2CF9AE}" pid="15" name="aiplabel">
    <vt:lpwstr>External Public</vt:lpwstr>
  </property>
</Properties>
</file>