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3F7" w:rsidRDefault="00D633F7" w:rsidP="00D633F7">
      <w:pPr>
        <w:pStyle w:val="Vchodzie"/>
        <w:pBdr>
          <w:top w:val="single" w:sz="4" w:space="0" w:color="00000A"/>
          <w:left w:val="single" w:sz="4" w:space="0" w:color="00000A"/>
          <w:bottom w:val="single" w:sz="4" w:space="25" w:color="00000A"/>
          <w:right w:val="single" w:sz="4" w:space="0" w:color="00000A"/>
        </w:pBdr>
        <w:tabs>
          <w:tab w:val="center" w:pos="4323"/>
          <w:tab w:val="left" w:pos="6237"/>
          <w:tab w:val="right" w:pos="8363"/>
        </w:tabs>
        <w:spacing w:after="120"/>
        <w:ind w:left="-142" w:right="142"/>
        <w:jc w:val="center"/>
      </w:pPr>
      <w:r>
        <w:rPr>
          <w:b/>
        </w:rPr>
        <w:t>POZNÁMKY K ÚČTOVNEJ ZÁVIERKE  ZOSTAVENEJ K 31. decembru 201</w:t>
      </w:r>
      <w:r w:rsidR="00DC3ED0">
        <w:rPr>
          <w:b/>
        </w:rPr>
        <w:t>9</w:t>
      </w:r>
    </w:p>
    <w:p w:rsidR="00D633F7" w:rsidRDefault="00D633F7" w:rsidP="00D633F7">
      <w:pPr>
        <w:pStyle w:val="Vchodzie"/>
        <w:tabs>
          <w:tab w:val="left" w:pos="3375"/>
        </w:tabs>
        <w:jc w:val="both"/>
      </w:pPr>
      <w:r>
        <w:rPr>
          <w:rFonts w:ascii="Calibri" w:hAnsi="Calibri"/>
          <w:sz w:val="20"/>
        </w:rPr>
        <w:tab/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Odsekzoznamu"/>
        <w:ind w:left="0"/>
        <w:rPr>
          <w:color w:val="auto"/>
        </w:rPr>
      </w:pPr>
      <w:r w:rsidRPr="00B76474">
        <w:rPr>
          <w:rFonts w:cs="Calibri"/>
          <w:bCs/>
          <w:color w:val="auto"/>
          <w:sz w:val="20"/>
          <w:szCs w:val="20"/>
        </w:rPr>
        <w:t>a) Základné informácie o účtovnej jednotke:</w:t>
      </w:r>
    </w:p>
    <w:tbl>
      <w:tblPr>
        <w:tblW w:w="0" w:type="auto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/>
      </w:tblPr>
      <w:tblGrid>
        <w:gridCol w:w="2770"/>
        <w:gridCol w:w="6499"/>
      </w:tblGrid>
      <w:tr w:rsidR="00D633F7" w:rsidRPr="00B76474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Obchodné meno: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 xml:space="preserve">LEMIR </w:t>
            </w:r>
            <w:proofErr w:type="spellStart"/>
            <w:r>
              <w:rPr>
                <w:rFonts w:ascii="Calibri" w:hAnsi="Calibri"/>
                <w:color w:val="auto"/>
                <w:sz w:val="20"/>
                <w:szCs w:val="20"/>
              </w:rPr>
              <w:t>Design</w:t>
            </w:r>
            <w:proofErr w:type="spellEnd"/>
            <w:r>
              <w:rPr>
                <w:rFonts w:ascii="Calibri" w:hAnsi="Calibri"/>
                <w:color w:val="auto"/>
                <w:sz w:val="20"/>
                <w:szCs w:val="20"/>
              </w:rPr>
              <w:t>, s.r.o.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</w:p>
        </w:tc>
      </w:tr>
      <w:tr w:rsidR="00D633F7" w:rsidRPr="00B76474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Sídlo: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3512FF" w:rsidRDefault="00D633F7" w:rsidP="0015223F">
            <w:pPr>
              <w:pStyle w:val="Vchodzie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Dvorská cesta 23</w:t>
            </w:r>
            <w:r>
              <w:rPr>
                <w:color w:val="auto"/>
                <w:sz w:val="16"/>
                <w:szCs w:val="16"/>
              </w:rPr>
              <w:t>, 940 02 Nové Zámky</w:t>
            </w:r>
          </w:p>
        </w:tc>
      </w:tr>
      <w:tr w:rsidR="00D633F7" w:rsidRPr="00B76474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založenia: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vzniku: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:rsidTr="0015223F">
        <w:trPr>
          <w:trHeight w:val="336"/>
        </w:trPr>
        <w:tc>
          <w:tcPr>
            <w:tcW w:w="27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Subjekt verejného záujmu:</w:t>
            </w:r>
          </w:p>
        </w:tc>
        <w:tc>
          <w:tcPr>
            <w:tcW w:w="6499" w:type="dxa"/>
            <w:tcBorders>
              <w:top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 xml:space="preserve">Spoločnosť nie je subjektom verejného záujmu (§ 2/14 </w:t>
            </w:r>
            <w:proofErr w:type="spellStart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ZoU</w:t>
            </w:r>
            <w:proofErr w:type="spellEnd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).</w:t>
            </w:r>
          </w:p>
        </w:tc>
      </w:tr>
    </w:tbl>
    <w:p w:rsidR="00D633F7" w:rsidRPr="00B76474" w:rsidRDefault="00D633F7" w:rsidP="00D633F7">
      <w:pPr>
        <w:pStyle w:val="Odsekzoznamu"/>
        <w:rPr>
          <w:color w:val="auto"/>
        </w:rPr>
      </w:pPr>
    </w:p>
    <w:p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 w:rsidRPr="00B76474">
        <w:rPr>
          <w:color w:val="auto"/>
          <w:sz w:val="20"/>
          <w:szCs w:val="20"/>
        </w:rPr>
        <w:t xml:space="preserve">b) </w:t>
      </w:r>
      <w:r w:rsidRPr="00B76474">
        <w:rPr>
          <w:rFonts w:cs="ArialNarrow"/>
          <w:color w:val="auto"/>
          <w:sz w:val="20"/>
          <w:szCs w:val="20"/>
        </w:rPr>
        <w:t>Opis hospodárskej činnosti účtovnej jednotky:</w:t>
      </w:r>
    </w:p>
    <w:p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Kúpa tovaru za účelom jeho predaja konečnému spotrebiteľovi /maloobchod/ alebo iným prevádzkovateľom živnosti / veľkoobchod/</w:t>
      </w:r>
    </w:p>
    <w:p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Textilná výroba</w:t>
      </w:r>
    </w:p>
    <w:p w:rsidR="00D633F7" w:rsidRPr="00B76474" w:rsidRDefault="00D633F7" w:rsidP="00D633F7">
      <w:pPr>
        <w:pStyle w:val="Odsekzoznamu"/>
        <w:spacing w:after="0" w:line="100" w:lineRule="atLeast"/>
        <w:ind w:left="0"/>
        <w:jc w:val="both"/>
        <w:rPr>
          <w:color w:val="auto"/>
        </w:rPr>
      </w:pPr>
      <w:r>
        <w:rPr>
          <w:rFonts w:cs="ArialNarrow"/>
          <w:color w:val="auto"/>
          <w:sz w:val="20"/>
          <w:szCs w:val="20"/>
        </w:rPr>
        <w:t>Úprava bytových doplnkov všetkého druhu z textilných materiálov</w:t>
      </w:r>
    </w:p>
    <w:p w:rsidR="00D633F7" w:rsidRPr="00B76474" w:rsidRDefault="00D633F7" w:rsidP="00D633F7">
      <w:pPr>
        <w:pStyle w:val="Vchodzie"/>
        <w:widowControl w:val="0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Schválenie účtovnej závierky za predchádzajúce obdobie</w:t>
      </w:r>
    </w:p>
    <w:p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:rsidR="00D633F7" w:rsidRPr="00B76474" w:rsidRDefault="00D633F7" w:rsidP="00D633F7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B76474">
        <w:rPr>
          <w:rFonts w:eastAsia="Times New Roman" w:cstheme="minorHAnsi"/>
          <w:sz w:val="20"/>
          <w:szCs w:val="20"/>
        </w:rPr>
        <w:t>Účtovná závierka za bezprostredne predchádzajúce účtovné obdobie bola schválená dňa 2</w:t>
      </w:r>
      <w:r>
        <w:rPr>
          <w:rFonts w:eastAsia="Times New Roman" w:cstheme="minorHAnsi"/>
          <w:sz w:val="20"/>
          <w:szCs w:val="20"/>
        </w:rPr>
        <w:t>5</w:t>
      </w:r>
      <w:r w:rsidRPr="00B76474">
        <w:rPr>
          <w:rFonts w:eastAsia="Times New Roman" w:cstheme="minorHAnsi"/>
          <w:sz w:val="20"/>
          <w:szCs w:val="20"/>
        </w:rPr>
        <w:t xml:space="preserve">. </w:t>
      </w:r>
      <w:r>
        <w:rPr>
          <w:rFonts w:eastAsia="Times New Roman" w:cstheme="minorHAnsi"/>
          <w:sz w:val="20"/>
          <w:szCs w:val="20"/>
        </w:rPr>
        <w:t>júna</w:t>
      </w:r>
      <w:r w:rsidRPr="00B76474">
        <w:rPr>
          <w:rFonts w:eastAsia="Times New Roman" w:cstheme="minorHAnsi"/>
          <w:sz w:val="20"/>
          <w:szCs w:val="20"/>
        </w:rPr>
        <w:t xml:space="preserve">  201</w:t>
      </w:r>
      <w:r w:rsidR="00DC3ED0">
        <w:rPr>
          <w:rFonts w:eastAsia="Times New Roman" w:cstheme="minorHAnsi"/>
          <w:sz w:val="20"/>
          <w:szCs w:val="20"/>
        </w:rPr>
        <w:t>9</w:t>
      </w:r>
      <w:r w:rsidRPr="00B76474">
        <w:rPr>
          <w:rFonts w:eastAsia="Times New Roman" w:cstheme="minorHAnsi"/>
          <w:sz w:val="20"/>
          <w:szCs w:val="20"/>
        </w:rPr>
        <w:t>.</w:t>
      </w:r>
    </w:p>
    <w:p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(3) Právny dôvod na zostavenie účtovnej závierky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Účtovná závierka k 31.12.201</w:t>
      </w:r>
      <w:r w:rsidR="00DC3ED0"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je zostavená ako riadna účtovná závierka podľa § 17 ods. 6 zákona NR SR č. 431/2002 Z. z. o účtovníctve, za účtovné obdobie od 1.januára 201</w:t>
      </w:r>
      <w:r w:rsidR="00D862D2"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do 31. decembra 201</w:t>
      </w:r>
      <w:r w:rsidR="00D862D2"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>,  k poslednému dňu kalendárneho roka 201</w:t>
      </w:r>
      <w:r w:rsidR="00DC3ED0"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. 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Údaje o skupine účtovných jednotiek, a to: 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eastAsia="Times New Roman" w:hAnsi="Calibri" w:cs="Times New Roman"/>
          <w:color w:val="auto"/>
          <w:sz w:val="20"/>
          <w:szCs w:val="20"/>
        </w:rPr>
        <w:t>Účtovná jednotka nie je súčasťou konsolidovaného celku a účtovná jednotka nie je materskou účtovnou jednotkou.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(5) Informácia o počte zamestnancov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/>
      </w:tblPr>
      <w:tblGrid>
        <w:gridCol w:w="3949"/>
        <w:gridCol w:w="2952"/>
        <w:gridCol w:w="2728"/>
      </w:tblGrid>
      <w:tr w:rsidR="00D633F7" w:rsidRPr="00B76474" w:rsidTr="00DC3ED0">
        <w:trPr>
          <w:trHeight w:val="928"/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:rsidTr="0015223F">
        <w:trPr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D30A0F" w:rsidRDefault="00D633F7" w:rsidP="0015223F">
            <w:pPr>
              <w:pStyle w:val="Vchodzie"/>
              <w:spacing w:line="360" w:lineRule="auto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6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C3ED0" w:rsidP="0015223F">
            <w:pPr>
              <w:pStyle w:val="Vchodzie"/>
              <w:spacing w:line="360" w:lineRule="auto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6</w:t>
            </w:r>
          </w:p>
        </w:tc>
      </w:tr>
    </w:tbl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Informácie o orgánoch účtovnej jednotky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:rsidR="00D633F7" w:rsidRPr="00B76474" w:rsidRDefault="00D633F7" w:rsidP="00D633F7">
      <w:pPr>
        <w:pStyle w:val="Vchodzie"/>
        <w:jc w:val="both"/>
        <w:rPr>
          <w:rFonts w:ascii="Calibri" w:hAnsi="Calibri"/>
          <w:bCs/>
          <w:color w:val="auto"/>
          <w:sz w:val="20"/>
          <w:szCs w:val="20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orgánu ani im neboli poskytnuté žiadne pôžičky alebo záruky.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 xml:space="preserve">  Informácie o prijatých postupoch</w:t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(1) Účtovná závierka spoločnosti bola zostavená za predpokladu nepretržitého trvania jej činnosti v súlade so zákonom o účtovníctve platným v Slovenskej republike a nadväzujúcimi postupmi účtovania.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Peňažné údaje v účtovnej závierke sú uvedené v celých EUR.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metódy a všeobecné účtovné zásady spoločnosť aplikovala konzistentne s predchádzajúcim účtovným obdobím.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(3) Informácia o ocenení majetku a záväzkov 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1. Dlhodobý nehmotný a dlhodobý hmotný majetok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Dlhodobý nehmotný a dlhodobý hmotný majetok sa odpisuje podľa odpisového plánu, ktorý bol zostavený na základe predpokladanej doby jeho používania zodpovedajúcej spotrebe budúcich ekonomických úžitkov z majetku. Odpisovať sa začína v mesiaci uvedenia  majetku do používania. Podrobný účtovný odpisový plán po položkách sa vedie účtovnom software Pohoda (taktiež daňové odpisy podľa zákona o dani z príjmov).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501. Spoločnosť uvedený majetok eviduje v podsúvahovej evidencii.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604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/>
      </w:tblPr>
      <w:tblGrid>
        <w:gridCol w:w="4215"/>
        <w:gridCol w:w="1012"/>
        <w:gridCol w:w="2105"/>
        <w:gridCol w:w="2272"/>
      </w:tblGrid>
      <w:tr w:rsidR="00D633F7" w:rsidRPr="00B76474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Dlhodobý hmotný a nehmotný</w:t>
            </w:r>
          </w:p>
          <w:p w:rsidR="00D633F7" w:rsidRPr="00B76474" w:rsidRDefault="00D633F7" w:rsidP="0015223F">
            <w:pPr>
              <w:pStyle w:val="Vchodzie"/>
              <w:ind w:left="324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číslo</w:t>
            </w:r>
          </w:p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účtu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doba odpisovania</w:t>
            </w:r>
          </w:p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(počet rokov)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 xml:space="preserve">odpisová skupina </w:t>
            </w:r>
          </w:p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-sadzba v %</w:t>
            </w:r>
          </w:p>
        </w:tc>
      </w:tr>
      <w:tr w:rsidR="00D633F7" w:rsidRPr="00B76474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Aktivovane náklady na vývoj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019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Stavby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021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3512FF" w:rsidRDefault="00D633F7" w:rsidP="0015223F">
            <w:pPr>
              <w:pStyle w:val="Vchodzie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4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25 %</w:t>
            </w:r>
          </w:p>
        </w:tc>
      </w:tr>
      <w:tr w:rsidR="00D633F7" w:rsidRPr="00B76474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Ostatné stroje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3512FF" w:rsidRDefault="00D633F7" w:rsidP="0015223F">
            <w:pPr>
              <w:pStyle w:val="Vchodzie"/>
              <w:ind w:left="360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6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2/16,6</w:t>
            </w:r>
          </w:p>
        </w:tc>
      </w:tr>
    </w:tbl>
    <w:p w:rsidR="00D633F7" w:rsidRPr="00B76474" w:rsidRDefault="00D633F7" w:rsidP="00D633F7">
      <w:pPr>
        <w:pStyle w:val="Telotextu"/>
        <w:rPr>
          <w:color w:val="auto"/>
        </w:rPr>
      </w:pP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2. Zásoby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nakupované sa oceňujú obstarávacou cenou. Obstarávacia cena zásob sa rozdeľuje na cenu, za ktoré sa zásoby  obstarali, a náklady súvisiace s obstaraním (VON.) vo výške prepravného Pri vyskladnení sa VON rozpúšťajú nasledovne : VON/(PS zásob + príjem zásob) x výdaj zásob. Ostatné náklady súvisiace s obstaraním ako clo, poistné, provízie a pod. znížené o zľavy z ceny , sú súčasťou obstarávacej ceny nakupovaných zásob.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V prípade prechodného zníženia úžitkovej hodnoty zásob sa tvorí opravná položka.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vytvorené vlastnou činnosťou oceňuje účtovná jednotka na úrovni vlastných nákladov vo svojej skutočnej výške, alebo vo výške vlastných nákladov podľa operatívnych (plánových) kalkulácií. 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>Vlastné náklady zahŕňajú: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priame náklady (priamy materiál, priame mzdy a ostatné priame náklady)  a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časť nepriamych nákladov, ktorá sa vzťahuje na výrobu (výrobná réžia).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3. Pohľadávky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-pohľadávok,  u ktorých sa dá predpokladať, že dlžník pohľadávku nevyrovná čiastočne alebo úplne,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-pri sporných pohľadávkach, t.j. k pohľadávkam voči dlžníkom, s ktorými vedie spor o uznanie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tvorí opravné položky nasledovne: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bookmarkStart w:id="0" w:name="__DdeLink__613_1483637937"/>
      <w:bookmarkEnd w:id="0"/>
      <w:r w:rsidRPr="00B76474">
        <w:rPr>
          <w:rFonts w:ascii="Calibri" w:hAnsi="Calibri" w:cs="Calibri"/>
          <w:color w:val="auto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4. Finančné účty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Finančné účty tvorí peňažná hotovosť, zostatky na bankových účtoch a ceniny.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5. Náklady budúcich období a príjmy budúcich období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6. Opravné položky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 xml:space="preserve"> 7. Rezervy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tvorila zákonné rezervy na zostatkové dovolenky a odvody z týchto súm  a z ostatných rezerv vytvorila rezervu na  overenie účtovnej závierky a výročnej správy. Spoločnosť predpokladá, že rezervy použije v roku 201</w:t>
      </w:r>
      <w:r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8.  Záväzky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Záväzky pri ich vzniku sa oceňujú menovitou hodnotou. Záväzky pri ich prevzatí sa oceňujú obstarávacou cenou.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9. Zamestnanecké požitky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Zamestnanec má na základe Zákonníka práce pri odchode do starobného dôchodku nárok na odmenu vo výške jednej priemernej mesačnej mzdy.   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10. Splatná daň z príjmu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výsledný daňový záväzok.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11. Odložená daň z príjmu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 z príjmu vyplýva z: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a) rozdielov medzi účtovnou hodnotou majetku a účtovnou hodnotou záväzkov vykázanou v súvahe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a ich daňovou základňou,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b) možnosti umorovať daňovú stratu v budúcnosti, pod ktorou sa rozumie možnosť odpočítať daňovú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stratu od základu dane v budúcnosti,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c) možnosti previesť nevyužité daňové odpočty a iné daňové nároky do budúcich období.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Pri výpočte odloženej dane sa použije sadzba dane z príjmov, o ktorej sa predpokladá, že bude platiť v čase vyrovnania odloženej dane.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12. Výdavky budúcich období a výnosy budúcich období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13. Leasing (Spoločnosť je nájomca)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14. Cudzia mena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15. Vykazovanie výnosov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Výnosy spoločnosti tvoria z veľkej časti tržby za </w:t>
      </w:r>
      <w:r>
        <w:rPr>
          <w:rFonts w:ascii="Calibri" w:hAnsi="Calibri" w:cs="Calibri"/>
          <w:color w:val="auto"/>
          <w:sz w:val="20"/>
          <w:szCs w:val="20"/>
        </w:rPr>
        <w:t>predaj tovaru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a tržby z poskytovaných služieb hlavne tržby z</w:t>
      </w:r>
      <w:r>
        <w:rPr>
          <w:rFonts w:ascii="Calibri" w:hAnsi="Calibri" w:cs="Calibri"/>
          <w:color w:val="auto"/>
          <w:sz w:val="20"/>
          <w:szCs w:val="20"/>
        </w:rPr>
        <w:t> textilnej výroby s montážou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</w:t>
      </w:r>
      <w:r>
        <w:rPr>
          <w:rFonts w:ascii="Calibri" w:hAnsi="Calibri" w:cs="Calibri"/>
          <w:b/>
          <w:color w:val="auto"/>
          <w:sz w:val="22"/>
          <w:szCs w:val="22"/>
        </w:rPr>
        <w:t>6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. Oprava chýb minulých období.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roku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neúčtovala o oprave významných chýb na účte nerozdelené zisky minulých období.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  <w:r>
        <w:rPr>
          <w:rFonts w:asciiTheme="minorHAnsi" w:hAnsiTheme="minorHAnsi" w:cstheme="minorHAnsi"/>
          <w:b/>
          <w:color w:val="auto"/>
          <w:sz w:val="22"/>
          <w:szCs w:val="22"/>
        </w:rPr>
        <w:t>7</w:t>
      </w: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.  Porovnateľné údaje</w:t>
      </w:r>
    </w:p>
    <w:p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color w:val="auto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 strát</w:t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Účtovná jednotka neúčtovala o </w:t>
      </w:r>
      <w:proofErr w:type="spellStart"/>
      <w:r w:rsidRPr="00B76474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Pr="00B76474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:rsidR="00D633F7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(2) Informácie o významných položkách majetku a záväzkoch zabezpečených derivátmi</w:t>
      </w:r>
    </w:p>
    <w:p w:rsidR="00D633F7" w:rsidRPr="00B76474" w:rsidRDefault="00D633F7" w:rsidP="00D633F7">
      <w:pPr>
        <w:pStyle w:val="Vchodzie"/>
        <w:ind w:left="-142" w:right="-468" w:firstLine="142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 účtovnom období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účtovná jednotka nevykonala žiadne derivátové operácie. </w:t>
      </w: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(3) Informácie o záväzkoch</w:t>
      </w:r>
    </w:p>
    <w:p w:rsidR="00D633F7" w:rsidRPr="00B76474" w:rsidRDefault="00D633F7" w:rsidP="00D633F7">
      <w:pPr>
        <w:pStyle w:val="Vchodzie"/>
        <w:spacing w:after="14"/>
        <w:rPr>
          <w:color w:val="auto"/>
        </w:rPr>
      </w:pPr>
    </w:p>
    <w:p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a) Informácie o štruktúre záväzkov podľa zostatkovej doby splatnosti 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/>
      </w:tblPr>
      <w:tblGrid>
        <w:gridCol w:w="3769"/>
        <w:gridCol w:w="3073"/>
        <w:gridCol w:w="2754"/>
      </w:tblGrid>
      <w:tr w:rsidR="00D633F7" w:rsidRPr="00B76474" w:rsidTr="0015223F">
        <w:trPr>
          <w:trHeight w:val="941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Názov položky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rPr>
                <w:rFonts w:ascii="Calibri" w:hAnsi="Calibri" w:cs="Calibri"/>
                <w:color w:val="auto"/>
              </w:rPr>
            </w:pPr>
            <w:r w:rsidRPr="00B76474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Dlhodobé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7373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8435</w:t>
            </w:r>
          </w:p>
        </w:tc>
      </w:tr>
      <w:tr w:rsidR="00D633F7" w:rsidRPr="00B76474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</w:tr>
      <w:tr w:rsidR="00D633F7" w:rsidRPr="00B76474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186F87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7373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862D2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8435</w:t>
            </w:r>
          </w:p>
        </w:tc>
      </w:tr>
      <w:tr w:rsidR="00D633F7" w:rsidRPr="00B76474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b/>
                <w:bCs/>
                <w:color w:val="auto"/>
                <w:sz w:val="20"/>
                <w:szCs w:val="20"/>
              </w:rPr>
              <w:t>Krátkodobé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186F87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99210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186F87" w:rsidRDefault="00D862D2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119249</w:t>
            </w:r>
          </w:p>
        </w:tc>
      </w:tr>
      <w:tr w:rsidR="00D633F7" w:rsidRPr="00B76474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862D2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99210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862D2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119249</w:t>
            </w:r>
          </w:p>
        </w:tc>
      </w:tr>
      <w:tr w:rsidR="00D633F7" w:rsidRPr="00B76474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po lehote splatnosti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3A29AE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</w:tbl>
    <w:p w:rsidR="00D633F7" w:rsidRPr="00B76474" w:rsidRDefault="00D633F7" w:rsidP="00D633F7">
      <w:pPr>
        <w:pStyle w:val="Vchodzie"/>
        <w:spacing w:after="14"/>
        <w:rPr>
          <w:color w:val="auto"/>
        </w:rPr>
      </w:pPr>
    </w:p>
    <w:p w:rsidR="00D633F7" w:rsidRPr="00B76474" w:rsidRDefault="00D633F7" w:rsidP="00D633F7">
      <w:pPr>
        <w:pStyle w:val="Vchodzie"/>
        <w:spacing w:after="14"/>
        <w:rPr>
          <w:rFonts w:ascii="Calibri" w:hAnsi="Calibri"/>
          <w:b/>
          <w:color w:val="auto"/>
          <w:sz w:val="22"/>
          <w:szCs w:val="22"/>
        </w:rPr>
      </w:pPr>
    </w:p>
    <w:p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b) Informácie o záväzkoch s obmedzeným právom  nakladania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neúčtovala v roku 201</w:t>
      </w:r>
      <w:r>
        <w:rPr>
          <w:rFonts w:ascii="Calibri" w:hAnsi="Calibri"/>
          <w:color w:val="auto"/>
          <w:sz w:val="20"/>
          <w:szCs w:val="20"/>
        </w:rPr>
        <w:t>8</w:t>
      </w:r>
      <w:r w:rsidRPr="00B76474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:rsidR="00D633F7" w:rsidRPr="00B76474" w:rsidRDefault="00D633F7" w:rsidP="00D633F7">
      <w:pPr>
        <w:pStyle w:val="Vchodzie"/>
        <w:spacing w:after="17"/>
        <w:rPr>
          <w:color w:val="auto"/>
        </w:rPr>
      </w:pPr>
    </w:p>
    <w:p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:rsidR="00D633F7" w:rsidRPr="00B76474" w:rsidRDefault="00D633F7" w:rsidP="00D633F7">
      <w:pPr>
        <w:pStyle w:val="Vchodzie"/>
        <w:spacing w:after="17"/>
        <w:rPr>
          <w:rFonts w:ascii="Calibri" w:hAnsi="Calibri"/>
          <w:color w:val="auto"/>
          <w:sz w:val="20"/>
          <w:szCs w:val="20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vedomosť o  žiadnom podmienenom majetku, ktorý sa nevykazuje v súvahe.</w:t>
      </w:r>
    </w:p>
    <w:p w:rsidR="00D633F7" w:rsidRPr="00B76474" w:rsidRDefault="00D633F7" w:rsidP="00D633F7">
      <w:pPr>
        <w:pStyle w:val="Vchodzie"/>
        <w:spacing w:after="17"/>
        <w:rPr>
          <w:color w:val="auto"/>
        </w:rPr>
      </w:pPr>
    </w:p>
    <w:p w:rsidR="00D633F7" w:rsidRPr="00B76474" w:rsidRDefault="00D633F7" w:rsidP="00D633F7">
      <w:pPr>
        <w:pStyle w:val="Nzov"/>
        <w:widowControl w:val="0"/>
        <w:spacing w:after="0"/>
        <w:jc w:val="left"/>
        <w:rPr>
          <w:color w:val="auto"/>
          <w:sz w:val="22"/>
          <w:szCs w:val="22"/>
        </w:rPr>
      </w:pPr>
      <w:r w:rsidRPr="00B76474">
        <w:rPr>
          <w:rFonts w:ascii="Calibri" w:hAnsi="Calibri"/>
          <w:color w:val="auto"/>
          <w:sz w:val="22"/>
          <w:szCs w:val="22"/>
        </w:rPr>
        <w:t>b) Informácie o podmienených záväzkoch</w:t>
      </w:r>
    </w:p>
    <w:p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Vzhľadom na to, že viaceré oblasti slovenského daňového práva</w:t>
      </w:r>
      <w:r w:rsidRPr="00B76474">
        <w:rPr>
          <w:color w:val="auto"/>
        </w:rPr>
        <w:t xml:space="preserve"> </w:t>
      </w:r>
      <w:r w:rsidRPr="00B76474">
        <w:rPr>
          <w:rFonts w:ascii="Calibri" w:hAnsi="Calibri" w:cs="Calibri"/>
          <w:color w:val="auto"/>
          <w:sz w:val="20"/>
          <w:szCs w:val="20"/>
        </w:rPr>
        <w:t>( napr. legislatíva ohľadom transferového oceňovania) doteraz neboli dostatočne overené praxou, existuje neistota v tom, ako ich budú daňové orgány 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</w:p>
    <w:p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Okrem vyššie uvedeného, nemá Spoločnosť vedomosť o inom podmienenom majetku alebo podmienených záväzkoch, ktoré sa nevykazujú v súvahe.</w:t>
      </w:r>
    </w:p>
    <w:p w:rsidR="00D633F7" w:rsidRPr="00B76474" w:rsidRDefault="00D633F7" w:rsidP="00D633F7">
      <w:pPr>
        <w:pStyle w:val="Vchodzie"/>
        <w:spacing w:after="17"/>
        <w:rPr>
          <w:color w:val="auto"/>
          <w:sz w:val="20"/>
          <w:szCs w:val="20"/>
        </w:rPr>
      </w:pPr>
    </w:p>
    <w:p w:rsidR="00D633F7" w:rsidRPr="00B76474" w:rsidRDefault="00D633F7" w:rsidP="00D633F7">
      <w:pPr>
        <w:pStyle w:val="Vchodzie"/>
        <w:spacing w:after="17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 Na spoločnosť sa rovnako nevzťahuje § 23d ods. 6 zákona o účtovníctve.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:rsidR="00D633F7" w:rsidRPr="00B76474" w:rsidRDefault="00D633F7" w:rsidP="00D633F7">
      <w:pPr>
        <w:pStyle w:val="Vchodzie"/>
        <w:rPr>
          <w:color w:val="auto"/>
        </w:rPr>
      </w:pPr>
    </w:p>
    <w:p w:rsidR="00D633F7" w:rsidRPr="00B76474" w:rsidRDefault="00D633F7" w:rsidP="00D633F7">
      <w:pPr>
        <w:pStyle w:val="Vchodzie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nemá vedomosť o inom podmienenom majetku alebo podmienených záväzkoch, ktoré sa nevykazujú v súvahe. </w:t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:rsidR="00D633F7" w:rsidRPr="00B76474" w:rsidRDefault="00D633F7" w:rsidP="00D633F7">
      <w:pPr>
        <w:pStyle w:val="Vchodzie"/>
        <w:jc w:val="center"/>
        <w:rPr>
          <w:color w:val="auto"/>
        </w:rPr>
      </w:pPr>
    </w:p>
    <w:p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Po 31. decembri 201</w:t>
      </w:r>
      <w:r w:rsidR="00DC3ED0">
        <w:rPr>
          <w:rFonts w:ascii="Calibri" w:hAnsi="Calibri"/>
          <w:bCs/>
          <w:color w:val="auto"/>
          <w:sz w:val="20"/>
          <w:szCs w:val="20"/>
        </w:rPr>
        <w:t>9</w:t>
      </w:r>
      <w:r w:rsidRPr="00B76474">
        <w:rPr>
          <w:rFonts w:ascii="Calibri" w:hAnsi="Calibri"/>
          <w:bCs/>
          <w:color w:val="auto"/>
          <w:sz w:val="20"/>
          <w:szCs w:val="20"/>
        </w:rPr>
        <w:t xml:space="preserve"> do dňa zostavenia účtovnej závierky spoločnosti nenastali také udalosti, ktoré by si vyžadovali zverejnenie alebo vykázanie v účtovnej závierke za rok 201</w:t>
      </w:r>
      <w:r w:rsidR="00DC3ED0">
        <w:rPr>
          <w:rFonts w:ascii="Calibri" w:hAnsi="Calibri"/>
          <w:bCs/>
          <w:color w:val="auto"/>
          <w:sz w:val="20"/>
          <w:szCs w:val="20"/>
        </w:rPr>
        <w:t>9</w:t>
      </w:r>
      <w:r w:rsidRPr="00B76474">
        <w:rPr>
          <w:rFonts w:ascii="Calibri" w:hAnsi="Calibri"/>
          <w:bCs/>
          <w:color w:val="auto"/>
          <w:sz w:val="20"/>
          <w:szCs w:val="20"/>
        </w:rPr>
        <w:t>.</w:t>
      </w:r>
    </w:p>
    <w:p w:rsidR="00D633F7" w:rsidRPr="00B76474" w:rsidRDefault="00D633F7" w:rsidP="00D633F7">
      <w:pPr>
        <w:pStyle w:val="Vchodzie"/>
        <w:jc w:val="both"/>
        <w:rPr>
          <w:color w:val="auto"/>
        </w:rPr>
      </w:pPr>
    </w:p>
    <w:p w:rsidR="00170FA2" w:rsidRDefault="00170FA2"/>
    <w:sectPr w:rsidR="00170FA2" w:rsidSect="00101961">
      <w:headerReference w:type="default" r:id="rId6"/>
      <w:pgSz w:w="11906" w:h="16838" w:code="9"/>
      <w:pgMar w:top="1717" w:right="1156" w:bottom="879" w:left="1337" w:header="708" w:footer="0" w:gutter="0"/>
      <w:cols w:space="708"/>
      <w:formProt w:val="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F1A" w:rsidRDefault="006E1F1A">
      <w:pPr>
        <w:spacing w:after="0" w:line="240" w:lineRule="auto"/>
      </w:pPr>
      <w:r>
        <w:separator/>
      </w:r>
    </w:p>
  </w:endnote>
  <w:endnote w:type="continuationSeparator" w:id="0">
    <w:p w:rsidR="006E1F1A" w:rsidRDefault="006E1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F1A" w:rsidRDefault="006E1F1A">
      <w:pPr>
        <w:spacing w:after="0" w:line="240" w:lineRule="auto"/>
      </w:pPr>
      <w:r>
        <w:separator/>
      </w:r>
    </w:p>
  </w:footnote>
  <w:footnote w:type="continuationSeparator" w:id="0">
    <w:p w:rsidR="006E1F1A" w:rsidRDefault="006E1F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2F9" w:rsidRDefault="00D633F7">
    <w:pPr>
      <w:pStyle w:val="Hlavika"/>
    </w:pPr>
    <w:r>
      <w:rPr>
        <w:sz w:val="21"/>
        <w:szCs w:val="21"/>
      </w:rPr>
      <w:t xml:space="preserve">Poznámky </w:t>
    </w:r>
    <w:proofErr w:type="spellStart"/>
    <w:r>
      <w:rPr>
        <w:sz w:val="21"/>
        <w:szCs w:val="21"/>
      </w:rPr>
      <w:t>Úč</w:t>
    </w:r>
    <w:proofErr w:type="spellEnd"/>
    <w:r>
      <w:rPr>
        <w:sz w:val="21"/>
        <w:szCs w:val="21"/>
      </w:rPr>
      <w:t xml:space="preserve"> POD 3-01                 </w:t>
    </w:r>
    <w:r>
      <w:rPr>
        <w:sz w:val="21"/>
        <w:szCs w:val="21"/>
      </w:rPr>
      <w:tab/>
    </w:r>
    <w:r>
      <w:rPr>
        <w:sz w:val="21"/>
        <w:szCs w:val="21"/>
      </w:rPr>
      <w:tab/>
      <w:t>IČO:36765431</w:t>
    </w:r>
  </w:p>
  <w:p w:rsidR="00BD32F9" w:rsidRDefault="00D633F7">
    <w:pPr>
      <w:pStyle w:val="Hlavika"/>
    </w:pPr>
    <w:r>
      <w:rPr>
        <w:sz w:val="21"/>
        <w:szCs w:val="21"/>
      </w:rPr>
      <w:t xml:space="preserve">                                                                              </w:t>
    </w:r>
    <w:r>
      <w:rPr>
        <w:sz w:val="21"/>
        <w:szCs w:val="21"/>
      </w:rPr>
      <w:tab/>
    </w:r>
    <w:r>
      <w:rPr>
        <w:sz w:val="21"/>
        <w:szCs w:val="21"/>
      </w:rPr>
      <w:tab/>
      <w:t xml:space="preserve">   DIČ:2022370306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646D"/>
    <w:rsid w:val="00170FA2"/>
    <w:rsid w:val="0062646D"/>
    <w:rsid w:val="006E1F1A"/>
    <w:rsid w:val="00902ED1"/>
    <w:rsid w:val="0099780D"/>
    <w:rsid w:val="00D633F7"/>
    <w:rsid w:val="00D862D2"/>
    <w:rsid w:val="00DC3E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3F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D633F7"/>
    <w:pPr>
      <w:suppressAutoHyphens/>
      <w:spacing w:after="0" w:line="100" w:lineRule="atLeast"/>
    </w:pPr>
    <w:rPr>
      <w:rFonts w:ascii="Arial" w:eastAsia="Arial Unicode MS" w:hAnsi="Arial" w:cs="Arial"/>
      <w:color w:val="000000"/>
      <w:sz w:val="24"/>
      <w:szCs w:val="24"/>
    </w:rPr>
  </w:style>
  <w:style w:type="paragraph" w:customStyle="1" w:styleId="Telotextu">
    <w:name w:val="Telo textu"/>
    <w:basedOn w:val="Vchodzie"/>
    <w:rsid w:val="00D633F7"/>
    <w:pPr>
      <w:spacing w:after="120"/>
      <w:jc w:val="both"/>
    </w:pPr>
    <w:rPr>
      <w:rFonts w:ascii="Times New Roman" w:hAnsi="Times New Roman"/>
      <w:b/>
      <w:bCs/>
      <w:lang w:eastAsia="cs-CZ"/>
    </w:rPr>
  </w:style>
  <w:style w:type="paragraph" w:styleId="Hlavika">
    <w:name w:val="header"/>
    <w:basedOn w:val="Vchodzie"/>
    <w:link w:val="HlavikaChar"/>
    <w:rsid w:val="00D633F7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33F7"/>
    <w:rPr>
      <w:rFonts w:ascii="Arial" w:eastAsia="Arial Unicode MS" w:hAnsi="Arial" w:cs="Arial"/>
      <w:color w:val="000000"/>
      <w:sz w:val="24"/>
      <w:szCs w:val="24"/>
    </w:rPr>
  </w:style>
  <w:style w:type="paragraph" w:styleId="Odsekzoznamu">
    <w:name w:val="List Paragraph"/>
    <w:basedOn w:val="Vchodzie"/>
    <w:rsid w:val="00D633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TopHeader">
    <w:name w:val="Top Header"/>
    <w:basedOn w:val="Vchodzie"/>
    <w:rsid w:val="00D633F7"/>
    <w:pPr>
      <w:jc w:val="center"/>
    </w:pPr>
    <w:rPr>
      <w:b/>
      <w:bCs/>
      <w:sz w:val="22"/>
      <w:szCs w:val="22"/>
    </w:rPr>
  </w:style>
  <w:style w:type="paragraph" w:styleId="Nzov">
    <w:name w:val="Title"/>
    <w:basedOn w:val="Vchodzie"/>
    <w:next w:val="Normlny"/>
    <w:link w:val="NzovChar"/>
    <w:rsid w:val="00D633F7"/>
    <w:pPr>
      <w:keepNext/>
      <w:spacing w:before="28" w:after="220"/>
      <w:jc w:val="center"/>
    </w:pPr>
    <w:rPr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rsid w:val="00D633F7"/>
    <w:rPr>
      <w:rFonts w:ascii="Arial" w:eastAsia="Arial Unicode MS" w:hAnsi="Arial" w:cs="Arial"/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2311</Words>
  <Characters>13173</Characters>
  <Application>Microsoft Office Word</Application>
  <DocSecurity>0</DocSecurity>
  <Lines>109</Lines>
  <Paragraphs>30</Paragraphs>
  <ScaleCrop>false</ScaleCrop>
  <Company/>
  <LinksUpToDate>false</LinksUpToDate>
  <CharactersWithSpaces>15454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HPSERV</dc:creator>
  <cp:keywords/>
  <dc:description/>
  <cp:lastModifiedBy>ZUZANA1</cp:lastModifiedBy>
  <cp:revision>4</cp:revision>
  <dcterms:created xsi:type="dcterms:W3CDTF">2020-11-02T21:27:00Z</dcterms:created>
  <dcterms:modified xsi:type="dcterms:W3CDTF">2020-11-04T09:59:00Z</dcterms:modified>
</cp:coreProperties>
</file>