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adpis1"/>
        <w:spacing w:before="480" w:after="0"/>
        <w:rPr/>
      </w:pPr>
      <w:r>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rPr>
          <w:b/>
          <w:b/>
        </w:rPr>
      </w:pPr>
      <w:r>
        <w:rPr>
          <w:b/>
        </w:rPr>
      </w:r>
    </w:p>
    <w:p>
      <w:pPr>
        <w:pStyle w:val="Normal"/>
        <w:spacing w:lineRule="auto" w:line="240" w:before="0" w:after="0"/>
        <w:jc w:val="center"/>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Výročná správa</w:t>
      </w:r>
    </w:p>
    <w:p>
      <w:pPr>
        <w:pStyle w:val="Normal"/>
        <w:numPr>
          <w:ilvl w:val="0"/>
          <w:numId w:val="0"/>
        </w:numPr>
        <w:spacing w:lineRule="auto" w:line="240" w:before="0" w:after="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obce BRUTY</w:t>
      </w:r>
    </w:p>
    <w:p>
      <w:pPr>
        <w:pStyle w:val="Normal"/>
        <w:numPr>
          <w:ilvl w:val="0"/>
          <w:numId w:val="0"/>
        </w:numPr>
        <w:spacing w:lineRule="auto" w:line="240" w:before="0" w:after="0"/>
        <w:jc w:val="center"/>
        <w:outlineLvl w:val="0"/>
        <w:rPr>
          <w:rFonts w:ascii="Times New Roman" w:hAnsi="Times New Roman" w:eastAsia="Times New Roman" w:cs="Times New Roman"/>
          <w:b/>
          <w:b/>
          <w:color w:val="0000FF"/>
          <w:sz w:val="40"/>
          <w:szCs w:val="40"/>
          <w:lang w:eastAsia="sk-SK"/>
        </w:rPr>
      </w:pPr>
      <w:r>
        <w:rPr>
          <w:rFonts w:eastAsia="Times New Roman" w:cs="Times New Roman" w:ascii="Times New Roman" w:hAnsi="Times New Roman"/>
          <w:b/>
          <w:color w:val="0000FF"/>
          <w:sz w:val="40"/>
          <w:szCs w:val="40"/>
          <w:lang w:eastAsia="sk-SK"/>
        </w:rPr>
        <w:t>KONSOLIDOVANÁ ÚČTOVNÁ ZÁVIERKA</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pPr>
      <w:r>
        <w:rPr>
          <w:rFonts w:eastAsia="Times New Roman" w:cs="Times New Roman" w:ascii="Times New Roman" w:hAnsi="Times New Roman"/>
          <w:b/>
          <w:color w:val="0000FF"/>
          <w:sz w:val="40"/>
          <w:szCs w:val="40"/>
          <w:lang w:eastAsia="sk-SK"/>
        </w:rPr>
        <w:t>za rok 2019</w:t>
      </w:r>
    </w:p>
    <w:p>
      <w:pPr>
        <w:pStyle w:val="Normal"/>
        <w:tabs>
          <w:tab w:val="left" w:pos="708" w:leader="none"/>
          <w:tab w:val="left" w:pos="1416" w:leader="none"/>
          <w:tab w:val="left" w:pos="2124" w:leader="none"/>
          <w:tab w:val="left" w:pos="2832" w:leader="none"/>
          <w:tab w:val="left" w:pos="3540" w:leader="none"/>
          <w:tab w:val="left" w:pos="4248" w:leader="none"/>
          <w:tab w:val="left" w:pos="4956" w:leader="none"/>
          <w:tab w:val="left" w:pos="6249" w:leader="none"/>
        </w:tabs>
        <w:spacing w:lineRule="auto" w:line="240" w:before="0" w:after="0"/>
        <w:jc w:val="center"/>
        <w:rPr>
          <w:rFonts w:ascii="Times New Roman" w:hAnsi="Times New Roman" w:eastAsia="Times New Roman" w:cs="Times New Roman"/>
          <w:b/>
          <w:b/>
          <w:color w:val="0000FF"/>
          <w:sz w:val="36"/>
          <w:szCs w:val="36"/>
          <w:lang w:eastAsia="sk-SK"/>
        </w:rPr>
      </w:pPr>
      <w:r>
        <w:rPr>
          <w:rFonts w:eastAsia="Times New Roman" w:cs="Times New Roman" w:ascii="Times New Roman" w:hAnsi="Times New Roman"/>
          <w:b/>
          <w:color w:val="0000FF"/>
          <w:sz w:val="36"/>
          <w:szCs w:val="36"/>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OBSAH</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1. Základná charakteristika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  Geografické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1.2  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1.3  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1.4  História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1.5  Zaujímavosti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1.7  Zdravotníctvo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1.9  Hospodárstvo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1.10  Organizačná štruktúra</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b/>
          <w:sz w:val="24"/>
          <w:szCs w:val="24"/>
          <w:lang w:eastAsia="sk-SK"/>
        </w:rPr>
        <w:t xml:space="preserve">Hospodárenie konsolidačného celku  za rok 2019 </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Konsolidovaná súvaha za rok 2019</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Konsolidovaný výkaz a strát za rok 2019</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Poznámky KÚZ za rok 2019</w:t>
      </w:r>
    </w:p>
    <w:p>
      <w:pPr>
        <w:pStyle w:val="ListParagraph"/>
        <w:numPr>
          <w:ilvl w:val="0"/>
          <w:numId w:val="6"/>
        </w:numPr>
        <w:spacing w:lineRule="auto" w:line="240" w:before="0" w:after="0"/>
        <w:contextualSpacing/>
        <w:rPr/>
      </w:pPr>
      <w:r>
        <w:rPr>
          <w:rFonts w:eastAsia="Times New Roman" w:cs="Times New Roman" w:ascii="Times New Roman" w:hAnsi="Times New Roman"/>
          <w:sz w:val="24"/>
          <w:szCs w:val="24"/>
          <w:lang w:eastAsia="sk-SK"/>
        </w:rPr>
        <w:t xml:space="preserve">Audítorská správa  KÚZ za rok 2019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t>1. Základná charakteristika Obce Bruty</w:t>
      </w:r>
    </w:p>
    <w:p>
      <w:pPr>
        <w:pStyle w:val="Normal"/>
        <w:spacing w:lineRule="auto" w:line="240" w:before="0" w:after="0"/>
        <w:rPr>
          <w:rFonts w:ascii="Times New Roman" w:hAnsi="Times New Roman" w:eastAsia="Times New Roman" w:cs="Times New Roman"/>
          <w:b/>
          <w:b/>
          <w:sz w:val="28"/>
          <w:szCs w:val="28"/>
          <w:lang w:eastAsia="sk-SK"/>
        </w:rPr>
      </w:pPr>
      <w:r>
        <w:rPr>
          <w:rFonts w:eastAsia="Times New Roman" w:cs="Times New Roman" w:ascii="Times New Roman" w:hAnsi="Times New Roman"/>
          <w:b/>
          <w:sz w:val="28"/>
          <w:szCs w:val="28"/>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 xml:space="preserve">Obec je samostatný územný samosprávy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Geografické údaje</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Geografická poloha obce:             južná časť Podunajska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Susedné obce:                               Kamenín, Bíňa, Keť, Svodín</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Celková rozloha obce:                  2053 ha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Nadmorská výška:                        od 130m do 176 m</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Demografické údaje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Počet obyvateľov:                         573</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Národnostná štruktúra:                 maďarská,  slovenská a rómovia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3"/>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Symboly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Erb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Vlajka obce: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Pečať:                                           áno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1.4 História obce                        vznik obce v roku 1223</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1.5 Zaujímavosti obce               maďarská brána bez jediného klinca</w:t>
      </w:r>
      <w:r>
        <w:rPr>
          <w:rFonts w:eastAsia="Times New Roman" w:cs="Times New Roman" w:ascii="Times New Roman" w:hAnsi="Times New Roman"/>
          <w:sz w:val="24"/>
          <w:szCs w:val="24"/>
          <w:lang w:eastAsia="sk-SK"/>
        </w:rPr>
        <w:t xml:space="preser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b/>
          <w:sz w:val="24"/>
          <w:szCs w:val="24"/>
          <w:lang w:eastAsia="sk-SK"/>
        </w:rPr>
        <w:t>1.6 Výchova a vzdelávanie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V súčasnosti výchovu a vzdelávanie detí v obci poskytuje:</w:t>
      </w:r>
    </w:p>
    <w:p>
      <w:pPr>
        <w:pStyle w:val="Normal"/>
        <w:spacing w:lineRule="auto" w:line="240" w:before="0" w:after="0"/>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Materská škola s VJM Bruty 162 -  Óvoda</w:t>
      </w:r>
    </w:p>
    <w:p>
      <w:pPr>
        <w:pStyle w:val="Normal"/>
        <w:spacing w:lineRule="auto" w:line="240" w:before="0" w:after="0"/>
        <w:rPr/>
      </w:pPr>
      <w:r>
        <w:rPr>
          <w:rFonts w:eastAsia="Times New Roman" w:cs="Times New Roman" w:ascii="Times New Roman" w:hAnsi="Times New Roman"/>
          <w:sz w:val="24"/>
          <w:szCs w:val="24"/>
          <w:lang w:eastAsia="sk-SK"/>
        </w:rPr>
        <w:t xml:space="preserve"> </w:t>
      </w:r>
      <w:r>
        <w:rPr>
          <w:rFonts w:eastAsia="Times New Roman" w:cs="Times New Roman" w:ascii="Times New Roman" w:hAnsi="Times New Roman"/>
          <w:sz w:val="24"/>
          <w:szCs w:val="24"/>
          <w:lang w:eastAsia="sk-SK"/>
        </w:rPr>
        <w:t>Bruty 162 bez právnej subjektivity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1"/>
          <w:numId w:val="5"/>
        </w:numPr>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Zdravotníctvo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Zdravotnú starostlivosť pre občanov obce poskytuje:</w:t>
      </w:r>
    </w:p>
    <w:p>
      <w:pPr>
        <w:pStyle w:val="Normal"/>
        <w:numPr>
          <w:ilvl w:val="0"/>
          <w:numId w:val="4"/>
        </w:numPr>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Poliklinika v Štúrove, lekár – na základe rozhodnutia občanov</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1.8 Kultúra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Spoločenský a kultúrny život v obci – možnosť aktivít v kultúrnom dome a v polyfunkčnej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budove. </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Neziskové organizácie obce: Klub pre deti PIMPIMPÁRE, poľovnícka organizácia PRAMEŇ, Új Nő Klub – Klub nová žena, telovýchovná jednotka Družstevník, CSEMADOK ZO Bruty.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1.9 Hospodárstvo</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Najvýznamnejší poskytovatelia služieb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Rozličný tovar – COOP Jednota Nové Zámky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Pohostinské služby: Dobra Bar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Kaderníctvo</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Najvýznamnejšia poľnohospodárska výroba v obci:</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EURO OPP s.r.o. Bruty – podnik je dcérskou organizáciou obce Bruty</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1.10 Organizačná štruktúra obce</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 xml:space="preserve">Starosta obce:                      </w:t>
      </w:r>
      <w:r>
        <w:rPr>
          <w:rFonts w:eastAsia="Times New Roman" w:cs="Times New Roman" w:ascii="Times New Roman" w:hAnsi="Times New Roman"/>
          <w:b/>
          <w:sz w:val="24"/>
          <w:szCs w:val="24"/>
          <w:lang w:eastAsia="sk-SK"/>
        </w:rPr>
        <w:t>Ing. Hubač Alexander</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Zástupca starostu obce:       </w:t>
      </w:r>
      <w:r>
        <w:rPr>
          <w:rFonts w:eastAsia="Times New Roman" w:cs="Times New Roman" w:ascii="Times New Roman" w:hAnsi="Times New Roman"/>
          <w:b/>
          <w:sz w:val="24"/>
          <w:szCs w:val="24"/>
          <w:lang w:eastAsia="sk-SK"/>
        </w:rPr>
        <w:t>Bartal Monika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t xml:space="preserve">Hlavný kontrolór obce:       </w:t>
      </w:r>
      <w:r>
        <w:rPr>
          <w:rFonts w:eastAsia="Times New Roman" w:cs="Times New Roman" w:ascii="Times New Roman" w:hAnsi="Times New Roman"/>
          <w:b/>
          <w:sz w:val="24"/>
          <w:szCs w:val="24"/>
          <w:lang w:eastAsia="sk-SK"/>
        </w:rPr>
        <w:t>Mgr. Žákovičová Katarína</w:t>
      </w:r>
    </w:p>
    <w:p>
      <w:pPr>
        <w:pStyle w:val="Normal"/>
        <w:spacing w:lineRule="auto" w:line="240" w:before="0" w:after="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sz w:val="24"/>
          <w:szCs w:val="24"/>
          <w:lang w:eastAsia="sk-SK"/>
        </w:rPr>
        <w:t>Obecné zastupiteľstvo:</w:t>
      </w:r>
      <w:r>
        <w:rPr>
          <w:rFonts w:eastAsia="Times New Roman" w:cs="Times New Roman" w:ascii="Times New Roman" w:hAnsi="Times New Roman"/>
          <w:b/>
          <w:sz w:val="24"/>
          <w:szCs w:val="24"/>
          <w:lang w:eastAsia="sk-SK"/>
        </w:rPr>
        <w:t xml:space="preserve">   PaeDr.Peter Bacsó, PhD.</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Ing. Peter Mocsi</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Mocsi Štefan</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 xml:space="preserve">Vargová Renáta     </w:t>
        <w:br/>
      </w:r>
    </w:p>
    <w:p>
      <w:pPr>
        <w:pStyle w:val="Normal"/>
        <w:spacing w:lineRule="auto" w:line="240" w:before="0" w:after="0"/>
        <w:rPr/>
      </w:pPr>
      <w:r>
        <w:rPr>
          <w:rFonts w:eastAsia="Times New Roman" w:cs="Times New Roman" w:ascii="Times New Roman" w:hAnsi="Times New Roman"/>
          <w:sz w:val="24"/>
          <w:szCs w:val="24"/>
          <w:lang w:eastAsia="sk-SK"/>
        </w:rPr>
        <w:t xml:space="preserve">Obecný úrad: </w:t>
      </w:r>
      <w:r>
        <w:rPr>
          <w:rFonts w:eastAsia="Times New Roman" w:cs="Times New Roman" w:ascii="Times New Roman" w:hAnsi="Times New Roman"/>
          <w:b/>
          <w:sz w:val="24"/>
          <w:szCs w:val="24"/>
          <w:lang w:eastAsia="sk-SK"/>
        </w:rPr>
        <w:t xml:space="preserve">Árendásová Zuzana, Trencsíková Mária, Bartal František, </w:t>
      </w:r>
    </w:p>
    <w:p>
      <w:pPr>
        <w:pStyle w:val="Normal"/>
        <w:spacing w:lineRule="auto" w:line="240" w:before="0" w:after="0"/>
        <w:rPr/>
      </w:pPr>
      <w:r>
        <w:rPr>
          <w:rFonts w:eastAsia="Times New Roman" w:cs="Times New Roman" w:ascii="Times New Roman" w:hAnsi="Times New Roman"/>
          <w:b/>
          <w:sz w:val="24"/>
          <w:szCs w:val="24"/>
          <w:lang w:eastAsia="sk-SK"/>
        </w:rPr>
        <w:t xml:space="preserve">                        </w:t>
      </w:r>
      <w:r>
        <w:rPr>
          <w:rFonts w:eastAsia="Times New Roman" w:cs="Times New Roman" w:ascii="Times New Roman" w:hAnsi="Times New Roman"/>
          <w:b/>
          <w:sz w:val="24"/>
          <w:szCs w:val="24"/>
          <w:lang w:eastAsia="sk-SK"/>
        </w:rPr>
        <w:t xml:space="preserve">Kovácsová Eleonóra                                 </w:t>
      </w:r>
    </w:p>
    <w:p>
      <w:pPr>
        <w:pStyle w:val="Normal"/>
        <w:spacing w:lineRule="auto" w:line="240" w:before="0" w:after="0"/>
        <w:rPr>
          <w:rFonts w:ascii="Times New Roman" w:hAnsi="Times New Roman" w:eastAsia="Times New Roman" w:cs="Times New Roman"/>
          <w:b/>
          <w:b/>
          <w:sz w:val="24"/>
          <w:szCs w:val="24"/>
          <w:lang w:eastAsia="sk-SK"/>
        </w:rPr>
      </w:pPr>
      <w:r>
        <w:rPr>
          <w:rFonts w:eastAsia="Times New Roman" w:cs="Times New Roman" w:ascii="Times New Roman" w:hAnsi="Times New Roman"/>
          <w:b/>
          <w:sz w:val="24"/>
          <w:szCs w:val="24"/>
          <w:lang w:eastAsia="sk-SK"/>
        </w:rPr>
      </w:r>
    </w:p>
    <w:p>
      <w:pPr>
        <w:pStyle w:val="Normal"/>
        <w:spacing w:lineRule="auto" w:line="240" w:before="0" w:after="0"/>
        <w:rPr/>
      </w:pPr>
      <w:r>
        <w:rPr>
          <w:rFonts w:eastAsia="Times New Roman" w:cs="Times New Roman" w:ascii="Times New Roman" w:hAnsi="Times New Roman"/>
          <w:sz w:val="24"/>
          <w:szCs w:val="24"/>
          <w:lang w:eastAsia="sk-SK"/>
        </w:rPr>
        <w:t>Materská škola</w:t>
      </w:r>
      <w:r>
        <w:rPr>
          <w:rFonts w:eastAsia="Times New Roman" w:cs="Times New Roman" w:ascii="Times New Roman" w:hAnsi="Times New Roman"/>
          <w:b/>
          <w:sz w:val="24"/>
          <w:szCs w:val="24"/>
          <w:lang w:eastAsia="sk-SK"/>
        </w:rPr>
        <w:t xml:space="preserve">:  B.c. Trencsíková Katarína, Mgr. Vinczeová Lilla                                                                </w:t>
      </w:r>
    </w:p>
    <w:p>
      <w:pPr>
        <w:pStyle w:val="Normal"/>
        <w:spacing w:lineRule="auto" w:line="240" w:before="0" w:after="0"/>
        <w:rPr/>
      </w:pPr>
      <w:r>
        <w:rPr>
          <w:rFonts w:eastAsia="Times New Roman" w:cs="Times New Roman" w:ascii="Times New Roman" w:hAnsi="Times New Roman"/>
          <w:b/>
          <w:sz w:val="24"/>
          <w:szCs w:val="24"/>
          <w:lang w:eastAsia="sk-SK"/>
        </w:rPr>
        <w:t xml:space="preserve">                                                         </w:t>
      </w:r>
    </w:p>
    <w:p>
      <w:pPr>
        <w:pStyle w:val="Normal"/>
        <w:spacing w:lineRule="auto" w:line="240" w:before="0" w:after="0"/>
        <w:rPr/>
      </w:pPr>
      <w:r>
        <w:rPr>
          <w:rFonts w:eastAsia="Times New Roman" w:cs="Times New Roman" w:ascii="Times New Roman" w:hAnsi="Times New Roman"/>
          <w:sz w:val="24"/>
          <w:szCs w:val="24"/>
          <w:lang w:eastAsia="sk-SK"/>
        </w:rPr>
        <w:t xml:space="preserve">EURO obecný poľ. podnik: </w:t>
      </w:r>
      <w:r>
        <w:rPr>
          <w:rFonts w:eastAsia="Times New Roman" w:cs="Times New Roman" w:ascii="Times New Roman" w:hAnsi="Times New Roman"/>
          <w:b/>
          <w:sz w:val="24"/>
          <w:szCs w:val="24"/>
          <w:lang w:eastAsia="sk-SK"/>
        </w:rPr>
        <w:t xml:space="preserve">Árva Róbert, </w:t>
      </w:r>
      <w:r>
        <w:rPr>
          <w:rFonts w:eastAsia="Times New Roman" w:cs="Times New Roman" w:ascii="Times New Roman" w:hAnsi="Times New Roman"/>
          <w:b/>
          <w:sz w:val="24"/>
          <w:szCs w:val="24"/>
          <w:lang w:eastAsia="sk-SK"/>
        </w:rPr>
        <w:t>od 15.10.2019 Danczi Tibor,</w:t>
      </w:r>
      <w:r>
        <w:rPr>
          <w:rFonts w:eastAsia="Times New Roman" w:cs="Times New Roman" w:ascii="Times New Roman" w:hAnsi="Times New Roman"/>
          <w:b/>
          <w:sz w:val="24"/>
          <w:szCs w:val="24"/>
          <w:lang w:eastAsia="sk-SK"/>
        </w:rPr>
        <w:t xml:space="preserve"> Valentová Katarína, Dávidová Helena</w:t>
      </w:r>
      <w:r>
        <w:rPr>
          <w:rFonts w:eastAsia="Times New Roman" w:cs="Times New Roman" w:ascii="Times New Roman" w:hAnsi="Times New Roman"/>
          <w:sz w:val="24"/>
          <w:szCs w:val="24"/>
          <w:lang w:eastAsia="sk-SK"/>
        </w:rPr>
        <w:t xml:space="preserve"> </w:t>
      </w:r>
    </w:p>
    <w:p>
      <w:pPr>
        <w:pStyle w:val="Normal"/>
        <w:rPr>
          <w:bCs/>
        </w:rPr>
      </w:pPr>
      <w:r>
        <w:rPr/>
      </w:r>
    </w:p>
    <w:p>
      <w:pPr>
        <w:pStyle w:val="Normal"/>
        <w:rPr/>
      </w:pPr>
      <w:r>
        <w:rPr>
          <w:bCs/>
        </w:rPr>
        <w:t>V roku 2019 v obci Bruty pracovali  komisie:</w:t>
      </w:r>
    </w:p>
    <w:p>
      <w:pPr>
        <w:pStyle w:val="Normal"/>
        <w:spacing w:lineRule="auto" w:line="240"/>
        <w:rPr/>
      </w:pPr>
      <w:r>
        <w:rPr>
          <w:b/>
        </w:rPr>
        <w:t>Komisia rozvoja a propagácie, financovania, rozpočtu a správy majetku</w:t>
      </w:r>
    </w:p>
    <w:p>
      <w:pPr>
        <w:pStyle w:val="Normal"/>
        <w:spacing w:lineRule="auto" w:line="240"/>
        <w:rPr/>
      </w:pPr>
      <w:r>
        <w:rPr>
          <w:b/>
        </w:rPr>
        <w:t>Komisia výstavby, ochrany verejného poriadku, prírody a životného prostredia a poľnohospodárstvo</w:t>
      </w:r>
    </w:p>
    <w:p>
      <w:pPr>
        <w:pStyle w:val="Normal"/>
        <w:spacing w:lineRule="auto" w:line="240"/>
        <w:rPr/>
      </w:pPr>
      <w:r>
        <w:rPr>
          <w:b/>
        </w:rPr>
        <w:t>Komisia kultúry , sociálnej starostlivosti a vzdelávania</w:t>
      </w:r>
    </w:p>
    <w:p>
      <w:pPr>
        <w:pStyle w:val="Normal"/>
        <w:spacing w:lineRule="auto" w:line="240" w:before="0" w:after="0"/>
        <w:rPr>
          <w:rFonts w:ascii="Times New Roman" w:hAnsi="Times New Roman" w:eastAsia="Times New Roman" w:cs="Times New Roman"/>
          <w:b/>
          <w:b/>
          <w:sz w:val="22"/>
          <w:szCs w:val="22"/>
          <w:lang w:eastAsia="sk-SK"/>
        </w:rPr>
      </w:pPr>
      <w:r>
        <w:rPr>
          <w:rFonts w:eastAsia="Times New Roman" w:cs="Times New Roman" w:ascii="Times New Roman" w:hAnsi="Times New Roman"/>
          <w:b/>
          <w:sz w:val="22"/>
          <w:szCs w:val="22"/>
          <w:lang w:eastAsia="sk-SK"/>
        </w:rPr>
        <w:t>Komisia športu a mládeže</w:t>
      </w:r>
    </w:p>
    <w:p>
      <w:pPr>
        <w:pStyle w:val="Normal"/>
        <w:spacing w:lineRule="auto" w:line="240"/>
        <w:rPr>
          <w:b/>
          <w:b/>
        </w:rPr>
      </w:pPr>
      <w:r>
        <w:rPr>
          <w:b/>
        </w:rPr>
      </w:r>
    </w:p>
    <w:p>
      <w:pPr>
        <w:pStyle w:val="Normal"/>
        <w:rPr>
          <w:b/>
          <w:b/>
        </w:rPr>
      </w:pPr>
      <w:r>
        <w:rPr>
          <w:b/>
        </w:rPr>
        <w:t>I.  VŠEOBECNÉ ÚDAJE</w:t>
      </w:r>
    </w:p>
    <w:p>
      <w:pPr>
        <w:pStyle w:val="Normal"/>
        <w:rPr>
          <w:b/>
          <w:b/>
        </w:rPr>
      </w:pPr>
      <w:r>
        <w:rPr>
          <w:b/>
        </w:rPr>
        <w:t>Identifikačné údaje konsolidujúcej účtovnej jednotky</w:t>
      </w:r>
    </w:p>
    <w:p>
      <w:pPr>
        <w:pStyle w:val="Normal"/>
        <w:spacing w:before="0" w:after="0"/>
        <w:rPr/>
      </w:pPr>
      <w:r>
        <w:rPr/>
        <w:t>Obec Bruty</w:t>
      </w:r>
    </w:p>
    <w:p>
      <w:pPr>
        <w:pStyle w:val="Normal"/>
        <w:spacing w:before="0" w:after="0"/>
        <w:rPr/>
      </w:pPr>
      <w:r>
        <w:rPr/>
        <w:t>Č. 111</w:t>
      </w:r>
    </w:p>
    <w:p>
      <w:pPr>
        <w:pStyle w:val="Normal"/>
        <w:spacing w:before="0" w:after="0"/>
        <w:rPr/>
      </w:pPr>
      <w:r>
        <w:rPr/>
        <w:t>943 55  Bruty</w:t>
      </w:r>
    </w:p>
    <w:p>
      <w:pPr>
        <w:pStyle w:val="Normal"/>
        <w:spacing w:before="0" w:after="0"/>
        <w:rPr/>
      </w:pPr>
      <w:r>
        <w:rPr/>
        <w:t>IČO: 00308820</w:t>
      </w:r>
    </w:p>
    <w:p>
      <w:pPr>
        <w:pStyle w:val="Normal"/>
        <w:spacing w:before="0" w:after="0"/>
        <w:rPr/>
      </w:pPr>
      <w:r>
        <w:rPr/>
      </w:r>
    </w:p>
    <w:p>
      <w:pPr>
        <w:pStyle w:val="Normal"/>
        <w:spacing w:before="0" w:after="0"/>
        <w:rPr/>
      </w:pPr>
      <w:r>
        <w:rPr/>
        <w:t>Obec Bruty (v ďalšom texte len „Obec“/ bola založená v roku 1990 zákonom č. 369/1990 Zb. o obecnom zriadení.</w:t>
      </w:r>
    </w:p>
    <w:p>
      <w:pPr>
        <w:pStyle w:val="Normal"/>
        <w:spacing w:before="0" w:after="0"/>
        <w:rPr/>
      </w:pPr>
      <w:r>
        <w:rPr/>
      </w:r>
    </w:p>
    <w:p>
      <w:pPr>
        <w:pStyle w:val="Normal"/>
        <w:spacing w:before="0" w:after="0"/>
        <w:rPr/>
      </w:pPr>
      <w:r>
        <w:rPr>
          <w:b/>
        </w:rPr>
        <w:t>Identifikačné údaje konsolidovaných účtovných jednotiek</w:t>
      </w:r>
    </w:p>
    <w:p>
      <w:pPr>
        <w:pStyle w:val="Normal"/>
        <w:spacing w:before="0" w:after="0"/>
        <w:rPr/>
      </w:pPr>
      <w:r>
        <w:rPr/>
      </w:r>
    </w:p>
    <w:p>
      <w:pPr>
        <w:pStyle w:val="Normal"/>
        <w:spacing w:before="0" w:after="0"/>
        <w:rPr/>
      </w:pPr>
      <w:r>
        <w:rPr/>
        <w:t>V konsolidovanom celku je 1 obchodná spoločnosť, Obecný podnik EURO OPP s.r.o., ktorú obec založila a je jediným spoločníkom.</w:t>
      </w:r>
    </w:p>
    <w:p>
      <w:pPr>
        <w:pStyle w:val="Normal"/>
        <w:spacing w:before="0" w:after="0"/>
        <w:rPr/>
      </w:pPr>
      <w:r>
        <w:rPr/>
      </w:r>
    </w:p>
    <w:tbl>
      <w:tblPr>
        <w:tblStyle w:val="Mriekatabuky"/>
        <w:tblW w:w="9211" w:type="dxa"/>
        <w:jc w:val="left"/>
        <w:tblInd w:w="0" w:type="dxa"/>
        <w:tblCellMar>
          <w:top w:w="0" w:type="dxa"/>
          <w:left w:w="108" w:type="dxa"/>
          <w:bottom w:w="0" w:type="dxa"/>
          <w:right w:w="108" w:type="dxa"/>
        </w:tblCellMar>
        <w:tblLook w:firstRow="1" w:noVBand="1" w:lastRow="0" w:firstColumn="1" w:lastColumn="0" w:noHBand="0" w:val="04a0"/>
      </w:tblPr>
      <w:tblGrid>
        <w:gridCol w:w="4605"/>
        <w:gridCol w:w="4605"/>
      </w:tblGrid>
      <w:tr>
        <w:trPr/>
        <w:tc>
          <w:tcPr>
            <w:tcW w:w="4605" w:type="dxa"/>
            <w:tcBorders/>
            <w:shd w:color="auto" w:fill="auto" w:val="clear"/>
          </w:tcPr>
          <w:p>
            <w:pPr>
              <w:pStyle w:val="Normal"/>
              <w:spacing w:lineRule="auto" w:line="240" w:before="0" w:after="0"/>
              <w:rPr>
                <w:b/>
                <w:b/>
              </w:rPr>
            </w:pPr>
            <w:r>
              <w:rPr>
                <w:b/>
              </w:rPr>
              <w:t>Názov konsolidovanej účtovnej jednotky</w:t>
            </w:r>
          </w:p>
        </w:tc>
        <w:tc>
          <w:tcPr>
            <w:tcW w:w="4605" w:type="dxa"/>
            <w:tcBorders/>
            <w:shd w:color="auto" w:fill="auto" w:val="clear"/>
          </w:tcPr>
          <w:p>
            <w:pPr>
              <w:pStyle w:val="Normal"/>
              <w:spacing w:lineRule="auto" w:line="240" w:before="0" w:after="0"/>
              <w:rPr>
                <w:b/>
                <w:b/>
              </w:rPr>
            </w:pPr>
            <w:r>
              <w:rPr>
                <w:b/>
              </w:rPr>
              <w:t>Sídlo konsolidovanej účtovnej jednotky</w:t>
            </w:r>
          </w:p>
        </w:tc>
      </w:tr>
      <w:tr>
        <w:trPr/>
        <w:tc>
          <w:tcPr>
            <w:tcW w:w="4605" w:type="dxa"/>
            <w:tcBorders/>
            <w:shd w:color="auto" w:fill="auto" w:val="clear"/>
          </w:tcPr>
          <w:p>
            <w:pPr>
              <w:pStyle w:val="Normal"/>
              <w:spacing w:lineRule="auto" w:line="240" w:before="0" w:after="0"/>
              <w:rPr/>
            </w:pPr>
            <w:r>
              <w:rPr/>
              <w:t>EURO OPP s.r.o.</w:t>
            </w:r>
          </w:p>
        </w:tc>
        <w:tc>
          <w:tcPr>
            <w:tcW w:w="4605" w:type="dxa"/>
            <w:tcBorders/>
            <w:shd w:color="auto" w:fill="auto" w:val="clear"/>
          </w:tcPr>
          <w:p>
            <w:pPr>
              <w:pStyle w:val="Normal"/>
              <w:spacing w:lineRule="auto" w:line="240" w:before="0" w:after="0"/>
              <w:rPr/>
            </w:pPr>
            <w:r>
              <w:rPr/>
              <w:t>č.115,  943 55  Bruty</w:t>
            </w:r>
          </w:p>
        </w:tc>
      </w:tr>
    </w:tbl>
    <w:p>
      <w:pPr>
        <w:pStyle w:val="Normal"/>
        <w:spacing w:before="0" w:after="0"/>
        <w:rPr/>
      </w:pPr>
      <w:r>
        <w:rPr/>
      </w:r>
    </w:p>
    <w:p>
      <w:pPr>
        <w:pStyle w:val="Normal"/>
        <w:spacing w:before="0" w:after="0"/>
        <w:rPr/>
      </w:pPr>
      <w:r>
        <w:rPr/>
        <w:t>Konsolidovaný celok Obce sa v roku 2019 oproti minulým účtovným obdobiam nezmenil.</w:t>
      </w:r>
    </w:p>
    <w:p>
      <w:pPr>
        <w:pStyle w:val="Normal"/>
        <w:spacing w:before="0" w:after="0"/>
        <w:rPr/>
      </w:pPr>
      <w:r>
        <w:rPr/>
        <w:t xml:space="preserve"> </w:t>
      </w:r>
    </w:p>
    <w:p>
      <w:pPr>
        <w:pStyle w:val="Normal"/>
        <w:spacing w:before="0" w:after="0"/>
        <w:rPr/>
      </w:pPr>
      <w:r>
        <w:rPr/>
        <w:t xml:space="preserve">Prehľad o účtovných jednotkách konsolidovaného celku je uvedený v prílohe v tabuľkovej časti </w:t>
      </w:r>
      <w:r>
        <w:rPr>
          <w:i/>
        </w:rPr>
        <w:t>Údaje o konsolidovanom celku.</w:t>
      </w:r>
    </w:p>
    <w:p>
      <w:pPr>
        <w:pStyle w:val="Normal"/>
        <w:spacing w:before="0" w:after="0"/>
        <w:rPr/>
      </w:pPr>
      <w:r>
        <w:rPr/>
      </w:r>
    </w:p>
    <w:p>
      <w:pPr>
        <w:pStyle w:val="Normal"/>
        <w:spacing w:before="0" w:after="0"/>
        <w:rPr/>
      </w:pPr>
      <w:r>
        <w:rPr/>
        <w:t>Konsolidovaná účtovná závierka konsolidovaného celku Obce k 31. decembru 2019 je zostavená ako riadna konsolidovaná účtovná závierka podľa zákona č. 431/2002 Z.z. o účtovníctve v znení neskorších predpisov za účtovné obdobie od 1. januára 2019 do 31. decembra 2019.</w:t>
      </w:r>
    </w:p>
    <w:p>
      <w:pPr>
        <w:pStyle w:val="Normal"/>
        <w:spacing w:before="0" w:after="0"/>
        <w:rPr/>
      </w:pPr>
      <w:r>
        <w:rPr/>
      </w:r>
    </w:p>
    <w:p>
      <w:pPr>
        <w:pStyle w:val="Normal"/>
        <w:spacing w:before="0" w:after="0"/>
        <w:rPr/>
      </w:pPr>
      <w:r>
        <w:rPr/>
      </w:r>
    </w:p>
    <w:p>
      <w:pPr>
        <w:pStyle w:val="Normal"/>
        <w:spacing w:before="0" w:after="0"/>
        <w:rPr/>
      </w:pPr>
      <w:r>
        <w:rPr/>
        <w:t>Obec je súčasťou súhrnného celku verejnej správy Slovenskej republiky.</w:t>
      </w:r>
    </w:p>
    <w:p>
      <w:pPr>
        <w:pStyle w:val="Normal"/>
        <w:spacing w:before="0" w:after="0"/>
        <w:rPr/>
      </w:pPr>
      <w:r>
        <w:rPr/>
      </w:r>
    </w:p>
    <w:p>
      <w:pPr>
        <w:pStyle w:val="Normal"/>
        <w:spacing w:before="0" w:after="0"/>
        <w:rPr/>
      </w:pPr>
      <w:bookmarkStart w:id="0" w:name="_GoBack"/>
      <w:bookmarkEnd w:id="0"/>
      <w:r>
        <w:rPr>
          <w:b/>
        </w:rPr>
        <w:t>Informácie o vedúcich predstaviteľoch a o zamestnancoch konsolidovaného celku</w:t>
      </w:r>
    </w:p>
    <w:p>
      <w:pPr>
        <w:pStyle w:val="Normal"/>
        <w:spacing w:before="0" w:after="0"/>
        <w:rPr/>
      </w:pPr>
      <w:r>
        <w:rPr/>
      </w:r>
    </w:p>
    <w:p>
      <w:pPr>
        <w:pStyle w:val="Normal"/>
        <w:spacing w:before="0" w:after="0"/>
        <w:rPr/>
      </w:pPr>
      <w:r>
        <w:rPr/>
        <w:t>Starosta obce:                                           Ing. Alexander Hubač</w:t>
      </w:r>
    </w:p>
    <w:p>
      <w:pPr>
        <w:pStyle w:val="Normal"/>
        <w:spacing w:before="0" w:after="0"/>
        <w:rPr/>
      </w:pPr>
      <w:r>
        <w:rPr/>
      </w:r>
    </w:p>
    <w:p>
      <w:pPr>
        <w:pStyle w:val="Normal"/>
        <w:spacing w:before="0" w:after="0"/>
        <w:rPr/>
      </w:pPr>
      <w:r>
        <w:rPr/>
        <w:t>Zástupca starostu:                                    Bartal Monika</w:t>
      </w:r>
    </w:p>
    <w:p>
      <w:pPr>
        <w:pStyle w:val="Normal"/>
        <w:spacing w:before="0" w:after="0"/>
        <w:rPr/>
      </w:pPr>
      <w:r>
        <w:rPr/>
      </w:r>
    </w:p>
    <w:p>
      <w:pPr>
        <w:pStyle w:val="Normal"/>
        <w:spacing w:before="0" w:after="0"/>
        <w:rPr/>
      </w:pPr>
      <w:r>
        <w:rPr/>
        <w:t>Hlavný kontrolór obce:                            Mgr. Žákovičová Katarína</w:t>
      </w:r>
    </w:p>
    <w:p>
      <w:pPr>
        <w:pStyle w:val="Normal"/>
        <w:spacing w:before="0" w:after="0"/>
        <w:rPr/>
      </w:pPr>
      <w:r>
        <w:rPr/>
        <w:t>Priemerný počet zamestnancov konsolidovaného celku Obce v roku 2019 bol 18, z toho 3 vedúci zamestnanci.</w:t>
      </w:r>
    </w:p>
    <w:p>
      <w:pPr>
        <w:pStyle w:val="Normal"/>
        <w:spacing w:before="0" w:after="0"/>
        <w:rPr/>
      </w:pPr>
      <w:r>
        <w:rPr/>
      </w:r>
    </w:p>
    <w:p>
      <w:pPr>
        <w:pStyle w:val="Normal"/>
        <w:spacing w:before="0" w:after="0"/>
        <w:rPr/>
      </w:pPr>
      <w:r>
        <w:rPr>
          <w:b/>
        </w:rPr>
        <w:t>Informácia o splnení predpokladu nepretržitého pokračovania v činnosti účtovnej jednotky</w:t>
      </w:r>
    </w:p>
    <w:p>
      <w:pPr>
        <w:pStyle w:val="Normal"/>
        <w:spacing w:before="0" w:after="0"/>
        <w:rPr/>
      </w:pPr>
      <w:r>
        <w:rPr/>
      </w:r>
    </w:p>
    <w:p>
      <w:pPr>
        <w:pStyle w:val="Normal"/>
        <w:spacing w:before="0" w:after="0"/>
        <w:rPr/>
      </w:pPr>
      <w:r>
        <w:rPr/>
        <w:t>Konsolidovaná účtovná závierka Obce bola zostavená za predpokladu nepretržitého trvania činnosti v súlade so zákonom o účtovníctve a nadväzujúcimi právnymi predpismi.</w:t>
      </w:r>
    </w:p>
    <w:p>
      <w:pPr>
        <w:pStyle w:val="Normal"/>
        <w:spacing w:before="0" w:after="0"/>
        <w:rPr/>
      </w:pPr>
      <w:r>
        <w:rPr/>
      </w:r>
    </w:p>
    <w:p>
      <w:pPr>
        <w:pStyle w:val="Normal"/>
        <w:spacing w:before="0" w:after="0"/>
        <w:rPr>
          <w:b/>
          <w:b/>
        </w:rPr>
      </w:pPr>
      <w:r>
        <w:rPr>
          <w:b/>
        </w:rPr>
      </w:r>
    </w:p>
    <w:p>
      <w:pPr>
        <w:pStyle w:val="Normal"/>
        <w:spacing w:before="0" w:after="0"/>
        <w:rPr>
          <w:b/>
          <w:b/>
        </w:rPr>
      </w:pPr>
      <w:r>
        <w:rPr>
          <w:b/>
        </w:rPr>
        <w:t>Zmeny účtovných metód a účtovných zásad</w:t>
      </w:r>
    </w:p>
    <w:p>
      <w:pPr>
        <w:pStyle w:val="Normal"/>
        <w:spacing w:before="0" w:after="0"/>
        <w:rPr/>
      </w:pPr>
      <w:r>
        <w:rPr/>
      </w:r>
    </w:p>
    <w:p>
      <w:pPr>
        <w:pStyle w:val="Normal"/>
        <w:spacing w:before="0" w:after="0"/>
        <w:rPr/>
      </w:pPr>
      <w:r>
        <w:rPr/>
        <w:t>Účtovné metódy a všeobecné zásady boli účtovnou jednotkou konzistentne aplikované.</w:t>
      </w:r>
    </w:p>
    <w:p>
      <w:pPr>
        <w:pStyle w:val="Normal"/>
        <w:spacing w:before="0" w:after="0"/>
        <w:rPr/>
      </w:pPr>
      <w:r>
        <w:rPr/>
      </w:r>
    </w:p>
    <w:p>
      <w:pPr>
        <w:pStyle w:val="Normal"/>
        <w:spacing w:before="0" w:after="0"/>
        <w:rPr>
          <w:b/>
          <w:b/>
        </w:rPr>
      </w:pPr>
      <w:r>
        <w:rPr>
          <w:b/>
        </w:rPr>
        <w:t>Spôsob ocenenia jednotlivých zložiek</w:t>
      </w:r>
    </w:p>
    <w:p>
      <w:pPr>
        <w:pStyle w:val="Normal"/>
        <w:spacing w:before="0" w:after="0"/>
        <w:rPr>
          <w:rFonts w:ascii="Calibri" w:hAnsi="Calibri"/>
          <w:b/>
          <w:b/>
        </w:rPr>
      </w:pPr>
      <w:r>
        <w:rPr>
          <w:b/>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nakupovaný </w:t>
      </w:r>
      <w:r>
        <w:rPr>
          <w:rFonts w:eastAsia="Times New Roman" w:cs="Times New Roman"/>
          <w:lang w:eastAsia="sk-SK"/>
        </w:rPr>
        <w:t xml:space="preserve">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1" w:name="__Fieldmark__172_2880745704"/>
      <w:bookmarkStart w:id="2" w:name="__Fieldmark__194_3897975289"/>
      <w:bookmarkStart w:id="3" w:name="__Fieldmark__644_965007702"/>
      <w:bookmarkStart w:id="4" w:name="__Fieldmark__225_1452369782"/>
      <w:bookmarkStart w:id="5" w:name="__Fieldmark__172_2880745704"/>
      <w:bookmarkStart w:id="6" w:name="__Fieldmark__172_2880745704"/>
      <w:bookmarkEnd w:id="2"/>
      <w:bookmarkEnd w:id="3"/>
      <w:bookmarkEnd w:id="4"/>
      <w:bookmarkEnd w:id="6"/>
      <w:r>
        <w:rPr/>
      </w:r>
      <w:r>
        <w:rPr/>
        <w:fldChar w:fldCharType="end"/>
      </w:r>
      <w:r>
        <w:rPr>
          <w:rFonts w:eastAsia="Times New Roman" w:cs="Tahoma"/>
          <w:b/>
          <w:bCs/>
          <w:lang w:eastAsia="sk-SK"/>
        </w:rPr>
        <w:t xml:space="preserve">  </w:t>
      </w:r>
      <w:r>
        <w:rPr>
          <w:rFonts w:eastAsia="Times New Roman" w:cs="Tahoma"/>
          <w:bCs/>
          <w:lang w:eastAsia="sk-SK"/>
        </w:rPr>
        <w:t xml:space="preserve">provízia </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 xml:space="preserve">poistné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nehmotný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nepriame náklady, ktoré sú spojené s výrobou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hmotný majetok nakupovaný</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 Obstarávacia cena zahŕňa cenu, za ktorú sa majetok obstaral a náklady súvisiace s jeho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montáž </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7" w:name="__Fieldmark__217_2880745704"/>
      <w:bookmarkStart w:id="8" w:name="__Fieldmark__236_3897975289"/>
      <w:bookmarkStart w:id="9" w:name="__Fieldmark__676_965007702"/>
      <w:bookmarkStart w:id="10" w:name="__Fieldmark__260_1452369782"/>
      <w:bookmarkStart w:id="11" w:name="__Fieldmark__217_2880745704"/>
      <w:bookmarkStart w:id="12" w:name="__Fieldmark__217_2880745704"/>
      <w:bookmarkEnd w:id="8"/>
      <w:bookmarkEnd w:id="9"/>
      <w:bookmarkEnd w:id="10"/>
      <w:bookmarkEnd w:id="12"/>
      <w:r>
        <w:rPr/>
      </w:r>
      <w:r>
        <w:rPr/>
        <w:fldChar w:fldCharType="end"/>
      </w:r>
      <w:r>
        <w:rPr>
          <w:rFonts w:eastAsia="Times New Roman" w:cs="Tahoma"/>
          <w:b/>
          <w:bCs/>
          <w:lang w:eastAsia="sk-SK"/>
        </w:rPr>
        <w:t xml:space="preserve">  </w:t>
      </w:r>
      <w:r>
        <w:rPr>
          <w:rFonts w:eastAsia="Times New Roman" w:cs="Tahoma"/>
          <w:bCs/>
          <w:lang w:eastAsia="sk-SK"/>
        </w:rPr>
        <w:t>provízia</w:t>
      </w:r>
    </w:p>
    <w:p>
      <w:pPr>
        <w:pStyle w:val="Normal"/>
        <w:spacing w:lineRule="auto" w:line="240" w:before="0" w:after="0"/>
        <w:ind w:left="284" w:hanging="0"/>
        <w:jc w:val="both"/>
        <w:rPr>
          <w:rFonts w:ascii="Calibri" w:hAnsi="Calibri" w:eastAsia="Times New Roman" w:cs="Tahoma"/>
          <w:b/>
          <w:b/>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iné  </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Súčasťou obstarávacej ceny nie sú:</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úroky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lang w:eastAsia="sk-SK"/>
        </w:rPr>
        <w:t>x</w:t>
      </w:r>
      <w:r>
        <w:rPr>
          <w:rFonts w:eastAsia="Times New Roman" w:cs="Times New Roman"/>
          <w:lang w:eastAsia="sk-SK"/>
        </w:rPr>
        <w:t xml:space="preserve">  realizované kurzové rozdiely,</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t xml:space="preserve">    </w:t>
      </w:r>
      <w:r>
        <w:rPr>
          <w:rFonts w:eastAsia="Times New Roman" w:cs="Times New Roman"/>
          <w:lang w:eastAsia="sk-SK"/>
        </w:rPr>
        <w:t>ktoré vznikli do momentu uvedenia dlhodobého majetku do užívania.</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Dlhodobý hmotný majetok vytvorený vlastnou činnosťou </w:t>
      </w:r>
      <w:r>
        <w:rPr>
          <w:rFonts w:eastAsia="Times New Roman" w:cs="Times New Roman"/>
          <w:lang w:eastAsia="sk-SK"/>
        </w:rPr>
        <w:t xml:space="preserve">sa oceňuje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nepriame náklady (výrobná réžia) súvisiace s vytvorením dlhodobého hmotného majetku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x  iné </w:t>
      </w:r>
    </w:p>
    <w:p>
      <w:pPr>
        <w:pStyle w:val="Normal"/>
        <w:spacing w:lineRule="auto" w:line="240" w:before="0" w:after="0"/>
        <w:ind w:left="425" w:hanging="0"/>
        <w:jc w:val="both"/>
        <w:rPr>
          <w:rFonts w:ascii="Calibri" w:hAnsi="Calibri" w:eastAsia="Times New Roman" w:cs="Tahoma"/>
          <w:bCs/>
          <w:lang w:eastAsia="sk-SK"/>
        </w:rPr>
      </w:pPr>
      <w:r>
        <w:rPr>
          <w:rFonts w:eastAsia="Times New Roman" w:cs="Tahoma"/>
          <w:bCs/>
          <w:lang w:eastAsia="sk-SK"/>
        </w:rPr>
      </w:r>
    </w:p>
    <w:p>
      <w:pPr>
        <w:pStyle w:val="Normal"/>
        <w:numPr>
          <w:ilvl w:val="0"/>
          <w:numId w:val="2"/>
        </w:numPr>
        <w:spacing w:lineRule="auto" w:line="240" w:before="0" w:after="0"/>
        <w:ind w:left="284" w:hanging="283"/>
        <w:jc w:val="both"/>
        <w:rPr>
          <w:rFonts w:ascii="Calibri" w:hAnsi="Calibri" w:eastAsia="Times New Roman" w:cs="Times New Roman"/>
          <w:u w:val="single"/>
          <w:lang w:eastAsia="sk-SK"/>
        </w:rPr>
      </w:pPr>
      <w:r>
        <w:rPr>
          <w:rFonts w:eastAsia="Times New Roman" w:cs="Times New Roman"/>
          <w:b/>
          <w:lang w:eastAsia="sk-SK"/>
        </w:rPr>
        <w:t>Dlhodobý nehmotný majetok a dlhodobý hmotný majetok získaný</w:t>
      </w:r>
      <w:r>
        <w:rPr>
          <w:rFonts w:eastAsia="Times New Roman" w:cs="Times New Roman"/>
          <w:lang w:eastAsia="sk-SK"/>
        </w:rPr>
        <w:t xml:space="preserve"> </w:t>
      </w:r>
      <w:r>
        <w:rPr>
          <w:rFonts w:eastAsia="Times New Roman" w:cs="Times New Roman"/>
          <w:b/>
          <w:lang w:eastAsia="sk-SK"/>
        </w:rPr>
        <w:t>bezodplatne</w:t>
      </w:r>
      <w:r>
        <w:rPr>
          <w:rFonts w:eastAsia="Times New Roman" w:cs="Times New Roman"/>
          <w:lang w:eastAsia="sk-SK"/>
        </w:rPr>
        <w:t xml:space="preserve"> </w:t>
      </w:r>
      <w:r>
        <w:rPr>
          <w:rFonts w:eastAsia="Times New Roman" w:cs="Times New Roman"/>
          <w:u w:val="single"/>
          <w:lang w:eastAsia="sk-SK"/>
        </w:rPr>
        <w:t xml:space="preserve">sa oceňuje  reprodukčnou 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Dlhodobý finančný majetok</w:t>
      </w:r>
      <w:r>
        <w:rPr>
          <w:rFonts w:eastAsia="Times New Roman" w:cs="Times New Roman"/>
          <w:lang w:eastAsia="sk-SK"/>
        </w:rPr>
        <w:t xml:space="preserve"> sa oceňuje </w:t>
      </w:r>
      <w:r>
        <w:rPr>
          <w:rFonts w:eastAsia="Times New Roman" w:cs="Times New Roman"/>
          <w:u w:val="single"/>
          <w:lang w:eastAsia="sk-SK"/>
        </w:rPr>
        <w:t>obstarávacou cenou</w:t>
      </w:r>
      <w:r>
        <w:rPr>
          <w:rFonts w:eastAsia="Times New Roman" w:cs="Times New Roman"/>
          <w:lang w:eastAsia="sk-SK"/>
        </w:rPr>
        <w:t>.</w:t>
      </w:r>
    </w:p>
    <w:p>
      <w:pPr>
        <w:pStyle w:val="Normal"/>
        <w:tabs>
          <w:tab w:val="clear" w:pos="708"/>
          <w:tab w:val="left" w:pos="284" w:leader="none"/>
        </w:tabs>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Obstarávacia cena zahŕňa cenu, za ktorú sa majetok obstaral a náklady súvisiace s jeho obstaraním. </w:t>
      </w:r>
    </w:p>
    <w:p>
      <w:pPr>
        <w:pStyle w:val="Normal"/>
        <w:spacing w:lineRule="auto" w:line="240" w:before="0" w:after="0"/>
        <w:ind w:left="720" w:hanging="0"/>
        <w:jc w:val="both"/>
        <w:rPr>
          <w:rFonts w:ascii="Calibri" w:hAnsi="Calibri" w:eastAsia="Times New Roman" w:cs="Tahoma"/>
          <w:b/>
          <w:b/>
          <w:bCs/>
          <w:lang w:eastAsia="sk-SK"/>
        </w:rPr>
      </w:pPr>
      <w:r>
        <w:rPr>
          <w:rFonts w:eastAsia="Times New Roman" w:cs="Tahoma"/>
          <w:b/>
          <w:bCs/>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Zásoby nakupované</w:t>
      </w:r>
    </w:p>
    <w:p>
      <w:pPr>
        <w:pStyle w:val="Normal"/>
        <w:spacing w:lineRule="auto" w:line="240" w:before="0" w:after="0"/>
        <w:ind w:left="284" w:hanging="0"/>
        <w:jc w:val="both"/>
        <w:rPr>
          <w:rFonts w:ascii="Calibri" w:hAnsi="Calibri" w:eastAsia="Times New Roman" w:cs="Times New Roman"/>
          <w:b/>
          <w:b/>
          <w:lang w:eastAsia="sk-SK"/>
        </w:rPr>
      </w:pPr>
      <w:r>
        <w:rPr>
          <w:rFonts w:eastAsia="Times New Roman" w:cs="Times New Roman"/>
          <w:lang w:eastAsia="sk-SK"/>
        </w:rPr>
        <w:t>Nakupované zásoby</w:t>
      </w:r>
      <w:r>
        <w:rPr>
          <w:rFonts w:eastAsia="Times New Roman" w:cs="Times New Roman"/>
          <w:b/>
          <w:lang w:eastAsia="sk-SK"/>
        </w:rPr>
        <w:t xml:space="preserve"> </w:t>
      </w:r>
      <w:r>
        <w:rPr>
          <w:rFonts w:eastAsia="Times New Roman" w:cs="Times New Roman"/>
          <w:lang w:eastAsia="sk-SK"/>
        </w:rPr>
        <w:t xml:space="preserve">sa oceňujú </w:t>
      </w:r>
      <w:r>
        <w:rPr>
          <w:rFonts w:eastAsia="Times New Roman" w:cs="Times New Roman"/>
          <w:u w:val="single"/>
          <w:lang w:eastAsia="sk-SK"/>
        </w:rPr>
        <w:t>obstarávacou cenou</w:t>
      </w:r>
      <w:r>
        <w:rPr>
          <w:rFonts w:eastAsia="Times New Roman" w:cs="Times New Roman"/>
          <w:lang w:eastAsia="sk-SK"/>
        </w:rPr>
        <w:t>.</w:t>
      </w:r>
      <w:r>
        <w:rPr>
          <w:rFonts w:eastAsia="Times New Roman" w:cs="Times New Roman"/>
          <w:b/>
          <w:lang w:eastAsia="sk-SK"/>
        </w:rPr>
        <w:t xml:space="preserve">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Obstarávacia cena zahŕňa cenu, za ktorú sa zásoby obstarali a náklady súvisiace s ich obstaraním. Vyskytujúce sa náklady súvisiace s obstaraním v účtovnej jednotke:</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dopravné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13" w:name="__Fieldmark__276_2880745704"/>
      <w:bookmarkStart w:id="14" w:name="__Fieldmark__292_3897975289"/>
      <w:bookmarkStart w:id="15" w:name="__Fieldmark__722_965007702"/>
      <w:bookmarkStart w:id="16" w:name="__Fieldmark__309_1452369782"/>
      <w:bookmarkStart w:id="17" w:name="__Fieldmark__276_2880745704"/>
      <w:bookmarkStart w:id="18" w:name="__Fieldmark__276_2880745704"/>
      <w:bookmarkEnd w:id="14"/>
      <w:bookmarkEnd w:id="15"/>
      <w:bookmarkEnd w:id="16"/>
      <w:bookmarkEnd w:id="18"/>
      <w:r>
        <w:rPr/>
      </w:r>
      <w:r>
        <w:rPr/>
        <w:fldChar w:fldCharType="end"/>
      </w:r>
      <w:r>
        <w:rPr>
          <w:rFonts w:eastAsia="Times New Roman" w:cs="Tahoma"/>
          <w:b/>
          <w:bCs/>
          <w:lang w:eastAsia="sk-SK"/>
        </w:rPr>
        <w:t xml:space="preserve">  </w:t>
      </w:r>
      <w:r>
        <w:rPr>
          <w:rFonts w:eastAsia="Times New Roman" w:cs="Tahoma"/>
          <w:bCs/>
          <w:lang w:eastAsia="sk-SK"/>
        </w:rPr>
        <w:t>provízie</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poistné</w:t>
      </w:r>
    </w:p>
    <w:p>
      <w:pPr>
        <w:pStyle w:val="Normal"/>
        <w:spacing w:lineRule="auto" w:line="240" w:before="0" w:after="0"/>
        <w:ind w:left="284" w:hanging="0"/>
        <w:jc w:val="both"/>
        <w:rPr/>
      </w:pPr>
      <w:r>
        <w:fldChar w:fldCharType="begin">
          <w:ffData>
            <w:name w:val=""/>
            <w:enabled/>
            <w:calcOnExit w:val="0"/>
            <w:checkBox>
              <w:sizeAuto/>
            </w:checkBox>
          </w:ffData>
        </w:fldChar>
      </w:r>
      <w:r>
        <w:rPr/>
        <w:instrText> FORMCHECKBOX </w:instrText>
      </w:r>
      <w:r>
        <w:rPr/>
        <w:fldChar w:fldCharType="separate"/>
      </w:r>
      <w:bookmarkStart w:id="19" w:name="__Fieldmark__294_2880745704"/>
      <w:bookmarkStart w:id="20" w:name="__Fieldmark__307_3897975289"/>
      <w:bookmarkStart w:id="21" w:name="__Fieldmark__729_965007702"/>
      <w:bookmarkStart w:id="22" w:name="__Fieldmark__319_1452369782"/>
      <w:bookmarkStart w:id="23" w:name="__Fieldmark__294_2880745704"/>
      <w:bookmarkStart w:id="24" w:name="__Fieldmark__294_2880745704"/>
      <w:bookmarkEnd w:id="20"/>
      <w:bookmarkEnd w:id="21"/>
      <w:bookmarkEnd w:id="22"/>
      <w:bookmarkEnd w:id="24"/>
      <w:r>
        <w:rPr/>
      </w:r>
      <w:r>
        <w:rPr/>
        <w:fldChar w:fldCharType="end"/>
      </w:r>
      <w:r>
        <w:rPr>
          <w:rFonts w:eastAsia="Times New Roman" w:cs="Tahoma"/>
          <w:b/>
          <w:bCs/>
          <w:lang w:eastAsia="sk-SK"/>
        </w:rPr>
        <w:t xml:space="preserve">  </w:t>
      </w:r>
      <w:r>
        <w:rPr>
          <w:rFonts w:eastAsia="Times New Roman" w:cs="Tahoma"/>
          <w:bCs/>
          <w:lang w:eastAsia="sk-SK"/>
        </w:rPr>
        <w:t>clo</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iné</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Cs/>
          <w:lang w:eastAsia="sk-SK"/>
        </w:rPr>
        <w:t xml:space="preserve">  </w:t>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vytvorené vlastnou činnosťou </w:t>
      </w:r>
      <w:r>
        <w:rPr>
          <w:rFonts w:eastAsia="Times New Roman" w:cs="Times New Roman"/>
          <w:lang w:eastAsia="sk-SK"/>
        </w:rPr>
        <w:t xml:space="preserve">sa oceňujú </w:t>
      </w:r>
      <w:r>
        <w:rPr>
          <w:rFonts w:eastAsia="Times New Roman" w:cs="Times New Roman"/>
          <w:u w:val="single"/>
          <w:lang w:eastAsia="sk-SK"/>
        </w:rPr>
        <w:t>vlastnými nákladmi</w:t>
      </w:r>
      <w:r>
        <w:rPr>
          <w:rFonts w:eastAsia="Times New Roman" w:cs="Times New Roman"/>
          <w:lang w:eastAsia="sk-SK"/>
        </w:rPr>
        <w:t>.</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Vlastné náklady obsahujú:</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 xml:space="preserve">priame náklady </w:t>
      </w:r>
    </w:p>
    <w:p>
      <w:pPr>
        <w:pStyle w:val="Normal"/>
        <w:spacing w:lineRule="auto" w:line="240" w:before="0" w:after="0"/>
        <w:ind w:left="284" w:hanging="0"/>
        <w:jc w:val="both"/>
        <w:rPr>
          <w:rFonts w:ascii="Calibri" w:hAnsi="Calibri" w:eastAsia="Times New Roman" w:cs="Tahoma"/>
          <w:bCs/>
          <w:lang w:eastAsia="sk-SK"/>
        </w:rPr>
      </w:pPr>
      <w:r>
        <w:rPr>
          <w:rFonts w:eastAsia="Times New Roman" w:cs="Tahoma"/>
          <w:b/>
          <w:bCs/>
          <w:lang w:eastAsia="sk-SK"/>
        </w:rPr>
        <w:t xml:space="preserve">x  </w:t>
      </w:r>
      <w:r>
        <w:rPr>
          <w:rFonts w:eastAsia="Times New Roman" w:cs="Tahoma"/>
          <w:bCs/>
          <w:lang w:eastAsia="sk-SK"/>
        </w:rPr>
        <w:t>časť nepriamych nákladov, súvisiaca s ich vytváraním</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Zásoby získané bezodplatne </w:t>
      </w:r>
      <w:r>
        <w:rPr>
          <w:rFonts w:eastAsia="Times New Roman" w:cs="Times New Roman"/>
          <w:lang w:eastAsia="sk-SK"/>
        </w:rPr>
        <w:t xml:space="preserve">sa oceňujú </w:t>
      </w:r>
      <w:r>
        <w:rPr>
          <w:rFonts w:eastAsia="Times New Roman" w:cs="Times New Roman"/>
          <w:u w:val="single"/>
          <w:lang w:eastAsia="sk-SK"/>
        </w:rPr>
        <w:t>reprodukčnou obstarávacou cenou.</w:t>
      </w:r>
    </w:p>
    <w:p>
      <w:pPr>
        <w:pStyle w:val="Normal"/>
        <w:spacing w:lineRule="auto" w:line="240" w:before="0" w:after="0"/>
        <w:ind w:left="426" w:hanging="426"/>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Pohľadávky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Pohľadávky pri ich vzniku sa oceňujú ich menovitou hodnotou. Toto ocenenie sa znižuje o pochybné a nevymožiteľné pohľadávky prostredníctvom opravnej položky.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Krátkodobý finančný majetok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Peňažné prostriedky a ceniny sa oceňujú ich menovitou hodnotou. Zníženie ich hodnoty sa vyjadruje opravnou položkou.</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Časové rozlíšenie na strane aktív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Náklady budúcich období a príjmy budúcich období sa vykazujú vo výške, ktorá je potrebná na dodržanie zásady vecnej a časovej súvislosti s účtovným obdobím.</w:t>
      </w:r>
    </w:p>
    <w:p>
      <w:pPr>
        <w:pStyle w:val="Normal"/>
        <w:spacing w:lineRule="auto" w:line="240" w:before="0" w:after="0"/>
        <w:ind w:left="71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Záväzky, vrátane rezerv, dlhopisov, pôžičiek a úverov</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Záväzky</w:t>
      </w:r>
      <w:r>
        <w:rPr>
          <w:rFonts w:eastAsia="Times New Roman" w:cs="Times New Roman"/>
          <w:lang w:eastAsia="sk-SK"/>
        </w:rPr>
        <w:t xml:space="preserve"> pri ich vzniku sa oceňujú </w:t>
      </w:r>
      <w:r>
        <w:rPr>
          <w:rFonts w:eastAsia="Times New Roman" w:cs="Times New Roman"/>
          <w:u w:val="single"/>
          <w:lang w:eastAsia="sk-SK"/>
        </w:rPr>
        <w:t>menovitou hodnotou</w:t>
      </w:r>
      <w:r>
        <w:rPr>
          <w:rFonts w:eastAsia="Times New Roman"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u w:val="single"/>
          <w:lang w:eastAsia="sk-SK"/>
        </w:rPr>
        <w:t>Rezervy</w:t>
      </w:r>
      <w:r>
        <w:rPr>
          <w:rFonts w:eastAsia="Times New Roman" w:cs="Times New Roman"/>
          <w:lang w:eastAsia="sk-SK"/>
        </w:rPr>
        <w:t xml:space="preserve"> sú záväzky s neurčitým časovým vymedzením alebo výškou; tvoria sa na krytie známych rizík alebo strát z podnikania. Oceňujú sa v očakávanej výške záväzku.</w:t>
      </w:r>
    </w:p>
    <w:p>
      <w:pPr>
        <w:pStyle w:val="Normal"/>
        <w:spacing w:lineRule="auto" w:line="240" w:before="0" w:after="0"/>
        <w:ind w:left="426"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Časové rozlíšenie na strane pasív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Výdavky budúcich období a výnosy budúcich období sa vykazujú vo výške, ktorá je potrebná na dodržanie zásady vecnej a časovej súvislosti s účtovným obdobím.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Deriváty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Deriváty sa oceňujú </w:t>
      </w:r>
      <w:r>
        <w:rPr>
          <w:rFonts w:eastAsia="Times New Roman" w:cs="Times New Roman"/>
          <w:u w:val="single"/>
          <w:lang w:eastAsia="sk-SK"/>
        </w:rPr>
        <w:t>reálnou hodnotou</w:t>
      </w:r>
      <w:r>
        <w:rPr>
          <w:rFonts w:eastAsia="Times New Roman" w:cs="Times New Roman"/>
          <w:lang w:eastAsia="sk-SK"/>
        </w:rPr>
        <w:t>.</w:t>
      </w:r>
    </w:p>
    <w:p>
      <w:pPr>
        <w:pStyle w:val="Normal"/>
        <w:spacing w:lineRule="auto" w:line="240" w:before="0" w:after="0"/>
        <w:ind w:left="720"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a záväzky zabezpečené derivátmi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Majetok a záväzky zabezpečené derivátmi sa oceňujú </w:t>
      </w:r>
      <w:r>
        <w:rPr>
          <w:rFonts w:eastAsia="Times New Roman" w:cs="Times New Roman"/>
          <w:u w:val="single"/>
          <w:lang w:eastAsia="sk-SK"/>
        </w:rPr>
        <w:t>reálnou hodnotou</w:t>
      </w:r>
      <w:r>
        <w:rPr>
          <w:rFonts w:eastAsia="Times New Roman" w:cs="Times New Roman"/>
          <w:lang w:eastAsia="sk-SK"/>
        </w:rPr>
        <w:t xml:space="preserve">. Zmeny reálnych hodnôt majetku a záväzkov zabezpečených derivátmi sa účtujú bez vplyvu na výsledok hospodárenia, priamo do vlastného imania.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b/>
          <w:b/>
          <w:lang w:eastAsia="sk-SK"/>
        </w:rPr>
      </w:pPr>
      <w:r>
        <w:rPr>
          <w:rFonts w:eastAsia="Times New Roman" w:cs="Times New Roman"/>
          <w:b/>
          <w:lang w:eastAsia="sk-SK"/>
        </w:rPr>
        <w:t xml:space="preserve">Majetok obstaraný z transferov </w:t>
      </w:r>
      <w:r>
        <w:rPr>
          <w:rFonts w:eastAsia="Times New Roman" w:cs="Times New Roman"/>
          <w:lang w:eastAsia="sk-SK"/>
        </w:rPr>
        <w:t>sa oceňuje</w:t>
      </w:r>
      <w:r>
        <w:rPr>
          <w:rFonts w:eastAsia="Times New Roman" w:cs="Times New Roman"/>
          <w:u w:val="single"/>
          <w:lang w:eastAsia="sk-SK"/>
        </w:rPr>
        <w:t xml:space="preserve"> obstarávacou cenou.</w:t>
      </w:r>
    </w:p>
    <w:p>
      <w:pPr>
        <w:pStyle w:val="Normal"/>
        <w:spacing w:lineRule="auto" w:line="240" w:before="0" w:after="0"/>
        <w:ind w:left="426" w:hanging="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2"/>
        </w:numPr>
        <w:spacing w:lineRule="auto" w:line="240" w:before="0" w:after="0"/>
        <w:ind w:left="284" w:hanging="283"/>
        <w:jc w:val="both"/>
        <w:rPr>
          <w:rFonts w:ascii="Calibri" w:hAnsi="Calibri" w:eastAsia="Times New Roman" w:cs="Times New Roman"/>
          <w:lang w:eastAsia="sk-SK"/>
        </w:rPr>
      </w:pPr>
      <w:r>
        <w:rPr>
          <w:rFonts w:eastAsia="Times New Roman" w:cs="Times New Roman"/>
          <w:b/>
          <w:lang w:eastAsia="sk-SK"/>
        </w:rPr>
        <w:t xml:space="preserve">Finančný prenájom </w:t>
      </w:r>
      <w:r>
        <w:rPr>
          <w:rFonts w:eastAsia="Times New Roman" w:cs="Times New Roman"/>
          <w:lang w:eastAsia="sk-SK"/>
        </w:rPr>
        <w:t xml:space="preserve">sa oceňuje </w:t>
      </w:r>
      <w:r>
        <w:rPr>
          <w:rFonts w:eastAsia="Times New Roman" w:cs="Times New Roman"/>
          <w:u w:val="single"/>
          <w:lang w:eastAsia="sk-SK"/>
        </w:rPr>
        <w:t xml:space="preserve">obstarávacou cenou.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pPr>
        <w:pStyle w:val="Normal"/>
        <w:spacing w:lineRule="auto" w:line="240" w:before="0" w:after="0"/>
        <w:ind w:left="284" w:hanging="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Pri obstarávacej cene majetku a pri ocenení vlastnými nákladmi položiek uvedených v odseku 3 sa uvádza cena obstarania a náklady súvisiace s obstaraním</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zostavenia odpisového plánu pre dlhodobý majetok, doba odpisovania, sadzby odpisov a odpisové metódy pri stanovení účtovných odpisov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Odpisy dlhodobého nehmotného majetku a dlhodobého hmotného majetku sú stanovené tak, že</w:t>
      </w:r>
      <w:r>
        <w:rPr>
          <w:rFonts w:eastAsia="Times New Roman" w:cs="Times New Roman"/>
          <w:i/>
          <w:lang w:eastAsia="sk-SK"/>
        </w:rPr>
        <w:t xml:space="preserve"> </w:t>
      </w:r>
      <w:r>
        <w:rPr>
          <w:rFonts w:eastAsia="Times New Roman" w:cs="Times New Roman"/>
          <w:lang w:eastAsia="sk-SK"/>
        </w:rPr>
        <w:t>sa vychádza z predpokladanej doby jeho užívania a predpokladaného priebehu jeho opotrebenia. Odpisovať sa začína:</w:t>
      </w:r>
    </w:p>
    <w:p>
      <w:pPr>
        <w:pStyle w:val="Normal"/>
        <w:spacing w:lineRule="auto" w:line="240" w:before="0" w:after="0"/>
        <w:ind w:left="425" w:hanging="0"/>
        <w:jc w:val="both"/>
        <w:rPr>
          <w:rFonts w:ascii="Calibri" w:hAnsi="Calibri" w:eastAsia="Times New Roman" w:cs="Times New Roman"/>
          <w:lang w:eastAsia="sk-SK"/>
        </w:rPr>
      </w:pPr>
      <w:r>
        <w:rPr>
          <w:rFonts w:eastAsia="Times New Roman" w:cs="Tahoma"/>
          <w:b/>
          <w:bCs/>
          <w:lang w:eastAsia="sk-SK"/>
        </w:rPr>
        <w:t xml:space="preserve">x  </w:t>
      </w:r>
      <w:r>
        <w:rPr>
          <w:rFonts w:eastAsia="Times New Roman" w:cs="Tahoma"/>
          <w:bCs/>
          <w:lang w:eastAsia="sk-SK"/>
        </w:rPr>
        <w:t xml:space="preserve">odo </w:t>
      </w:r>
      <w:r>
        <w:rPr>
          <w:rFonts w:eastAsia="Times New Roman" w:cs="Times New Roman"/>
          <w:lang w:eastAsia="sk-SK"/>
        </w:rPr>
        <w:t>dňa jeho zaradenia do používania</w:t>
      </w:r>
    </w:p>
    <w:p>
      <w:pPr>
        <w:pStyle w:val="Normal"/>
        <w:spacing w:lineRule="auto" w:line="240" w:before="0" w:after="0"/>
        <w:ind w:left="425" w:hanging="0"/>
        <w:jc w:val="both"/>
        <w:rPr/>
      </w:pPr>
      <w:r>
        <w:fldChar w:fldCharType="begin">
          <w:ffData>
            <w:name w:val=""/>
            <w:enabled/>
            <w:calcOnExit w:val="0"/>
            <w:checkBox>
              <w:sizeAuto/>
            </w:checkBox>
          </w:ffData>
        </w:fldChar>
      </w:r>
      <w:r>
        <w:rPr/>
        <w:instrText> FORMCHECKBOX </w:instrText>
      </w:r>
      <w:r>
        <w:rPr/>
        <w:fldChar w:fldCharType="separate"/>
      </w:r>
      <w:bookmarkStart w:id="25" w:name="__Fieldmark__363_2880745704"/>
      <w:bookmarkStart w:id="26" w:name="__Fieldmark__373_3897975289"/>
      <w:bookmarkStart w:id="27" w:name="__Fieldmark__787_965007702"/>
      <w:bookmarkStart w:id="28" w:name="__Fieldmark__380_1452369782"/>
      <w:bookmarkStart w:id="29" w:name="__Fieldmark__363_2880745704"/>
      <w:bookmarkStart w:id="30" w:name="__Fieldmark__363_2880745704"/>
      <w:bookmarkEnd w:id="26"/>
      <w:bookmarkEnd w:id="27"/>
      <w:bookmarkEnd w:id="28"/>
      <w:bookmarkEnd w:id="30"/>
      <w:r>
        <w:rPr/>
      </w:r>
      <w:r>
        <w:rPr/>
        <w:fldChar w:fldCharType="end"/>
      </w:r>
      <w:r>
        <w:rPr>
          <w:rFonts w:eastAsia="Times New Roman" w:cs="Tahoma"/>
          <w:b/>
          <w:bCs/>
          <w:lang w:eastAsia="sk-SK"/>
        </w:rPr>
        <w:t xml:space="preserve">  </w:t>
      </w:r>
      <w:r>
        <w:rPr>
          <w:rFonts w:eastAsia="Times New Roman" w:cs="Times New Roman"/>
          <w:lang w:eastAsia="sk-SK"/>
        </w:rPr>
        <w:t>prvým dňom mesiaca nasledujúceho po uvedení dlhodobého majetku do používania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Účtovné odpisy sa zaokrúhľujú na celé eurá nahor. Metóda odpisovania sa používa lineárna. Predpokladaná doba užívania a odpisové sadzby sú stanovené takto:</w:t>
      </w:r>
    </w:p>
    <w:tbl>
      <w:tblPr>
        <w:tblW w:w="10206" w:type="dxa"/>
        <w:jc w:val="left"/>
        <w:tblInd w:w="109" w:type="dxa"/>
        <w:tblCellMar>
          <w:top w:w="0" w:type="dxa"/>
          <w:left w:w="108" w:type="dxa"/>
          <w:bottom w:w="0" w:type="dxa"/>
          <w:right w:w="108" w:type="dxa"/>
        </w:tblCellMar>
        <w:tblLook w:firstRow="1" w:noVBand="0" w:lastRow="1" w:firstColumn="1" w:lastColumn="1" w:noHBand="0" w:val="01e0"/>
      </w:tblPr>
      <w:tblGrid>
        <w:gridCol w:w="2958"/>
        <w:gridCol w:w="3071"/>
        <w:gridCol w:w="4177"/>
      </w:tblGrid>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Odpisová skupina</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 xml:space="preserve">Predpokladaná doba </w:t>
            </w:r>
          </w:p>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 xml:space="preserve">používania v rokoch </w:t>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Ročná odpisová sadzba</w:t>
            </w:r>
          </w:p>
          <w:p>
            <w:pPr>
              <w:pStyle w:val="Normal"/>
              <w:spacing w:lineRule="auto" w:line="240" w:before="0" w:after="0"/>
              <w:jc w:val="center"/>
              <w:rPr>
                <w:rFonts w:ascii="Calibri" w:hAnsi="Calibri" w:eastAsia="Times New Roman" w:cs="Times New Roman"/>
                <w:b/>
                <w:b/>
                <w:lang w:eastAsia="sk-SK"/>
              </w:rPr>
            </w:pPr>
            <w:r>
              <w:rPr>
                <w:rFonts w:eastAsia="Times New Roman" w:cs="Times New Roman"/>
                <w:b/>
                <w:lang w:eastAsia="sk-SK"/>
              </w:rPr>
              <w:t>v %</w:t>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tabs>
                <w:tab w:val="clear" w:pos="708"/>
                <w:tab w:val="left" w:pos="1569" w:leader="none"/>
                <w:tab w:val="left" w:pos="1754" w:leader="none"/>
                <w:tab w:val="center" w:pos="1978" w:leader="none"/>
              </w:tabs>
              <w:spacing w:lineRule="auto" w:line="240" w:before="0" w:after="0"/>
              <w:rPr>
                <w:rFonts w:ascii="Calibri" w:hAnsi="Calibri" w:eastAsia="Times New Roman" w:cs="Times New Roman"/>
                <w:lang w:eastAsia="sk-SK"/>
              </w:rPr>
            </w:pPr>
            <w:r>
              <w:rPr>
                <w:rFonts w:eastAsia="Times New Roman" w:cs="Times New Roman"/>
                <w:lang w:eastAsia="sk-SK"/>
              </w:rPr>
              <w:tab/>
              <w:t xml:space="preserve">     </w:t>
              <w:tab/>
              <w:t>1/4</w:t>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2</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6</w:t>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1/6</w:t>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3</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12</w:t>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1/12</w:t>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4</w:t>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20</w:t>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t>1/20</w:t>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r>
        <w:trPr/>
        <w:tc>
          <w:tcPr>
            <w:tcW w:w="2958"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3071"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c>
          <w:tcPr>
            <w:tcW w:w="4177" w:type="dxa"/>
            <w:tcBorders>
              <w:top w:val="single" w:sz="4" w:space="0" w:color="000000"/>
              <w:left w:val="single" w:sz="4" w:space="0" w:color="000000"/>
              <w:bottom w:val="single" w:sz="4" w:space="0" w:color="000000"/>
              <w:right w:val="single" w:sz="4" w:space="0" w:color="000000"/>
            </w:tcBorders>
            <w:shd w:color="auto" w:fill="auto" w:val="clear"/>
          </w:tcPr>
          <w:p>
            <w:pPr>
              <w:pStyle w:val="Normal"/>
              <w:spacing w:lineRule="auto" w:line="240" w:before="0" w:after="0"/>
              <w:jc w:val="center"/>
              <w:rPr>
                <w:rFonts w:ascii="Calibri" w:hAnsi="Calibri" w:eastAsia="Times New Roman" w:cs="Times New Roman"/>
                <w:lang w:eastAsia="sk-SK"/>
              </w:rPr>
            </w:pPr>
            <w:r>
              <w:rPr>
                <w:rFonts w:eastAsia="Times New Roman" w:cs="Times New Roman"/>
                <w:lang w:eastAsia="sk-SK"/>
              </w:rPr>
            </w:r>
          </w:p>
        </w:tc>
      </w:tr>
    </w:tbl>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nehmotný majetok  do 166,- €, ktorý podľa rozhodnutia účtovnej jednotky nie je dlhodobým nehmotným majetkom sa účtuje do nákladov pri obstaraní na účet 518 - Ostatné služby.</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Drobný hmotný majetok  do 166,- €, ktorý podľa rozhodnutia účtovnej jednotky nie je dlhodobým hmotným majetkom sa účtuje  do nákladov.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zohľadnenie zníženia hodnoty majetku.</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Prechodné zníženie hodnoty majetku sa vyjadruje </w:t>
      </w:r>
      <w:r>
        <w:rPr>
          <w:rFonts w:eastAsia="Times New Roman" w:cs="Times New Roman"/>
          <w:u w:val="single"/>
          <w:lang w:eastAsia="sk-SK"/>
        </w:rPr>
        <w:t>opravnou položkou</w:t>
      </w:r>
      <w:r>
        <w:rPr>
          <w:rFonts w:eastAsia="Times New Roman" w:cs="Times New Roman"/>
          <w:lang w:eastAsia="sk-SK"/>
        </w:rPr>
        <w:t xml:space="preserve">.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Ak došlo k trvalému zníženiu hodnoty majetku, zníženie sa účtuje na ťarchu nákladov, napríklad odpis pohľadávky na základe súdneho rozhodnutia o jej vyrovnaní,  mimoriadny odpis dlhodobého majetku.</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pri </w:t>
      </w:r>
      <w:r>
        <w:rPr>
          <w:rFonts w:eastAsia="Times New Roman" w:cs="Times New Roman"/>
          <w:u w:val="single"/>
          <w:lang w:eastAsia="sk-SK"/>
        </w:rPr>
        <w:t>odpisovanom dlhodobom majetku</w:t>
      </w:r>
      <w:r>
        <w:rPr>
          <w:rFonts w:eastAsia="Times New Roman" w:cs="Times New Roman"/>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Opravné položky k </w:t>
      </w:r>
      <w:r>
        <w:rPr>
          <w:rFonts w:eastAsia="Times New Roman" w:cs="Times New Roman"/>
          <w:u w:val="single"/>
          <w:lang w:eastAsia="sk-SK"/>
        </w:rPr>
        <w:t>zásobám</w:t>
      </w:r>
      <w:r>
        <w:rPr>
          <w:rFonts w:eastAsia="Times New Roman"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pPr>
        <w:pStyle w:val="Normal"/>
        <w:spacing w:lineRule="auto" w:line="240" w:before="0" w:after="120"/>
        <w:jc w:val="both"/>
        <w:rPr>
          <w:rFonts w:ascii="Calibri" w:hAnsi="Calibri" w:eastAsia="Times New Roman" w:cs="Times New Roman"/>
          <w:lang w:eastAsia="sk-SK"/>
        </w:rPr>
      </w:pPr>
      <w:r>
        <w:rPr>
          <w:rFonts w:eastAsia="Times New Roman" w:cs="Times New Roman"/>
          <w:lang w:eastAsia="sk-SK"/>
        </w:rPr>
        <w:t xml:space="preserve">Opravné položky k </w:t>
      </w:r>
      <w:r>
        <w:rPr>
          <w:rFonts w:eastAsia="Times New Roman" w:cs="Times New Roman"/>
          <w:u w:val="single"/>
          <w:lang w:eastAsia="sk-SK"/>
        </w:rPr>
        <w:t>pohľadávkam</w:t>
      </w:r>
      <w:r>
        <w:rPr>
          <w:rFonts w:eastAsia="Times New Roman"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pPr>
        <w:pStyle w:val="Normal"/>
        <w:spacing w:lineRule="auto" w:line="240" w:before="0" w:after="0"/>
        <w:jc w:val="both"/>
        <w:rPr>
          <w:rFonts w:ascii="Calibri" w:hAnsi="Calibri" w:eastAsia="Times New Roman" w:cs="Times New Roman"/>
          <w:color w:val="000000"/>
          <w:lang w:eastAsia="sk-SK"/>
        </w:rPr>
      </w:pPr>
      <w:r>
        <w:rPr>
          <w:rFonts w:eastAsia="Times New Roman" w:cs="Times New Roman"/>
          <w:color w:val="000000"/>
          <w:u w:val="single"/>
          <w:lang w:eastAsia="sk-SK"/>
        </w:rPr>
        <w:t>Tvorba opravných položiek v rámci hlavnej činnosti</w:t>
      </w:r>
      <w:r>
        <w:rPr>
          <w:rFonts w:eastAsia="Times New Roman" w:cs="Times New Roman"/>
          <w:color w:val="000000"/>
          <w:lang w:eastAsia="sk-SK"/>
        </w:rPr>
        <w:t xml:space="preserve"> - k pohľadávkam, pri ktorých je riziko, že ich dlžník úplne </w:t>
      </w:r>
      <w:r>
        <w:rPr>
          <w:rFonts w:eastAsia="Times New Roman" w:cs="Times New Roman"/>
          <w:lang w:eastAsia="sk-SK"/>
        </w:rPr>
        <w:t>alebo</w:t>
      </w:r>
      <w:r>
        <w:rPr>
          <w:rFonts w:eastAsia="Times New Roman" w:cs="Times New Roman"/>
          <w:color w:val="000000"/>
          <w:lang w:eastAsia="sk-SK"/>
        </w:rPr>
        <w:t xml:space="preserve"> čiastočne nezaplatí. </w:t>
      </w:r>
    </w:p>
    <w:p>
      <w:pPr>
        <w:pStyle w:val="Normal"/>
        <w:spacing w:lineRule="auto" w:line="240" w:before="0" w:after="0"/>
        <w:jc w:val="both"/>
        <w:rPr>
          <w:rFonts w:ascii="Calibri" w:hAnsi="Calibri" w:eastAsia="Times New Roman" w:cs="Times New Roman"/>
          <w:lang w:eastAsia="sk-SK"/>
        </w:rPr>
      </w:pPr>
      <w:r>
        <w:rPr>
          <w:rFonts w:eastAsia="Times New Roman" w:cs="Times New Roman"/>
          <w:u w:val="single"/>
          <w:lang w:eastAsia="sk-SK"/>
        </w:rPr>
        <w:t>Tvorba</w:t>
      </w:r>
      <w:r>
        <w:rPr>
          <w:rFonts w:eastAsia="Times New Roman" w:cs="Times New Roman"/>
          <w:lang w:eastAsia="sk-SK"/>
        </w:rPr>
        <w:t xml:space="preserve"> opravnej položky sa účtuje na ťarchu nákladov v prospech príslušného účtu opravných položiek. Opravné položky sa </w:t>
      </w:r>
      <w:r>
        <w:rPr>
          <w:rFonts w:eastAsia="Times New Roman" w:cs="Times New Roman"/>
          <w:u w:val="single"/>
          <w:lang w:eastAsia="sk-SK"/>
        </w:rPr>
        <w:t>zúčtujú</w:t>
      </w:r>
      <w:r>
        <w:rPr>
          <w:rFonts w:eastAsia="Times New Roman"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Zásady pre vykazovanie transferov.</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O nároku na dotácie zo štátneho rozpočtu sa účtuje, ak je takmer isté, že sa splnia všetky podmienky súvisiace s dotáciou a súčasne, že sa dotácia poskytne.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Bežný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výdavkami.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cudzích subjektov</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lang w:eastAsia="sk-SK"/>
        </w:rPr>
      </w:pPr>
      <w:r>
        <w:rPr>
          <w:rFonts w:eastAsia="Times New Roman" w:cs="Times New Roman"/>
          <w:b/>
          <w:lang w:eastAsia="sk-SK"/>
        </w:rPr>
        <w:t>Kapitálový transfer</w:t>
      </w:r>
      <w:r>
        <w:rPr>
          <w:rFonts w:eastAsia="Times New Roman" w:cs="Times New Roman"/>
          <w:lang w:eastAsia="sk-SK"/>
        </w:rPr>
        <w:t xml:space="preserve"> od </w:t>
      </w:r>
      <w:r>
        <w:rPr>
          <w:rFonts w:eastAsia="Times New Roman" w:cs="Times New Roman"/>
          <w:u w:val="single"/>
          <w:lang w:eastAsia="sk-SK"/>
        </w:rPr>
        <w:t>zriaďovateľa</w:t>
      </w:r>
      <w:r>
        <w:rPr>
          <w:rFonts w:eastAsia="Times New Roman" w:cs="Times New Roman"/>
          <w:lang w:eastAsia="sk-SK"/>
        </w:rPr>
        <w:t xml:space="preserve"> - sa  zúčtuje do výnosov  vo vecnej a časovej súvislosti s nákladmi (napr. s odpismi, s opravnou položkou, so zostatkovou hodnotou vyradeného dlhodobého majetku). </w:t>
      </w:r>
    </w:p>
    <w:p>
      <w:pPr>
        <w:pStyle w:val="Normal"/>
        <w:spacing w:lineRule="auto" w:line="240" w:before="0" w:after="0"/>
        <w:jc w:val="both"/>
        <w:rPr>
          <w:rFonts w:ascii="Calibri" w:hAnsi="Calibri" w:eastAsia="Times New Roman" w:cs="Times New Roman"/>
          <w:b/>
          <w:b/>
          <w:lang w:eastAsia="sk-SK"/>
        </w:rPr>
      </w:pPr>
      <w:r>
        <w:rPr>
          <w:rFonts w:eastAsia="Times New Roman" w:cs="Times New Roman"/>
          <w:b/>
          <w:lang w:eastAsia="sk-SK"/>
        </w:rPr>
      </w:r>
    </w:p>
    <w:p>
      <w:pPr>
        <w:pStyle w:val="Normal"/>
        <w:numPr>
          <w:ilvl w:val="0"/>
          <w:numId w:val="1"/>
        </w:numPr>
        <w:tabs>
          <w:tab w:val="clear" w:pos="708"/>
          <w:tab w:val="left" w:pos="284" w:leader="none"/>
        </w:tabs>
        <w:spacing w:lineRule="auto" w:line="240" w:before="0" w:after="0"/>
        <w:ind w:left="284" w:hanging="284"/>
        <w:jc w:val="both"/>
        <w:rPr>
          <w:rFonts w:ascii="Calibri" w:hAnsi="Calibri" w:eastAsia="Times New Roman" w:cs="Times New Roman"/>
          <w:b/>
          <w:b/>
          <w:lang w:eastAsia="sk-SK"/>
        </w:rPr>
      </w:pPr>
      <w:r>
        <w:rPr>
          <w:rFonts w:eastAsia="Times New Roman" w:cs="Times New Roman"/>
          <w:b/>
          <w:lang w:eastAsia="sk-SK"/>
        </w:rPr>
        <w:t>Spôsob prepočtu údajov v cudzích menách na menu euro.</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Na ocenenie prírastku cudzej meny nakúpenej za euro sa použije kurz, za ktorý bola táto cudzia mena nakúpená.</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pPr>
        <w:pStyle w:val="Normal"/>
        <w:spacing w:lineRule="auto" w:line="240" w:before="0" w:after="0"/>
        <w:jc w:val="both"/>
        <w:rPr>
          <w:rFonts w:ascii="Calibri" w:hAnsi="Calibri" w:eastAsia="Times New Roman" w:cs="Times New Roman"/>
          <w:lang w:eastAsia="sk-SK"/>
        </w:rPr>
      </w:pPr>
      <w:r>
        <w:rPr>
          <w:rFonts w:eastAsia="Times New Roman"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pPr>
        <w:pStyle w:val="Normal"/>
        <w:rPr>
          <w:b/>
          <w:b/>
        </w:rPr>
      </w:pPr>
      <w:r>
        <w:rPr>
          <w:b/>
        </w:rPr>
      </w:r>
    </w:p>
    <w:p>
      <w:pPr>
        <w:pStyle w:val="Normal"/>
        <w:rPr>
          <w:b/>
          <w:b/>
        </w:rPr>
      </w:pPr>
      <w:r>
        <w:rPr>
          <w:b/>
        </w:rPr>
        <w:t>II.  INFORMÁCIE O METÓDACH A POSTUPOCH KONSOLIDÁCIE</w:t>
      </w:r>
    </w:p>
    <w:p>
      <w:pPr>
        <w:pStyle w:val="Normal"/>
        <w:spacing w:before="0" w:after="0"/>
        <w:rPr/>
      </w:pPr>
      <w:r>
        <w:rPr/>
        <w:t>Konsolidovaná účtovná závierka Obce )Bruty bola zostavená v súlade so zákonom č. 431/2002 Z.z. o účtovníctve v znení neskorších predpisov a v súlade s </w:t>
      </w:r>
      <w:bookmarkStart w:id="31" w:name="__DdeLink__987_965007702"/>
      <w:r>
        <w:rPr/>
        <w:t>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w:t>
      </w:r>
      <w:bookmarkEnd w:id="31"/>
      <w:r>
        <w:rPr/>
        <w:t xml:space="preserve"> v znení neskorších predpisov. V rámci konsolidácie konsolidovaného celku Obce Bruty boli eliminované vzájomné pohľadávky, záväzky, náklady a výnosy, bola vykonaná konsolidácia kapitálu.</w:t>
      </w:r>
    </w:p>
    <w:p>
      <w:pPr>
        <w:pStyle w:val="Normal"/>
        <w:spacing w:before="0" w:after="0"/>
        <w:rPr/>
      </w:pPr>
      <w:r>
        <w:rPr/>
        <w:t xml:space="preserve">Pri dcérskych účtovných jednotkách bola použitá metóda úplnej konsolidácie. </w:t>
      </w:r>
    </w:p>
    <w:p>
      <w:pPr>
        <w:pStyle w:val="Normal"/>
        <w:spacing w:before="0" w:after="0"/>
        <w:rPr/>
      </w:pPr>
      <w:r>
        <w:rPr/>
        <w:t>V roku 2019, rovnako ako v predchádzajúcich účtovných obdobiach, sa medzi účtovnými jednotkami konsolidovaného celku Obce neuskutočnil nákup, resp. predaj majetku. Preto nebolo potrebné vykonať konsolidáciu medzivýsledku.</w:t>
      </w:r>
    </w:p>
    <w:p>
      <w:pPr>
        <w:pStyle w:val="Normal"/>
        <w:spacing w:before="0" w:after="0"/>
        <w:rPr/>
      </w:pPr>
      <w:r>
        <w:rPr/>
      </w:r>
    </w:p>
    <w:p>
      <w:pPr>
        <w:pStyle w:val="Normal"/>
        <w:spacing w:before="0" w:after="0"/>
        <w:rPr/>
      </w:pPr>
      <w:r>
        <w:rPr>
          <w:b/>
        </w:rPr>
        <w:t>III. INFORMÁCIE O ÚDAJOCH AKTÍV A PASÍV</w:t>
      </w:r>
    </w:p>
    <w:p>
      <w:pPr>
        <w:pStyle w:val="Normal"/>
        <w:spacing w:before="0" w:after="0"/>
        <w:rPr/>
      </w:pPr>
      <w:r>
        <w:rPr/>
      </w:r>
    </w:p>
    <w:p>
      <w:pPr>
        <w:pStyle w:val="Normal"/>
        <w:spacing w:before="0" w:after="0"/>
        <w:rPr>
          <w:b/>
          <w:b/>
        </w:rPr>
      </w:pPr>
      <w:r>
        <w:rPr>
          <w:b/>
        </w:rPr>
        <w:t>Dlhodobý nehmotný majetok a dlhodobý hmotný majetok</w:t>
      </w:r>
    </w:p>
    <w:p>
      <w:pPr>
        <w:pStyle w:val="Normal"/>
        <w:spacing w:before="0" w:after="0"/>
        <w:rPr/>
      </w:pPr>
      <w:r>
        <w:rPr/>
        <w:t xml:space="preserve">Prehľad pohybu dlhodobého nehmotného a dlhodobého hmotného majetku od 1. januára 2019 do 31. decembra 2019 je uvedený v prílohe, v tabuľkovej časti  </w:t>
      </w:r>
      <w:r>
        <w:rPr>
          <w:i/>
        </w:rPr>
        <w:t>Prehľad o pohybe dlhodobého majetku.</w:t>
      </w:r>
    </w:p>
    <w:p>
      <w:pPr>
        <w:pStyle w:val="Normal"/>
        <w:spacing w:before="0" w:after="0"/>
        <w:rPr/>
      </w:pPr>
      <w:r>
        <w:rPr/>
      </w:r>
    </w:p>
    <w:p>
      <w:pPr>
        <w:pStyle w:val="Normal"/>
        <w:spacing w:before="0" w:after="0"/>
        <w:rPr>
          <w:b/>
          <w:b/>
        </w:rPr>
      </w:pPr>
      <w:r>
        <w:rPr>
          <w:b/>
        </w:rPr>
        <w:t>Dlhodobý finančný majetok</w:t>
      </w:r>
    </w:p>
    <w:p>
      <w:pPr>
        <w:pStyle w:val="Normal"/>
        <w:spacing w:before="0" w:after="0"/>
        <w:rPr/>
      </w:pPr>
      <w:r>
        <w:rPr/>
        <w:t xml:space="preserve">Prehľad dlhodobého finančného majetku účtovnej jednotky od 1.1.2019 do 31.12.2019 je uvedený v tabuľkovej časti </w:t>
      </w:r>
      <w:r>
        <w:rPr>
          <w:i/>
        </w:rPr>
        <w:t>Prehľad o pohybe dlhodobého majetku.</w:t>
      </w:r>
    </w:p>
    <w:p>
      <w:pPr>
        <w:pStyle w:val="Normal"/>
        <w:spacing w:before="0" w:after="0"/>
        <w:rPr>
          <w:b/>
          <w:b/>
          <w:i/>
          <w:i/>
        </w:rPr>
      </w:pPr>
      <w:r>
        <w:rPr>
          <w:b/>
          <w:i/>
        </w:rPr>
      </w:r>
    </w:p>
    <w:p>
      <w:pPr>
        <w:pStyle w:val="Normal"/>
        <w:spacing w:before="0" w:after="0"/>
        <w:rPr/>
      </w:pPr>
      <w:r>
        <w:rPr>
          <w:b/>
        </w:rPr>
        <w:t>Pohľadávky</w:t>
      </w:r>
    </w:p>
    <w:p>
      <w:pPr>
        <w:pStyle w:val="Normal"/>
        <w:spacing w:before="0" w:after="0"/>
        <w:rPr/>
      </w:pPr>
      <w:r>
        <w:rPr/>
        <w:t>Najvýznamnejšou položkou pohľadávok sú pohľadávky z daňových a z nedaňových príjmov Obce.</w:t>
      </w:r>
    </w:p>
    <w:p>
      <w:pPr>
        <w:pStyle w:val="Normal"/>
        <w:spacing w:before="0" w:after="0"/>
        <w:rPr/>
      </w:pPr>
      <w:r>
        <w:rPr/>
        <w:t>Vývoj a rozdelenie pohľadávok podľa splatnosti sú uvedené v tabuľkovej časti.</w:t>
      </w:r>
    </w:p>
    <w:p>
      <w:pPr>
        <w:pStyle w:val="Normal"/>
        <w:spacing w:before="0" w:after="0"/>
        <w:rPr/>
      </w:pPr>
      <w:r>
        <w:rPr/>
      </w:r>
    </w:p>
    <w:p>
      <w:pPr>
        <w:pStyle w:val="Normal"/>
        <w:spacing w:before="0" w:after="0"/>
        <w:rPr/>
      </w:pPr>
      <w:r>
        <w:rPr>
          <w:b/>
        </w:rPr>
        <w:t>Finančný majetok</w:t>
      </w:r>
    </w:p>
    <w:p>
      <w:pPr>
        <w:pStyle w:val="Normal"/>
        <w:spacing w:before="0" w:after="0"/>
        <w:rPr/>
      </w:pPr>
      <w:r>
        <w:rPr/>
        <w:t>Ako finančný majetok sú vykázané peniaze v pokladnici a účty v bankách v tabuľkovej časti. Účtami v bankách môže účtovná jednotka voľne disponovať.</w:t>
      </w:r>
    </w:p>
    <w:p>
      <w:pPr>
        <w:pStyle w:val="Normal"/>
        <w:spacing w:before="0" w:after="0"/>
        <w:rPr/>
      </w:pPr>
      <w:r>
        <w:rPr/>
      </w:r>
    </w:p>
    <w:p>
      <w:pPr>
        <w:pStyle w:val="Normal"/>
        <w:spacing w:before="0" w:after="0"/>
        <w:rPr/>
      </w:pPr>
      <w:r>
        <w:rPr>
          <w:b/>
        </w:rPr>
        <w:t>Časové rozlíšenie aktív</w:t>
      </w:r>
    </w:p>
    <w:p>
      <w:pPr>
        <w:pStyle w:val="Normal"/>
        <w:spacing w:before="0" w:after="0"/>
        <w:rPr/>
      </w:pPr>
      <w:r>
        <w:rPr/>
        <w:t>Prehľad významných položiek časového rozlíšenia aktív konsolidovaného celku Obce je uvedený v tabuľkovej časti.</w:t>
      </w:r>
    </w:p>
    <w:p>
      <w:pPr>
        <w:pStyle w:val="Normal"/>
        <w:spacing w:before="0" w:after="0"/>
        <w:rPr/>
      </w:pPr>
      <w:r>
        <w:rPr/>
      </w:r>
    </w:p>
    <w:p>
      <w:pPr>
        <w:pStyle w:val="Normal"/>
        <w:spacing w:before="0" w:after="0"/>
        <w:rPr>
          <w:b/>
          <w:b/>
        </w:rPr>
      </w:pPr>
      <w:r>
        <w:rPr>
          <w:b/>
        </w:rPr>
        <w:t>Vlastné imanie</w:t>
      </w:r>
    </w:p>
    <w:p>
      <w:pPr>
        <w:pStyle w:val="Normal"/>
        <w:spacing w:before="0" w:after="0"/>
        <w:rPr/>
      </w:pPr>
      <w:r>
        <w:rPr/>
        <w:t>Prehľad vlastného imania účtovnej jednotky od 1.1.2019 do 31.12.2019 je uvedený v tabuľkovej časti.</w:t>
      </w:r>
    </w:p>
    <w:p>
      <w:pPr>
        <w:pStyle w:val="Normal"/>
        <w:spacing w:before="0" w:after="0"/>
        <w:rPr/>
      </w:pPr>
      <w:r>
        <w:rPr/>
      </w:r>
    </w:p>
    <w:p>
      <w:pPr>
        <w:pStyle w:val="Normal"/>
        <w:spacing w:before="0" w:after="0"/>
        <w:rPr/>
      </w:pPr>
      <w:r>
        <w:rPr>
          <w:b/>
        </w:rPr>
        <w:t>Rezervy</w:t>
      </w:r>
    </w:p>
    <w:p>
      <w:pPr>
        <w:pStyle w:val="Normal"/>
        <w:spacing w:before="0" w:after="0"/>
        <w:rPr/>
      </w:pPr>
      <w:r>
        <w:rPr/>
        <w:t>Prehľad vývoja rezerv účtovnej jednotky od 1.1.2019 do 31.12.2019 je uvedený v tabuľkovej časti.</w:t>
      </w:r>
    </w:p>
    <w:p>
      <w:pPr>
        <w:pStyle w:val="Normal"/>
        <w:spacing w:before="0" w:after="0"/>
        <w:rPr>
          <w:i/>
          <w:i/>
        </w:rPr>
      </w:pPr>
      <w:r>
        <w:rPr>
          <w:i/>
        </w:rPr>
      </w:r>
    </w:p>
    <w:p>
      <w:pPr>
        <w:pStyle w:val="Normal"/>
        <w:spacing w:before="0" w:after="0"/>
        <w:rPr/>
      </w:pPr>
      <w:r>
        <w:rPr>
          <w:b/>
        </w:rPr>
        <w:t>Záväzky</w:t>
      </w:r>
    </w:p>
    <w:p>
      <w:pPr>
        <w:pStyle w:val="Normal"/>
        <w:spacing w:before="0" w:after="0"/>
        <w:rPr/>
      </w:pPr>
      <w:r>
        <w:rPr/>
        <w:t>Prehľad záväzkov účtovnej jednotky od 1.1.2019 do 31.12.2019 je uvedený v tabuľkovej časti.</w:t>
      </w:r>
    </w:p>
    <w:p>
      <w:pPr>
        <w:pStyle w:val="Normal"/>
        <w:spacing w:before="0" w:after="0"/>
        <w:rPr/>
      </w:pPr>
      <w:r>
        <w:rPr/>
      </w:r>
    </w:p>
    <w:p>
      <w:pPr>
        <w:pStyle w:val="Normal"/>
        <w:spacing w:before="0" w:after="0"/>
        <w:rPr/>
      </w:pPr>
      <w:r>
        <w:rPr>
          <w:b/>
        </w:rPr>
        <w:t>Bankové úvery a ostatné prijaté návratné finančné výpomoci</w:t>
      </w:r>
    </w:p>
    <w:p>
      <w:pPr>
        <w:pStyle w:val="Normal"/>
        <w:spacing w:before="0" w:after="0"/>
        <w:rPr/>
      </w:pPr>
      <w:r>
        <w:rPr/>
        <w:t>Obec nemá žiadny bankový úver ani prijaté návratné výpomoci.</w:t>
      </w:r>
    </w:p>
    <w:p>
      <w:pPr>
        <w:pStyle w:val="Normal"/>
        <w:spacing w:before="0" w:after="0"/>
        <w:rPr/>
      </w:pPr>
      <w:r>
        <w:rPr/>
      </w:r>
    </w:p>
    <w:p>
      <w:pPr>
        <w:pStyle w:val="Normal"/>
        <w:spacing w:before="0" w:after="0"/>
        <w:rPr/>
      </w:pPr>
      <w:r>
        <w:rPr>
          <w:b/>
        </w:rPr>
        <w:t>Časové rozlíšenie pasív</w:t>
      </w:r>
    </w:p>
    <w:p>
      <w:pPr>
        <w:pStyle w:val="Normal"/>
        <w:spacing w:before="0" w:after="0"/>
        <w:rPr/>
      </w:pPr>
      <w:r>
        <w:rPr/>
        <w:t>Prehľad  významných položiek časového rozlíšenia pasív konsolidovaného celku Obce je uvedený v tabuľkovej časti.</w:t>
      </w:r>
    </w:p>
    <w:p>
      <w:pPr>
        <w:pStyle w:val="Normal"/>
        <w:spacing w:before="0" w:after="0"/>
        <w:rPr/>
      </w:pPr>
      <w:r>
        <w:rPr/>
      </w:r>
    </w:p>
    <w:p>
      <w:pPr>
        <w:pStyle w:val="Normal"/>
        <w:spacing w:before="0" w:after="0"/>
        <w:rPr/>
      </w:pPr>
      <w:r>
        <w:rPr>
          <w:b/>
        </w:rPr>
        <w:t>Výnosy</w:t>
      </w:r>
    </w:p>
    <w:p>
      <w:pPr>
        <w:pStyle w:val="Normal"/>
        <w:spacing w:before="0" w:after="0"/>
        <w:rPr/>
      </w:pPr>
      <w:r>
        <w:rPr/>
        <w:t>Prehľad výnosov je uvedený v tabuľkovej časti.</w:t>
      </w:r>
    </w:p>
    <w:p>
      <w:pPr>
        <w:pStyle w:val="Normal"/>
        <w:spacing w:before="0" w:after="0"/>
        <w:rPr/>
      </w:pPr>
      <w:r>
        <w:rPr/>
      </w:r>
    </w:p>
    <w:p>
      <w:pPr>
        <w:pStyle w:val="Normal"/>
        <w:spacing w:before="0" w:after="0"/>
        <w:rPr/>
      </w:pPr>
      <w:r>
        <w:rPr>
          <w:b/>
        </w:rPr>
        <w:t xml:space="preserve">Náklady </w:t>
      </w:r>
    </w:p>
    <w:p>
      <w:pPr>
        <w:pStyle w:val="Normal"/>
        <w:spacing w:before="0" w:after="0"/>
        <w:rPr/>
      </w:pPr>
      <w:r>
        <w:rPr/>
        <w:t>Prehľad nákladov na služby, ostatných prevádzkových nákladov a ostatných finančných nákladov je uvedený v tabuľkovej časti.</w:t>
      </w:r>
    </w:p>
    <w:p>
      <w:pPr>
        <w:pStyle w:val="Normal"/>
        <w:spacing w:before="0" w:after="0"/>
        <w:rPr/>
      </w:pPr>
      <w:r>
        <w:rPr/>
      </w:r>
    </w:p>
    <w:p>
      <w:pPr>
        <w:pStyle w:val="Normal"/>
        <w:spacing w:before="0" w:after="0"/>
        <w:rPr>
          <w:b/>
          <w:b/>
        </w:rPr>
      </w:pPr>
      <w:r>
        <w:rPr>
          <w:b/>
        </w:rPr>
        <w:t>Skutočnosti, ktoré nastali po dni, ku ktorému sa zostavuje konsolidovaná účtovná závierka,</w:t>
      </w:r>
    </w:p>
    <w:p>
      <w:pPr>
        <w:pStyle w:val="Normal"/>
        <w:spacing w:before="0" w:after="0"/>
        <w:rPr/>
      </w:pPr>
      <w:r>
        <w:rPr>
          <w:b/>
        </w:rPr>
        <w:t>Do dňa jej zostavenia</w:t>
      </w:r>
    </w:p>
    <w:p>
      <w:pPr>
        <w:pStyle w:val="Normal"/>
        <w:spacing w:before="0" w:after="0"/>
        <w:rPr/>
      </w:pPr>
      <w:r>
        <w:rPr/>
        <w:t>Po 31.12.2019 nenastali také udalosti, ktoré by si vyžadovali zverejnenie alebo vykázanie v konsolidovanej účtovnej závierke za rok 2019.</w:t>
      </w:r>
    </w:p>
    <w:p>
      <w:pPr>
        <w:pStyle w:val="Normal"/>
        <w:spacing w:before="0" w:after="0"/>
        <w:rPr/>
      </w:pPr>
      <w:r>
        <w:rPr/>
      </w:r>
    </w:p>
    <w:p>
      <w:pPr>
        <w:pStyle w:val="Normal"/>
        <w:spacing w:before="0" w:after="0"/>
        <w:rPr/>
      </w:pPr>
      <w:r>
        <w:rPr/>
        <w:t>Vypracovala: Zuzana Árendásová</w:t>
      </w:r>
    </w:p>
    <w:p>
      <w:pPr>
        <w:pStyle w:val="Normal"/>
        <w:spacing w:before="0" w:after="0"/>
        <w:rPr/>
      </w:pPr>
      <w:r>
        <w:rPr/>
      </w:r>
    </w:p>
    <w:p>
      <w:pPr>
        <w:pStyle w:val="Normal"/>
        <w:spacing w:before="0" w:after="0"/>
        <w:rPr/>
      </w:pPr>
      <w:r>
        <w:rPr/>
      </w:r>
    </w:p>
    <w:p>
      <w:pPr>
        <w:pStyle w:val="Normal"/>
        <w:spacing w:before="0" w:after="0"/>
        <w:rPr/>
      </w:pPr>
      <w:r>
        <w:rPr/>
      </w:r>
    </w:p>
    <w:p>
      <w:pPr>
        <w:pStyle w:val="Normal"/>
        <w:spacing w:before="0" w:after="0"/>
        <w:rPr/>
      </w:pPr>
      <w:r>
        <w:rPr/>
        <w:t>V Brutoch, dňa 24.08.2020</w:t>
      </w:r>
    </w:p>
    <w:p>
      <w:pPr>
        <w:pStyle w:val="Normal"/>
        <w:spacing w:before="0" w:after="0"/>
        <w:rPr/>
      </w:pPr>
      <w:r>
        <w:rPr/>
      </w:r>
    </w:p>
    <w:p>
      <w:pPr>
        <w:pStyle w:val="Normal"/>
        <w:spacing w:before="0" w:after="0"/>
        <w:rPr/>
      </w:pPr>
      <w:r>
        <w:rPr/>
        <w:t xml:space="preserve">                                                                                                                    </w:t>
      </w:r>
      <w:r>
        <w:rPr/>
        <w:t>Ing. Alexander Hubač  v.r.</w:t>
      </w:r>
    </w:p>
    <w:p>
      <w:pPr>
        <w:pStyle w:val="Normal"/>
        <w:spacing w:before="0" w:after="0"/>
        <w:rPr>
          <w:b/>
          <w:b/>
        </w:rPr>
      </w:pPr>
      <w:r>
        <w:rPr/>
        <w:t xml:space="preserve">                                                                                                                        </w:t>
      </w:r>
      <w:r>
        <w:rPr/>
        <w:t xml:space="preserve">Starosta obce    </w:t>
      </w:r>
    </w:p>
    <w:p>
      <w:pPr>
        <w:pStyle w:val="Normal"/>
        <w:jc w:val="center"/>
        <w:rPr>
          <w:b/>
          <w:b/>
        </w:rPr>
      </w:pPr>
      <w:r>
        <w:rPr>
          <w:b/>
        </w:rPr>
      </w:r>
    </w:p>
    <w:p>
      <w:pPr>
        <w:pStyle w:val="Normal"/>
        <w:numPr>
          <w:ilvl w:val="0"/>
          <w:numId w:val="0"/>
        </w:numPr>
        <w:spacing w:lineRule="auto" w:line="240" w:before="0" w:after="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numPr>
          <w:ilvl w:val="0"/>
          <w:numId w:val="0"/>
        </w:numPr>
        <w:spacing w:lineRule="auto" w:line="240" w:before="0" w:after="0"/>
        <w:jc w:val="both"/>
        <w:outlineLvl w:val="0"/>
        <w:rPr>
          <w:rFonts w:ascii="Times New Roman" w:hAnsi="Times New Roman" w:eastAsia="Times New Roman" w:cs="Times New Roman"/>
          <w:sz w:val="24"/>
          <w:szCs w:val="24"/>
          <w:lang w:eastAsia="sk-SK"/>
        </w:rPr>
      </w:pPr>
      <w:r>
        <w:rPr>
          <w:rFonts w:eastAsia="Times New Roman" w:cs="Times New Roman" w:ascii="Times New Roman" w:hAnsi="Times New Roman"/>
          <w:sz w:val="24"/>
          <w:szCs w:val="24"/>
          <w:lang w:eastAsia="sk-SK"/>
        </w:rPr>
      </w:r>
    </w:p>
    <w:p>
      <w:pPr>
        <w:pStyle w:val="Normal"/>
        <w:widowControl/>
        <w:bidi w:val="0"/>
        <w:spacing w:lineRule="auto" w:line="276" w:before="0" w:after="200"/>
        <w:jc w:val="left"/>
        <w:rPr/>
      </w:pPr>
      <w:r>
        <w:rPr/>
      </w:r>
    </w:p>
    <w:sectPr>
      <w:type w:val="nextPage"/>
      <w:pgSz w:w="11906" w:h="16838"/>
      <w:pgMar w:left="1417" w:right="1417" w:header="0" w:top="1417" w:footer="0" w:bottom="1417"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Cambria">
    <w:charset w:val="ee"/>
    <w:family w:val="roman"/>
    <w:pitch w:val="variable"/>
  </w:font>
  <w:font w:name="Tahoma">
    <w:charset w:val="ee"/>
    <w:family w:val="roman"/>
    <w:pitch w:val="variable"/>
  </w:font>
  <w:font w:name="Liberation Sans">
    <w:altName w:val="Arial"/>
    <w:charset w:val="ee"/>
    <w:family w:val="roman"/>
    <w:pitch w:val="variable"/>
  </w:font>
  <w:font w:name="Times New Roman">
    <w:charset w:val="ee"/>
    <w:family w:val="roman"/>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lvl w:ilvl="0">
      <w:start w:val="1"/>
      <w:numFmt w:val="lowerLetter"/>
      <w:lvlText w:val="%1)"/>
      <w:lvlJc w:val="left"/>
      <w:pPr>
        <w:ind w:left="720" w:hanging="360"/>
      </w:pPr>
      <w:rPr>
        <w:b/>
        <w:rFonts w:ascii="Calibri" w:hAnsi="Calibri"/>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rPr>
        <w:sz w:val="24"/>
        <w:b/>
        <w:rFonts w:ascii="Times New Roman" w:hAnsi="Times New Roman"/>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4">
    <w:lvl w:ilvl="0">
      <w:start w:val="1"/>
      <w:numFmt w:val="bullet"/>
      <w:lvlText w:val="-"/>
      <w:lvlJc w:val="left"/>
      <w:pPr>
        <w:tabs>
          <w:tab w:val="num" w:pos="360"/>
        </w:tabs>
        <w:ind w:left="360" w:hanging="360"/>
      </w:pPr>
      <w:rPr>
        <w:rFonts w:ascii="Times New Roman" w:hAnsi="Times New Roman" w:cs="Times New Roman" w:hint="default"/>
        <w:sz w:val="24"/>
        <w:rFonts w:cs="Times New Roman"/>
      </w:rPr>
    </w:lvl>
    <w:lvl w:ilvl="1">
      <w:start w:val="1"/>
      <w:numFmt w:val="bullet"/>
      <w:lvlText w:val="o"/>
      <w:lvlJc w:val="left"/>
      <w:pPr>
        <w:tabs>
          <w:tab w:val="num" w:pos="1080"/>
        </w:tabs>
        <w:ind w:left="1080" w:hanging="360"/>
      </w:pPr>
      <w:rPr>
        <w:rFonts w:ascii="Courier New" w:hAnsi="Courier New" w:cs="Courier New" w:hint="default"/>
        <w:rFonts w:cs="Courier New"/>
      </w:rPr>
    </w:lvl>
    <w:lvl w:ilvl="2">
      <w:start w:val="1"/>
      <w:numFmt w:val="bullet"/>
      <w:lvlText w:val=""/>
      <w:lvlJc w:val="left"/>
      <w:pPr>
        <w:tabs>
          <w:tab w:val="num" w:pos="1800"/>
        </w:tabs>
        <w:ind w:left="1800" w:hanging="360"/>
      </w:pPr>
      <w:rPr>
        <w:rFonts w:ascii="Wingdings" w:hAnsi="Wingdings" w:cs="Wingdings" w:hint="default"/>
        <w:rFonts w:cs="Wingdings"/>
      </w:rPr>
    </w:lvl>
    <w:lvl w:ilvl="3">
      <w:start w:val="1"/>
      <w:numFmt w:val="bullet"/>
      <w:lvlText w:val=""/>
      <w:lvlJc w:val="left"/>
      <w:pPr>
        <w:tabs>
          <w:tab w:val="num" w:pos="2520"/>
        </w:tabs>
        <w:ind w:left="2520" w:hanging="360"/>
      </w:pPr>
      <w:rPr>
        <w:rFonts w:ascii="Symbol" w:hAnsi="Symbol" w:cs="Symbol" w:hint="default"/>
        <w:rFonts w:cs="Symbol"/>
      </w:rPr>
    </w:lvl>
    <w:lvl w:ilvl="4">
      <w:start w:val="1"/>
      <w:numFmt w:val="bullet"/>
      <w:lvlText w:val="o"/>
      <w:lvlJc w:val="left"/>
      <w:pPr>
        <w:tabs>
          <w:tab w:val="num" w:pos="3240"/>
        </w:tabs>
        <w:ind w:left="3240" w:hanging="360"/>
      </w:pPr>
      <w:rPr>
        <w:rFonts w:ascii="Courier New" w:hAnsi="Courier New" w:cs="Courier New" w:hint="default"/>
        <w:rFonts w:cs="Courier New"/>
      </w:rPr>
    </w:lvl>
    <w:lvl w:ilvl="5">
      <w:start w:val="1"/>
      <w:numFmt w:val="bullet"/>
      <w:lvlText w:val=""/>
      <w:lvlJc w:val="left"/>
      <w:pPr>
        <w:tabs>
          <w:tab w:val="num" w:pos="3960"/>
        </w:tabs>
        <w:ind w:left="3960" w:hanging="360"/>
      </w:pPr>
      <w:rPr>
        <w:rFonts w:ascii="Wingdings" w:hAnsi="Wingdings" w:cs="Wingdings" w:hint="default"/>
        <w:rFonts w:cs="Wingdings"/>
      </w:rPr>
    </w:lvl>
    <w:lvl w:ilvl="6">
      <w:start w:val="1"/>
      <w:numFmt w:val="bullet"/>
      <w:lvlText w:val=""/>
      <w:lvlJc w:val="left"/>
      <w:pPr>
        <w:tabs>
          <w:tab w:val="num" w:pos="4680"/>
        </w:tabs>
        <w:ind w:left="4680" w:hanging="360"/>
      </w:pPr>
      <w:rPr>
        <w:rFonts w:ascii="Symbol" w:hAnsi="Symbol" w:cs="Symbol" w:hint="default"/>
        <w:rFonts w:cs="Symbol"/>
      </w:rPr>
    </w:lvl>
    <w:lvl w:ilvl="7">
      <w:start w:val="1"/>
      <w:numFmt w:val="bullet"/>
      <w:lvlText w:val="o"/>
      <w:lvlJc w:val="left"/>
      <w:pPr>
        <w:tabs>
          <w:tab w:val="num" w:pos="5400"/>
        </w:tabs>
        <w:ind w:left="5400" w:hanging="360"/>
      </w:pPr>
      <w:rPr>
        <w:rFonts w:ascii="Courier New" w:hAnsi="Courier New" w:cs="Courier New" w:hint="default"/>
        <w:rFonts w:cs="Courier New"/>
      </w:rPr>
    </w:lvl>
    <w:lvl w:ilvl="8">
      <w:start w:val="1"/>
      <w:numFmt w:val="bullet"/>
      <w:lvlText w:val=""/>
      <w:lvlJc w:val="left"/>
      <w:pPr>
        <w:tabs>
          <w:tab w:val="num" w:pos="6120"/>
        </w:tabs>
        <w:ind w:left="6120" w:hanging="360"/>
      </w:pPr>
      <w:rPr>
        <w:rFonts w:ascii="Wingdings" w:hAnsi="Wingdings" w:cs="Wingdings" w:hint="default"/>
        <w:rFonts w:cs="Wingdings"/>
      </w:rPr>
    </w:lvl>
  </w:abstractNum>
  <w:abstractNum w:abstractNumId="5">
    <w:lvl w:ilvl="0">
      <w:start w:val="1"/>
      <w:numFmt w:val="decimal"/>
      <w:lvlText w:val="%1"/>
      <w:lvlJc w:val="left"/>
      <w:pPr>
        <w:tabs>
          <w:tab w:val="num" w:pos="435"/>
        </w:tabs>
        <w:ind w:left="435" w:hanging="435"/>
      </w:pPr>
    </w:lvl>
    <w:lvl w:ilvl="1">
      <w:start w:val="7"/>
      <w:numFmt w:val="decimal"/>
      <w:lvlText w:val="%1.%2"/>
      <w:lvlJc w:val="left"/>
      <w:pPr>
        <w:tabs>
          <w:tab w:val="num" w:pos="435"/>
        </w:tabs>
        <w:ind w:left="435" w:hanging="435"/>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90eb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paragraph" w:styleId="Nadpis1">
    <w:name w:val="Heading 1"/>
    <w:basedOn w:val="Normal"/>
    <w:link w:val="Nadpis1Char"/>
    <w:uiPriority w:val="9"/>
    <w:qFormat/>
    <w:rsid w:val="00b31111"/>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character" w:styleId="DefaultParagraphFont" w:default="1">
    <w:name w:val="Default Paragraph Font"/>
    <w:uiPriority w:val="1"/>
    <w:semiHidden/>
    <w:unhideWhenUsed/>
    <w:qFormat/>
    <w:rPr/>
  </w:style>
  <w:style w:type="character" w:styleId="Nadpis1Char" w:customStyle="1">
    <w:name w:val="Nadpis 1 Char"/>
    <w:basedOn w:val="DefaultParagraphFont"/>
    <w:link w:val="Nadpis1"/>
    <w:uiPriority w:val="9"/>
    <w:qFormat/>
    <w:rsid w:val="00b31111"/>
    <w:rPr>
      <w:rFonts w:ascii="Cambria" w:hAnsi="Cambria" w:eastAsia="" w:cs="" w:asciiTheme="majorHAnsi" w:cstheme="majorBidi" w:eastAsiaTheme="majorEastAsia" w:hAnsiTheme="majorHAnsi"/>
      <w:b/>
      <w:bCs/>
      <w:color w:val="365F91" w:themeColor="accent1" w:themeShade="bf"/>
      <w:sz w:val="28"/>
      <w:szCs w:val="28"/>
    </w:rPr>
  </w:style>
  <w:style w:type="character" w:styleId="TextbublinyChar" w:customStyle="1">
    <w:name w:val="Text bubliny Char"/>
    <w:basedOn w:val="DefaultParagraphFont"/>
    <w:link w:val="Textbubliny"/>
    <w:uiPriority w:val="99"/>
    <w:semiHidden/>
    <w:qFormat/>
    <w:rsid w:val="0019009f"/>
    <w:rPr>
      <w:rFonts w:ascii="Tahoma" w:hAnsi="Tahoma" w:cs="Tahoma"/>
      <w:sz w:val="16"/>
      <w:szCs w:val="16"/>
    </w:rPr>
  </w:style>
  <w:style w:type="paragraph" w:styleId="Nadpis" w:customStyle="1">
    <w:name w:val="Nadpis"/>
    <w:basedOn w:val="Normal"/>
    <w:next w:val="Telotextu"/>
    <w:qFormat/>
    <w:pPr>
      <w:keepNext w:val="true"/>
      <w:spacing w:before="240" w:after="120"/>
    </w:pPr>
    <w:rPr>
      <w:rFonts w:ascii="Liberation Sans" w:hAnsi="Liberation Sans" w:eastAsia="Microsoft YaHei" w:cs="Mangal"/>
      <w:sz w:val="28"/>
      <w:szCs w:val="28"/>
    </w:rPr>
  </w:style>
  <w:style w:type="paragraph" w:styleId="Telotextu">
    <w:name w:val="Body Text"/>
    <w:basedOn w:val="Normal"/>
    <w:pPr>
      <w:spacing w:before="0" w:after="140"/>
    </w:pPr>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Mangal"/>
    </w:rPr>
  </w:style>
  <w:style w:type="paragraph" w:styleId="Caption">
    <w:name w:val="caption"/>
    <w:basedOn w:val="Normal"/>
    <w:qFormat/>
    <w:pPr>
      <w:suppressLineNumbers/>
      <w:spacing w:before="120" w:after="120"/>
    </w:pPr>
    <w:rPr>
      <w:rFonts w:cs="Mangal"/>
      <w:i/>
      <w:iCs/>
      <w:sz w:val="24"/>
      <w:szCs w:val="24"/>
    </w:rPr>
  </w:style>
  <w:style w:type="paragraph" w:styleId="ListParagraph">
    <w:name w:val="List Paragraph"/>
    <w:basedOn w:val="Normal"/>
    <w:uiPriority w:val="34"/>
    <w:qFormat/>
    <w:rsid w:val="003f2b87"/>
    <w:pPr>
      <w:spacing w:before="0" w:after="200"/>
      <w:ind w:left="720" w:hanging="0"/>
      <w:contextualSpacing/>
    </w:pPr>
    <w:rPr/>
  </w:style>
  <w:style w:type="paragraph" w:styleId="BalloonText">
    <w:name w:val="Balloon Text"/>
    <w:basedOn w:val="Normal"/>
    <w:link w:val="TextbublinyChar"/>
    <w:uiPriority w:val="99"/>
    <w:semiHidden/>
    <w:unhideWhenUsed/>
    <w:qFormat/>
    <w:rsid w:val="0019009f"/>
    <w:pPr>
      <w:spacing w:lineRule="auto" w:line="240" w:before="0" w:after="0"/>
    </w:pPr>
    <w:rPr>
      <w:rFonts w:ascii="Tahoma" w:hAnsi="Tahoma" w:cs="Tahoma"/>
      <w:sz w:val="16"/>
      <w:szCs w:val="16"/>
    </w:rPr>
  </w:style>
  <w:style w:type="numbering" w:styleId="NoList" w:default="1">
    <w:name w:val="No List"/>
    <w:uiPriority w:val="99"/>
    <w:semiHidden/>
    <w:unhideWhenUsed/>
    <w:qFormat/>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table" w:styleId="Mriekatabuky">
    <w:name w:val="Table Grid"/>
    <w:basedOn w:val="Normlnatabuka"/>
    <w:uiPriority w:val="59"/>
    <w:rsid w:val="00690eb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195</TotalTime>
  <Application>LibreOffice/6.3.3.2$Windows_X86_64 LibreOffice_project/a64200df03143b798afd1ec74a12ab50359878ed</Application>
  <Pages>11</Pages>
  <Words>2522</Words>
  <Characters>15225</Characters>
  <CharactersWithSpaces>18622</CharactersWithSpaces>
  <Paragraphs>251</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2016-09-13T11:18:00Z</dcterms:created>
  <dc:creator>Ekonom</dc:creator>
  <dc:description/>
  <dc:language>sk-SK</dc:language>
  <cp:lastModifiedBy/>
  <cp:lastPrinted>2020-08-24T10:41:57Z</cp:lastPrinted>
  <dcterms:modified xsi:type="dcterms:W3CDTF">2020-08-24T10:44:02Z</dcterms:modified>
  <cp:revision>23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