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075" w:type="dxa"/>
        <w:tblCellSpacing w:w="0" w:type="dxa"/>
        <w:tblBorders>
          <w:top w:val="outset" w:sz="6" w:space="0" w:color="000000"/>
          <w:left w:val="outset" w:sz="6" w:space="0" w:color="000000"/>
          <w:bottom w:val="outset" w:sz="6" w:space="0" w:color="000000"/>
          <w:right w:val="outset" w:sz="6" w:space="0" w:color="000000"/>
        </w:tblBorders>
        <w:tblCellMar>
          <w:top w:w="48" w:type="dxa"/>
          <w:left w:w="48" w:type="dxa"/>
          <w:bottom w:w="48" w:type="dxa"/>
          <w:right w:w="48" w:type="dxa"/>
        </w:tblCellMar>
        <w:tblLook w:val="04A0" w:firstRow="1" w:lastRow="0" w:firstColumn="1" w:lastColumn="0" w:noHBand="0" w:noVBand="1"/>
      </w:tblPr>
      <w:tblGrid>
        <w:gridCol w:w="3020"/>
        <w:gridCol w:w="3035"/>
        <w:gridCol w:w="3020"/>
      </w:tblGrid>
      <w:tr w:rsidR="003E0705" w:rsidRPr="00481C48" w14:paraId="568D2F9F" w14:textId="77777777" w:rsidTr="003E0705">
        <w:trPr>
          <w:tblCellSpacing w:w="0" w:type="dxa"/>
        </w:trPr>
        <w:tc>
          <w:tcPr>
            <w:tcW w:w="2895" w:type="dxa"/>
            <w:tcBorders>
              <w:top w:val="outset" w:sz="6" w:space="0" w:color="000000"/>
              <w:left w:val="outset" w:sz="6" w:space="0" w:color="000000"/>
              <w:bottom w:val="outset" w:sz="6" w:space="0" w:color="000000"/>
              <w:right w:val="outset" w:sz="6" w:space="0" w:color="000000"/>
            </w:tcBorders>
            <w:hideMark/>
          </w:tcPr>
          <w:p w14:paraId="329210A7" w14:textId="77777777" w:rsidR="003E0705" w:rsidRPr="00481C48" w:rsidRDefault="003E0705" w:rsidP="003E0705">
            <w:pPr>
              <w:spacing w:before="100" w:beforeAutospacing="1" w:after="119" w:line="24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Poznámky </w:t>
            </w:r>
            <w:proofErr w:type="spellStart"/>
            <w:r w:rsidRPr="00481C48">
              <w:rPr>
                <w:rFonts w:ascii="Times New Roman" w:eastAsia="Times New Roman" w:hAnsi="Times New Roman" w:cs="Times New Roman"/>
                <w:color w:val="000000"/>
                <w:sz w:val="24"/>
                <w:szCs w:val="24"/>
                <w:lang w:eastAsia="sk-SK"/>
              </w:rPr>
              <w:t>Úč</w:t>
            </w:r>
            <w:proofErr w:type="spellEnd"/>
            <w:r w:rsidRPr="00481C48">
              <w:rPr>
                <w:rFonts w:ascii="Times New Roman" w:eastAsia="Times New Roman" w:hAnsi="Times New Roman" w:cs="Times New Roman"/>
                <w:color w:val="000000"/>
                <w:sz w:val="24"/>
                <w:szCs w:val="24"/>
                <w:lang w:eastAsia="sk-SK"/>
              </w:rPr>
              <w:t xml:space="preserve"> MÚJ 3-01 </w:t>
            </w:r>
          </w:p>
        </w:tc>
        <w:tc>
          <w:tcPr>
            <w:tcW w:w="2910" w:type="dxa"/>
            <w:tcBorders>
              <w:top w:val="outset" w:sz="6" w:space="0" w:color="000000"/>
              <w:left w:val="outset" w:sz="6" w:space="0" w:color="000000"/>
              <w:bottom w:val="outset" w:sz="6" w:space="0" w:color="000000"/>
              <w:right w:val="outset" w:sz="6" w:space="0" w:color="000000"/>
            </w:tcBorders>
            <w:hideMark/>
          </w:tcPr>
          <w:p w14:paraId="28959E3A" w14:textId="77777777" w:rsidR="003E0705" w:rsidRPr="00481C48" w:rsidRDefault="003E0705" w:rsidP="003E0705">
            <w:pPr>
              <w:spacing w:before="100" w:beforeAutospacing="1" w:after="119" w:line="24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sz w:val="24"/>
                <w:szCs w:val="24"/>
                <w:lang w:eastAsia="sk-SK"/>
              </w:rPr>
              <w:t>IČO: 35705281</w:t>
            </w:r>
          </w:p>
        </w:tc>
        <w:tc>
          <w:tcPr>
            <w:tcW w:w="2895" w:type="dxa"/>
            <w:tcBorders>
              <w:top w:val="outset" w:sz="6" w:space="0" w:color="000000"/>
              <w:left w:val="outset" w:sz="6" w:space="0" w:color="000000"/>
              <w:bottom w:val="outset" w:sz="6" w:space="0" w:color="000000"/>
              <w:right w:val="outset" w:sz="6" w:space="0" w:color="000000"/>
            </w:tcBorders>
            <w:hideMark/>
          </w:tcPr>
          <w:p w14:paraId="0EE3DC75" w14:textId="77777777" w:rsidR="003E0705" w:rsidRPr="00481C48" w:rsidRDefault="003E0705" w:rsidP="003E0705">
            <w:pPr>
              <w:spacing w:before="100" w:beforeAutospacing="1" w:after="119" w:line="24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sz w:val="24"/>
                <w:szCs w:val="24"/>
                <w:lang w:eastAsia="sk-SK"/>
              </w:rPr>
              <w:t>DIČ: SK2020227044</w:t>
            </w:r>
          </w:p>
        </w:tc>
      </w:tr>
    </w:tbl>
    <w:p w14:paraId="384CE137" w14:textId="31EA8BE7" w:rsidR="00A94E5C" w:rsidRPr="00481C48" w:rsidRDefault="00A94E5C">
      <w:pPr>
        <w:rPr>
          <w:rFonts w:ascii="Times New Roman" w:hAnsi="Times New Roman" w:cs="Times New Roman"/>
          <w:sz w:val="24"/>
          <w:szCs w:val="24"/>
        </w:rPr>
      </w:pPr>
    </w:p>
    <w:p w14:paraId="56767712" w14:textId="529B2702" w:rsidR="003E0705" w:rsidRPr="00481C48" w:rsidRDefault="003E0705" w:rsidP="003E0705">
      <w:pPr>
        <w:spacing w:before="100" w:beforeAutospacing="1" w:after="0" w:line="240" w:lineRule="auto"/>
        <w:jc w:val="center"/>
        <w:rPr>
          <w:rFonts w:ascii="Times New Roman" w:eastAsia="Times New Roman" w:hAnsi="Times New Roman" w:cs="Times New Roman"/>
          <w:sz w:val="24"/>
          <w:szCs w:val="24"/>
          <w:lang w:eastAsia="sk-SK"/>
        </w:rPr>
      </w:pPr>
      <w:proofErr w:type="spellStart"/>
      <w:r w:rsidRPr="00481C48">
        <w:rPr>
          <w:rFonts w:ascii="Times New Roman" w:eastAsia="Times New Roman" w:hAnsi="Times New Roman" w:cs="Times New Roman"/>
          <w:b/>
          <w:bCs/>
          <w:sz w:val="24"/>
          <w:szCs w:val="24"/>
          <w:lang w:eastAsia="sk-SK"/>
        </w:rPr>
        <w:t>Wap</w:t>
      </w:r>
      <w:proofErr w:type="spellEnd"/>
      <w:r w:rsidRPr="00481C48">
        <w:rPr>
          <w:rFonts w:ascii="Times New Roman" w:eastAsia="Times New Roman" w:hAnsi="Times New Roman" w:cs="Times New Roman"/>
          <w:b/>
          <w:bCs/>
          <w:sz w:val="24"/>
          <w:szCs w:val="24"/>
          <w:lang w:eastAsia="sk-SK"/>
        </w:rPr>
        <w:t xml:space="preserve"> ALTO – čistiace systémy, s</w:t>
      </w:r>
      <w:r w:rsidR="00481C48" w:rsidRPr="00481C48">
        <w:rPr>
          <w:rFonts w:ascii="Times New Roman" w:eastAsia="Times New Roman" w:hAnsi="Times New Roman" w:cs="Times New Roman"/>
          <w:b/>
          <w:bCs/>
          <w:sz w:val="24"/>
          <w:szCs w:val="24"/>
          <w:lang w:eastAsia="sk-SK"/>
        </w:rPr>
        <w:t xml:space="preserve">. </w:t>
      </w:r>
      <w:r w:rsidRPr="00481C48">
        <w:rPr>
          <w:rFonts w:ascii="Times New Roman" w:eastAsia="Times New Roman" w:hAnsi="Times New Roman" w:cs="Times New Roman"/>
          <w:b/>
          <w:bCs/>
          <w:sz w:val="24"/>
          <w:szCs w:val="24"/>
          <w:lang w:eastAsia="sk-SK"/>
        </w:rPr>
        <w:t>r</w:t>
      </w:r>
      <w:r w:rsidR="00481C48" w:rsidRPr="00481C48">
        <w:rPr>
          <w:rFonts w:ascii="Times New Roman" w:eastAsia="Times New Roman" w:hAnsi="Times New Roman" w:cs="Times New Roman"/>
          <w:b/>
          <w:bCs/>
          <w:sz w:val="24"/>
          <w:szCs w:val="24"/>
          <w:lang w:eastAsia="sk-SK"/>
        </w:rPr>
        <w:t xml:space="preserve">. </w:t>
      </w:r>
      <w:r w:rsidRPr="00481C48">
        <w:rPr>
          <w:rFonts w:ascii="Times New Roman" w:eastAsia="Times New Roman" w:hAnsi="Times New Roman" w:cs="Times New Roman"/>
          <w:b/>
          <w:bCs/>
          <w:sz w:val="24"/>
          <w:szCs w:val="24"/>
          <w:lang w:eastAsia="sk-SK"/>
        </w:rPr>
        <w:t>o</w:t>
      </w:r>
      <w:r w:rsidR="00481C48" w:rsidRPr="00481C48">
        <w:rPr>
          <w:rFonts w:ascii="Times New Roman" w:eastAsia="Times New Roman" w:hAnsi="Times New Roman" w:cs="Times New Roman"/>
          <w:b/>
          <w:bCs/>
          <w:sz w:val="24"/>
          <w:szCs w:val="24"/>
          <w:lang w:eastAsia="sk-SK"/>
        </w:rPr>
        <w:t>.</w:t>
      </w:r>
    </w:p>
    <w:p w14:paraId="19C2CB80" w14:textId="77777777" w:rsidR="003E0705" w:rsidRPr="00481C48" w:rsidRDefault="003E0705" w:rsidP="003E0705">
      <w:pPr>
        <w:spacing w:before="100" w:beforeAutospacing="1" w:after="0" w:line="240" w:lineRule="auto"/>
        <w:jc w:val="center"/>
        <w:rPr>
          <w:rFonts w:ascii="Times New Roman" w:eastAsia="Times New Roman" w:hAnsi="Times New Roman" w:cs="Times New Roman"/>
          <w:sz w:val="24"/>
          <w:szCs w:val="24"/>
          <w:lang w:eastAsia="sk-SK"/>
        </w:rPr>
      </w:pPr>
    </w:p>
    <w:p w14:paraId="6105BECC" w14:textId="77777777" w:rsidR="003E0705" w:rsidRPr="00481C48" w:rsidRDefault="003E0705" w:rsidP="003E0705">
      <w:pPr>
        <w:spacing w:before="100" w:beforeAutospacing="1" w:after="0" w:line="240" w:lineRule="auto"/>
        <w:jc w:val="center"/>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Čl.1</w:t>
      </w:r>
    </w:p>
    <w:p w14:paraId="34757506" w14:textId="77777777" w:rsidR="003E0705" w:rsidRPr="00481C48" w:rsidRDefault="003E0705" w:rsidP="003E0705">
      <w:pPr>
        <w:spacing w:before="100" w:beforeAutospacing="1" w:after="0" w:line="240" w:lineRule="auto"/>
        <w:jc w:val="center"/>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Všeobecné údaje </w:t>
      </w:r>
    </w:p>
    <w:p w14:paraId="191723A6"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27BF6130"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proofErr w:type="spellStart"/>
      <w:r w:rsidRPr="00481C48">
        <w:rPr>
          <w:rFonts w:ascii="Times New Roman" w:eastAsia="Times New Roman" w:hAnsi="Times New Roman" w:cs="Times New Roman"/>
          <w:b/>
          <w:bCs/>
          <w:sz w:val="24"/>
          <w:szCs w:val="24"/>
          <w:lang w:eastAsia="sk-SK"/>
        </w:rPr>
        <w:t>Wap</w:t>
      </w:r>
      <w:proofErr w:type="spellEnd"/>
      <w:r w:rsidRPr="00481C48">
        <w:rPr>
          <w:rFonts w:ascii="Times New Roman" w:eastAsia="Times New Roman" w:hAnsi="Times New Roman" w:cs="Times New Roman"/>
          <w:b/>
          <w:bCs/>
          <w:sz w:val="24"/>
          <w:szCs w:val="24"/>
          <w:lang w:eastAsia="sk-SK"/>
        </w:rPr>
        <w:t xml:space="preserve"> ALTO – čistiace systémy, </w:t>
      </w:r>
      <w:proofErr w:type="spellStart"/>
      <w:r w:rsidRPr="00481C48">
        <w:rPr>
          <w:rFonts w:ascii="Times New Roman" w:eastAsia="Times New Roman" w:hAnsi="Times New Roman" w:cs="Times New Roman"/>
          <w:b/>
          <w:bCs/>
          <w:sz w:val="24"/>
          <w:szCs w:val="24"/>
          <w:lang w:eastAsia="sk-SK"/>
        </w:rPr>
        <w:t>sro</w:t>
      </w:r>
      <w:proofErr w:type="spellEnd"/>
    </w:p>
    <w:p w14:paraId="740025A8"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Bratislava, Remeselnícka 42</w:t>
      </w:r>
    </w:p>
    <w:p w14:paraId="44B19937"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sz w:val="24"/>
          <w:szCs w:val="24"/>
          <w:lang w:eastAsia="sk-SK"/>
        </w:rPr>
        <w:t>IČO: 35705281, DIČ: SK2020227044</w:t>
      </w:r>
    </w:p>
    <w:p w14:paraId="6C4F9E22"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Zapísanej v Obchodnom registri Okresného súdu Bratislava I., Oddiel: </w:t>
      </w:r>
      <w:proofErr w:type="spellStart"/>
      <w:r w:rsidRPr="00481C48">
        <w:rPr>
          <w:rFonts w:ascii="Times New Roman" w:eastAsia="Times New Roman" w:hAnsi="Times New Roman" w:cs="Times New Roman"/>
          <w:color w:val="000000"/>
          <w:sz w:val="24"/>
          <w:szCs w:val="24"/>
          <w:lang w:eastAsia="sk-SK"/>
        </w:rPr>
        <w:t>Sro</w:t>
      </w:r>
      <w:proofErr w:type="spellEnd"/>
      <w:r w:rsidRPr="00481C48">
        <w:rPr>
          <w:rFonts w:ascii="Times New Roman" w:eastAsia="Times New Roman" w:hAnsi="Times New Roman" w:cs="Times New Roman"/>
          <w:color w:val="000000"/>
          <w:sz w:val="24"/>
          <w:szCs w:val="24"/>
          <w:lang w:eastAsia="sk-SK"/>
        </w:rPr>
        <w:t xml:space="preserve">, </w:t>
      </w:r>
    </w:p>
    <w:p w14:paraId="45725F4F"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sz w:val="24"/>
          <w:szCs w:val="24"/>
          <w:lang w:eastAsia="sk-SK"/>
        </w:rPr>
        <w:t>Vložka: 12771</w:t>
      </w:r>
      <w:r w:rsidRPr="00481C48">
        <w:rPr>
          <w:rFonts w:ascii="Times New Roman" w:eastAsia="Times New Roman" w:hAnsi="Times New Roman" w:cs="Times New Roman"/>
          <w:color w:val="000000"/>
          <w:sz w:val="24"/>
          <w:szCs w:val="24"/>
          <w:shd w:val="clear" w:color="auto" w:fill="FFFFFF"/>
          <w:lang w:eastAsia="sk-SK"/>
        </w:rPr>
        <w:t>/B</w:t>
      </w:r>
    </w:p>
    <w:p w14:paraId="4FBF3556"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1890D39B" w14:textId="25345D7B"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Konateľ: </w:t>
      </w:r>
    </w:p>
    <w:p w14:paraId="0712923E"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proofErr w:type="spellStart"/>
      <w:r w:rsidRPr="00481C48">
        <w:rPr>
          <w:rFonts w:ascii="Times New Roman" w:eastAsia="Times New Roman" w:hAnsi="Times New Roman" w:cs="Times New Roman"/>
          <w:color w:val="000000"/>
          <w:sz w:val="24"/>
          <w:szCs w:val="24"/>
          <w:lang w:eastAsia="sk-SK"/>
        </w:rPr>
        <w:t>Ralf</w:t>
      </w:r>
      <w:proofErr w:type="spellEnd"/>
      <w:r w:rsidRPr="00481C48">
        <w:rPr>
          <w:rFonts w:ascii="Times New Roman" w:eastAsia="Times New Roman" w:hAnsi="Times New Roman" w:cs="Times New Roman"/>
          <w:color w:val="000000"/>
          <w:sz w:val="24"/>
          <w:szCs w:val="24"/>
          <w:lang w:eastAsia="sk-SK"/>
        </w:rPr>
        <w:t xml:space="preserve"> </w:t>
      </w:r>
      <w:proofErr w:type="spellStart"/>
      <w:r w:rsidRPr="00481C48">
        <w:rPr>
          <w:rFonts w:ascii="Times New Roman" w:eastAsia="Times New Roman" w:hAnsi="Times New Roman" w:cs="Times New Roman"/>
          <w:color w:val="000000"/>
          <w:sz w:val="24"/>
          <w:szCs w:val="24"/>
          <w:lang w:eastAsia="sk-SK"/>
        </w:rPr>
        <w:t>Lehmann</w:t>
      </w:r>
      <w:proofErr w:type="spellEnd"/>
    </w:p>
    <w:p w14:paraId="6E80F916"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64E0B368"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Spoločníci: </w:t>
      </w:r>
    </w:p>
    <w:p w14:paraId="1B4F84B6"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proofErr w:type="spellStart"/>
      <w:r w:rsidRPr="00481C48">
        <w:rPr>
          <w:rFonts w:ascii="Times New Roman" w:eastAsia="Times New Roman" w:hAnsi="Times New Roman" w:cs="Times New Roman"/>
          <w:color w:val="000000"/>
          <w:sz w:val="24"/>
          <w:szCs w:val="24"/>
          <w:lang w:eastAsia="sk-SK"/>
        </w:rPr>
        <w:t>Ralf</w:t>
      </w:r>
      <w:proofErr w:type="spellEnd"/>
      <w:r w:rsidRPr="00481C48">
        <w:rPr>
          <w:rFonts w:ascii="Times New Roman" w:eastAsia="Times New Roman" w:hAnsi="Times New Roman" w:cs="Times New Roman"/>
          <w:color w:val="000000"/>
          <w:sz w:val="24"/>
          <w:szCs w:val="24"/>
          <w:lang w:eastAsia="sk-SK"/>
        </w:rPr>
        <w:t xml:space="preserve"> </w:t>
      </w:r>
      <w:proofErr w:type="spellStart"/>
      <w:r w:rsidRPr="00481C48">
        <w:rPr>
          <w:rFonts w:ascii="Times New Roman" w:eastAsia="Times New Roman" w:hAnsi="Times New Roman" w:cs="Times New Roman"/>
          <w:color w:val="000000"/>
          <w:sz w:val="24"/>
          <w:szCs w:val="24"/>
          <w:lang w:eastAsia="sk-SK"/>
        </w:rPr>
        <w:t>Lehmann</w:t>
      </w:r>
      <w:proofErr w:type="spellEnd"/>
      <w:r w:rsidRPr="00481C48">
        <w:rPr>
          <w:rFonts w:ascii="Times New Roman" w:eastAsia="Times New Roman" w:hAnsi="Times New Roman" w:cs="Times New Roman"/>
          <w:color w:val="000000"/>
          <w:sz w:val="24"/>
          <w:szCs w:val="24"/>
          <w:lang w:eastAsia="sk-SK"/>
        </w:rPr>
        <w:t xml:space="preserve"> 100 %</w:t>
      </w:r>
    </w:p>
    <w:p w14:paraId="54A2EB1F"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0922D629" w14:textId="17DF7BBB"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Základné imanie: </w:t>
      </w:r>
      <w:r w:rsidRPr="00481C48">
        <w:rPr>
          <w:rFonts w:ascii="Times New Roman" w:eastAsia="Times New Roman" w:hAnsi="Times New Roman" w:cs="Times New Roman"/>
          <w:b/>
          <w:bCs/>
          <w:color w:val="000000"/>
          <w:sz w:val="24"/>
          <w:szCs w:val="24"/>
          <w:shd w:val="clear" w:color="auto" w:fill="FFFFFF"/>
          <w:lang w:eastAsia="sk-SK"/>
        </w:rPr>
        <w:t> </w:t>
      </w:r>
      <w:r w:rsidRPr="00481C48">
        <w:rPr>
          <w:rFonts w:ascii="Times New Roman" w:eastAsia="Times New Roman" w:hAnsi="Times New Roman" w:cs="Times New Roman"/>
          <w:color w:val="000000"/>
          <w:sz w:val="24"/>
          <w:szCs w:val="24"/>
          <w:shd w:val="clear" w:color="auto" w:fill="FFFFFF"/>
          <w:lang w:eastAsia="sk-SK"/>
        </w:rPr>
        <w:t>6</w:t>
      </w:r>
      <w:r w:rsidR="007A6674">
        <w:rPr>
          <w:rFonts w:ascii="Times New Roman" w:eastAsia="Times New Roman" w:hAnsi="Times New Roman" w:cs="Times New Roman"/>
          <w:color w:val="000000"/>
          <w:sz w:val="24"/>
          <w:szCs w:val="24"/>
          <w:shd w:val="clear" w:color="auto" w:fill="FFFFFF"/>
          <w:lang w:eastAsia="sk-SK"/>
        </w:rPr>
        <w:t> </w:t>
      </w:r>
      <w:r w:rsidRPr="00481C48">
        <w:rPr>
          <w:rFonts w:ascii="Times New Roman" w:eastAsia="Times New Roman" w:hAnsi="Times New Roman" w:cs="Times New Roman"/>
          <w:color w:val="000000"/>
          <w:sz w:val="24"/>
          <w:szCs w:val="24"/>
          <w:shd w:val="clear" w:color="auto" w:fill="FFFFFF"/>
          <w:lang w:eastAsia="sk-SK"/>
        </w:rPr>
        <w:t>63</w:t>
      </w:r>
      <w:r w:rsidR="007A6674">
        <w:rPr>
          <w:rFonts w:ascii="Times New Roman" w:eastAsia="Times New Roman" w:hAnsi="Times New Roman" w:cs="Times New Roman"/>
          <w:color w:val="000000"/>
          <w:sz w:val="24"/>
          <w:szCs w:val="24"/>
          <w:shd w:val="clear" w:color="auto" w:fill="FFFFFF"/>
          <w:lang w:eastAsia="sk-SK"/>
        </w:rPr>
        <w:t xml:space="preserve">9 </w:t>
      </w:r>
      <w:r w:rsidRPr="00481C48">
        <w:rPr>
          <w:rFonts w:ascii="Times New Roman" w:eastAsia="Times New Roman" w:hAnsi="Times New Roman" w:cs="Times New Roman"/>
          <w:color w:val="000000"/>
          <w:sz w:val="24"/>
          <w:szCs w:val="24"/>
          <w:shd w:val="clear" w:color="auto" w:fill="FFFFFF"/>
          <w:lang w:eastAsia="sk-SK"/>
        </w:rPr>
        <w:t>EUR</w:t>
      </w:r>
    </w:p>
    <w:p w14:paraId="187EAAD4"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2B34AC9E" w14:textId="64F304C8"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Hospodárska činnosť: </w:t>
      </w:r>
    </w:p>
    <w:p w14:paraId="3BD05E46" w14:textId="77777777" w:rsidR="00481C48" w:rsidRPr="00481C48" w:rsidRDefault="003E0705" w:rsidP="002E0BFD">
      <w:pPr>
        <w:pStyle w:val="Odsekzoznamu"/>
        <w:numPr>
          <w:ilvl w:val="0"/>
          <w:numId w:val="1"/>
        </w:num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shd w:val="clear" w:color="auto" w:fill="FFFFFF"/>
          <w:lang w:eastAsia="sk-SK"/>
        </w:rPr>
        <w:t>kúpa tovaru za účelom jeho predaja konečnému spotrebiteľovi (maloobchod) </w:t>
      </w:r>
    </w:p>
    <w:p w14:paraId="5D7A02C2" w14:textId="77777777" w:rsidR="00481C48" w:rsidRPr="00481C48" w:rsidRDefault="003E0705" w:rsidP="002E0BFD">
      <w:pPr>
        <w:pStyle w:val="Odsekzoznamu"/>
        <w:numPr>
          <w:ilvl w:val="0"/>
          <w:numId w:val="1"/>
        </w:num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shd w:val="clear" w:color="auto" w:fill="FFFFFF"/>
          <w:lang w:eastAsia="sk-SK"/>
        </w:rPr>
        <w:t>kúpa tovaru za účelom jeho predaja iným prevádzkovateľom živností </w:t>
      </w:r>
    </w:p>
    <w:p w14:paraId="2DA95C2D" w14:textId="77777777" w:rsidR="00481C48" w:rsidRPr="00481C48" w:rsidRDefault="003E0705" w:rsidP="002E0BFD">
      <w:pPr>
        <w:pStyle w:val="Odsekzoznamu"/>
        <w:numPr>
          <w:ilvl w:val="0"/>
          <w:numId w:val="1"/>
        </w:num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shd w:val="clear" w:color="auto" w:fill="FFFFFF"/>
          <w:lang w:eastAsia="sk-SK"/>
        </w:rPr>
        <w:t>prenájom a oprava čistiacich zariadení </w:t>
      </w:r>
    </w:p>
    <w:p w14:paraId="50519C34" w14:textId="77777777" w:rsidR="00481C48" w:rsidRPr="00481C48" w:rsidRDefault="003E0705" w:rsidP="002E0BFD">
      <w:pPr>
        <w:pStyle w:val="Odsekzoznamu"/>
        <w:numPr>
          <w:ilvl w:val="0"/>
          <w:numId w:val="1"/>
        </w:num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shd w:val="clear" w:color="auto" w:fill="FFFFFF"/>
          <w:lang w:eastAsia="sk-SK"/>
        </w:rPr>
        <w:t>prenájom nehnuteľností, bytových a nebytových priestorov, ak sa popri prenájme </w:t>
      </w:r>
    </w:p>
    <w:p w14:paraId="724344D2" w14:textId="2CAC1718" w:rsidR="00481C48" w:rsidRPr="00481C48" w:rsidRDefault="003E0705" w:rsidP="002E0BFD">
      <w:pPr>
        <w:pStyle w:val="Odsekzoznamu"/>
        <w:numPr>
          <w:ilvl w:val="0"/>
          <w:numId w:val="1"/>
        </w:num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shd w:val="clear" w:color="auto" w:fill="FFFFFF"/>
          <w:lang w:eastAsia="sk-SK"/>
        </w:rPr>
        <w:t>poskytujú iné než základné služby spojené s</w:t>
      </w:r>
      <w:r w:rsidR="00481C48" w:rsidRPr="00481C48">
        <w:rPr>
          <w:rFonts w:ascii="Times New Roman" w:eastAsia="Times New Roman" w:hAnsi="Times New Roman" w:cs="Times New Roman"/>
          <w:color w:val="000000"/>
          <w:sz w:val="24"/>
          <w:szCs w:val="24"/>
          <w:shd w:val="clear" w:color="auto" w:fill="FFFFFF"/>
          <w:lang w:eastAsia="sk-SK"/>
        </w:rPr>
        <w:t> </w:t>
      </w:r>
      <w:r w:rsidRPr="00481C48">
        <w:rPr>
          <w:rFonts w:ascii="Times New Roman" w:eastAsia="Times New Roman" w:hAnsi="Times New Roman" w:cs="Times New Roman"/>
          <w:color w:val="000000"/>
          <w:sz w:val="24"/>
          <w:szCs w:val="24"/>
          <w:shd w:val="clear" w:color="auto" w:fill="FFFFFF"/>
          <w:lang w:eastAsia="sk-SK"/>
        </w:rPr>
        <w:t>prenájmom</w:t>
      </w:r>
    </w:p>
    <w:p w14:paraId="470F5A85" w14:textId="1D02617C" w:rsidR="00481C48" w:rsidRPr="00481C48" w:rsidRDefault="003E0705" w:rsidP="002E0BFD">
      <w:pPr>
        <w:pStyle w:val="Odsekzoznamu"/>
        <w:numPr>
          <w:ilvl w:val="0"/>
          <w:numId w:val="1"/>
        </w:num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shd w:val="clear" w:color="auto" w:fill="FFFFFF"/>
          <w:lang w:eastAsia="sk-SK"/>
        </w:rPr>
        <w:t>sprostredkovateľská činnosť v oblasti obchodu a</w:t>
      </w:r>
      <w:r w:rsidR="00481C48" w:rsidRPr="00481C48">
        <w:rPr>
          <w:rFonts w:ascii="Times New Roman" w:eastAsia="Times New Roman" w:hAnsi="Times New Roman" w:cs="Times New Roman"/>
          <w:color w:val="000000"/>
          <w:sz w:val="24"/>
          <w:szCs w:val="24"/>
          <w:shd w:val="clear" w:color="auto" w:fill="FFFFFF"/>
          <w:lang w:eastAsia="sk-SK"/>
        </w:rPr>
        <w:t> </w:t>
      </w:r>
      <w:r w:rsidRPr="00481C48">
        <w:rPr>
          <w:rFonts w:ascii="Times New Roman" w:eastAsia="Times New Roman" w:hAnsi="Times New Roman" w:cs="Times New Roman"/>
          <w:color w:val="000000"/>
          <w:sz w:val="24"/>
          <w:szCs w:val="24"/>
          <w:shd w:val="clear" w:color="auto" w:fill="FFFFFF"/>
          <w:lang w:eastAsia="sk-SK"/>
        </w:rPr>
        <w:t>služieb</w:t>
      </w:r>
    </w:p>
    <w:p w14:paraId="1F9D11D7" w14:textId="03B80E75" w:rsidR="003E0705" w:rsidRPr="00481C48" w:rsidRDefault="003E0705" w:rsidP="002E0BFD">
      <w:pPr>
        <w:pStyle w:val="Odsekzoznamu"/>
        <w:numPr>
          <w:ilvl w:val="0"/>
          <w:numId w:val="1"/>
        </w:num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shd w:val="clear" w:color="auto" w:fill="FFFFFF"/>
          <w:lang w:eastAsia="sk-SK"/>
        </w:rPr>
        <w:t>poradenská činnosť v oblasti obchodu</w:t>
      </w:r>
    </w:p>
    <w:p w14:paraId="065221AF" w14:textId="77777777" w:rsidR="00481C48" w:rsidRPr="00481C48" w:rsidRDefault="00481C48" w:rsidP="002E0BFD">
      <w:pPr>
        <w:spacing w:after="0" w:line="360" w:lineRule="auto"/>
        <w:rPr>
          <w:rFonts w:ascii="Times New Roman" w:eastAsia="Times New Roman" w:hAnsi="Times New Roman" w:cs="Times New Roman"/>
          <w:sz w:val="24"/>
          <w:szCs w:val="24"/>
          <w:lang w:eastAsia="sk-SK"/>
        </w:rPr>
      </w:pPr>
    </w:p>
    <w:p w14:paraId="1D49D163" w14:textId="7F62A49D"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Dôvod na zostavenie účtovnej závierky: riadna </w:t>
      </w:r>
    </w:p>
    <w:p w14:paraId="7B9931F9"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sz w:val="24"/>
          <w:szCs w:val="24"/>
          <w:lang w:eastAsia="sk-SK"/>
        </w:rPr>
        <w:t>Účtovná jednotka nie je súčasťou konsolidovaného celku</w:t>
      </w:r>
    </w:p>
    <w:p w14:paraId="26B93A0B" w14:textId="159EB5ED"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lastRenderedPageBreak/>
        <w:t xml:space="preserve">Účtovná závierka </w:t>
      </w:r>
      <w:proofErr w:type="spellStart"/>
      <w:r w:rsidRPr="00481C48">
        <w:rPr>
          <w:rFonts w:ascii="Times New Roman" w:eastAsia="Times New Roman" w:hAnsi="Times New Roman" w:cs="Times New Roman"/>
          <w:color w:val="000000"/>
          <w:sz w:val="24"/>
          <w:szCs w:val="24"/>
          <w:lang w:eastAsia="sk-SK"/>
        </w:rPr>
        <w:t>mikro</w:t>
      </w:r>
      <w:proofErr w:type="spellEnd"/>
      <w:r w:rsidR="00481C48" w:rsidRPr="00481C48">
        <w:rPr>
          <w:rFonts w:ascii="Times New Roman" w:eastAsia="Times New Roman" w:hAnsi="Times New Roman" w:cs="Times New Roman"/>
          <w:color w:val="000000"/>
          <w:sz w:val="24"/>
          <w:szCs w:val="24"/>
          <w:lang w:eastAsia="sk-SK"/>
        </w:rPr>
        <w:t xml:space="preserve"> </w:t>
      </w:r>
      <w:r w:rsidRPr="00481C48">
        <w:rPr>
          <w:rFonts w:ascii="Times New Roman" w:eastAsia="Times New Roman" w:hAnsi="Times New Roman" w:cs="Times New Roman"/>
          <w:color w:val="000000"/>
          <w:sz w:val="24"/>
          <w:szCs w:val="24"/>
          <w:lang w:eastAsia="sk-SK"/>
        </w:rPr>
        <w:t>účtovnej jednotky zostavená k 31.12.201</w:t>
      </w:r>
      <w:r w:rsidR="00481C48" w:rsidRPr="00481C48">
        <w:rPr>
          <w:rFonts w:ascii="Times New Roman" w:eastAsia="Times New Roman" w:hAnsi="Times New Roman" w:cs="Times New Roman"/>
          <w:color w:val="000000"/>
          <w:sz w:val="24"/>
          <w:szCs w:val="24"/>
          <w:lang w:eastAsia="sk-SK"/>
        </w:rPr>
        <w:t>9</w:t>
      </w:r>
      <w:r w:rsidRPr="00481C48">
        <w:rPr>
          <w:rFonts w:ascii="Times New Roman" w:eastAsia="Times New Roman" w:hAnsi="Times New Roman" w:cs="Times New Roman"/>
          <w:color w:val="000000"/>
          <w:sz w:val="24"/>
          <w:szCs w:val="24"/>
          <w:lang w:eastAsia="sk-SK"/>
        </w:rPr>
        <w:t xml:space="preserve"> </w:t>
      </w:r>
    </w:p>
    <w:p w14:paraId="2AF46D7F" w14:textId="3DDB1189"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Zostavená dňa: </w:t>
      </w:r>
      <w:r w:rsidR="00481C48" w:rsidRPr="00481C48">
        <w:rPr>
          <w:rFonts w:ascii="Times New Roman" w:eastAsia="Times New Roman" w:hAnsi="Times New Roman" w:cs="Times New Roman"/>
          <w:color w:val="000000"/>
          <w:sz w:val="24"/>
          <w:szCs w:val="24"/>
          <w:lang w:eastAsia="sk-SK"/>
        </w:rPr>
        <w:t>28</w:t>
      </w:r>
      <w:r w:rsidRPr="00481C48">
        <w:rPr>
          <w:rFonts w:ascii="Times New Roman" w:eastAsia="Times New Roman" w:hAnsi="Times New Roman" w:cs="Times New Roman"/>
          <w:color w:val="000000"/>
          <w:sz w:val="24"/>
          <w:szCs w:val="24"/>
          <w:lang w:eastAsia="sk-SK"/>
        </w:rPr>
        <w:t>.</w:t>
      </w:r>
      <w:r w:rsidR="00481C48" w:rsidRPr="00481C48">
        <w:rPr>
          <w:rFonts w:ascii="Times New Roman" w:eastAsia="Times New Roman" w:hAnsi="Times New Roman" w:cs="Times New Roman"/>
          <w:color w:val="000000"/>
          <w:sz w:val="24"/>
          <w:szCs w:val="24"/>
          <w:lang w:eastAsia="sk-SK"/>
        </w:rPr>
        <w:t>4</w:t>
      </w:r>
      <w:r w:rsidRPr="00481C48">
        <w:rPr>
          <w:rFonts w:ascii="Times New Roman" w:eastAsia="Times New Roman" w:hAnsi="Times New Roman" w:cs="Times New Roman"/>
          <w:color w:val="000000"/>
          <w:sz w:val="24"/>
          <w:szCs w:val="24"/>
          <w:lang w:eastAsia="sk-SK"/>
        </w:rPr>
        <w:t>.20</w:t>
      </w:r>
      <w:r w:rsidR="00481C48" w:rsidRPr="00481C48">
        <w:rPr>
          <w:rFonts w:ascii="Times New Roman" w:eastAsia="Times New Roman" w:hAnsi="Times New Roman" w:cs="Times New Roman"/>
          <w:color w:val="000000"/>
          <w:sz w:val="24"/>
          <w:szCs w:val="24"/>
          <w:lang w:eastAsia="sk-SK"/>
        </w:rPr>
        <w:t>20</w:t>
      </w:r>
      <w:r w:rsidRPr="00481C48">
        <w:rPr>
          <w:rFonts w:ascii="Times New Roman" w:eastAsia="Times New Roman" w:hAnsi="Times New Roman" w:cs="Times New Roman"/>
          <w:color w:val="000000"/>
          <w:sz w:val="24"/>
          <w:szCs w:val="24"/>
          <w:lang w:eastAsia="sk-SK"/>
        </w:rPr>
        <w:t xml:space="preserve"> </w:t>
      </w:r>
    </w:p>
    <w:p w14:paraId="7E196F22" w14:textId="7113BD5F"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Schválená dňa: </w:t>
      </w:r>
      <w:r w:rsidR="00481C48" w:rsidRPr="00481C48">
        <w:rPr>
          <w:rFonts w:ascii="Times New Roman" w:eastAsia="Times New Roman" w:hAnsi="Times New Roman" w:cs="Times New Roman"/>
          <w:color w:val="000000"/>
          <w:sz w:val="24"/>
          <w:szCs w:val="24"/>
          <w:lang w:eastAsia="sk-SK"/>
        </w:rPr>
        <w:t>28.4.2020</w:t>
      </w:r>
    </w:p>
    <w:p w14:paraId="32111B3C" w14:textId="17E2F9CA"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Priemerný počet zamestnancov: 0</w:t>
      </w:r>
    </w:p>
    <w:p w14:paraId="554E9241"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Čl.2 </w:t>
      </w:r>
    </w:p>
    <w:p w14:paraId="424DB010"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Informácie o prijatých postupoch </w:t>
      </w:r>
    </w:p>
    <w:p w14:paraId="39683798"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6E299DA1"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Čl.2.1 </w:t>
      </w:r>
    </w:p>
    <w:p w14:paraId="4D911A68" w14:textId="26766BFE"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Účtovná jednotka nepretržite pokračovala od 1.1.201</w:t>
      </w:r>
      <w:r w:rsidR="002E0BFD">
        <w:rPr>
          <w:rFonts w:ascii="Times New Roman" w:eastAsia="Times New Roman" w:hAnsi="Times New Roman" w:cs="Times New Roman"/>
          <w:color w:val="000000"/>
          <w:sz w:val="24"/>
          <w:szCs w:val="24"/>
          <w:lang w:eastAsia="sk-SK"/>
        </w:rPr>
        <w:t>9</w:t>
      </w:r>
      <w:r w:rsidRPr="00481C48">
        <w:rPr>
          <w:rFonts w:ascii="Times New Roman" w:eastAsia="Times New Roman" w:hAnsi="Times New Roman" w:cs="Times New Roman"/>
          <w:color w:val="000000"/>
          <w:sz w:val="24"/>
          <w:szCs w:val="24"/>
          <w:lang w:eastAsia="sk-SK"/>
        </w:rPr>
        <w:t xml:space="preserve"> do 31.12.201</w:t>
      </w:r>
      <w:r w:rsidR="002E0BFD">
        <w:rPr>
          <w:rFonts w:ascii="Times New Roman" w:eastAsia="Times New Roman" w:hAnsi="Times New Roman" w:cs="Times New Roman"/>
          <w:color w:val="000000"/>
          <w:sz w:val="24"/>
          <w:szCs w:val="24"/>
          <w:lang w:eastAsia="sk-SK"/>
        </w:rPr>
        <w:t>9</w:t>
      </w:r>
      <w:r w:rsidRPr="00481C48">
        <w:rPr>
          <w:rFonts w:ascii="Times New Roman" w:eastAsia="Times New Roman" w:hAnsi="Times New Roman" w:cs="Times New Roman"/>
          <w:color w:val="000000"/>
          <w:sz w:val="24"/>
          <w:szCs w:val="24"/>
          <w:lang w:eastAsia="sk-SK"/>
        </w:rPr>
        <w:t xml:space="preserve"> a bude pokračovať vo svojej činnosti. </w:t>
      </w:r>
    </w:p>
    <w:p w14:paraId="52AED76E"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188B7406"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Čl.2.2 </w:t>
      </w:r>
    </w:p>
    <w:p w14:paraId="38EED496"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Spôsob oceňovania jednotlivých položiek majetku a záväzkov, a to: </w:t>
      </w:r>
    </w:p>
    <w:p w14:paraId="3D5E4021"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a) dlhodobého nehmotného majetku, dlhodobého hmotného majetku a dlhodobého finančného majetku, </w:t>
      </w:r>
    </w:p>
    <w:p w14:paraId="63CF1052"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b) zásob obstaraných kúpou, zásob vytvorených vlastnou činnosťou, </w:t>
      </w:r>
    </w:p>
    <w:p w14:paraId="19B20DEE"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c) pohľadávok, </w:t>
      </w:r>
    </w:p>
    <w:p w14:paraId="5ECD2BC4"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sz w:val="24"/>
          <w:szCs w:val="24"/>
          <w:lang w:eastAsia="sk-SK"/>
        </w:rPr>
        <w:t>d) krátkodobého finančného majetku</w:t>
      </w:r>
    </w:p>
    <w:p w14:paraId="0014E2E9"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e) záväzkov vrátane rezerv, dlhopisov, pôžičiek a úverov, </w:t>
      </w:r>
    </w:p>
    <w:p w14:paraId="3C51BCEB"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f) derivátových operácií. </w:t>
      </w:r>
    </w:p>
    <w:p w14:paraId="26C946A9" w14:textId="6F1BB1F3"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Účtovná jednotka oceňovala majetok a záväzky - ku dňu uskutočnenie účtovného prípadu a to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obstarávacou cena je cena, za ktorú sa majetok obstaral a náklady súvi</w:t>
      </w:r>
      <w:r w:rsidR="00481C48">
        <w:rPr>
          <w:rFonts w:ascii="Times New Roman" w:eastAsia="Times New Roman" w:hAnsi="Times New Roman" w:cs="Times New Roman"/>
          <w:color w:val="000000"/>
          <w:sz w:val="24"/>
          <w:szCs w:val="24"/>
          <w:lang w:eastAsia="sk-SK"/>
        </w:rPr>
        <w:t>si</w:t>
      </w:r>
      <w:r w:rsidRPr="00481C48">
        <w:rPr>
          <w:rFonts w:ascii="Times New Roman" w:eastAsia="Times New Roman" w:hAnsi="Times New Roman" w:cs="Times New Roman"/>
          <w:color w:val="000000"/>
          <w:sz w:val="24"/>
          <w:szCs w:val="24"/>
          <w:lang w:eastAsia="sk-SK"/>
        </w:rPr>
        <w:t xml:space="preserve">ace s jeho obstaraním. Vyskytujúce sa náklady súvisiace s obstaraním v účtovnej jednotke: - provízia - dopravné – poistné </w:t>
      </w:r>
    </w:p>
    <w:p w14:paraId="744D7774" w14:textId="77777777" w:rsidR="002E0BFD" w:rsidRDefault="002E0BFD" w:rsidP="002E0BFD">
      <w:pPr>
        <w:spacing w:after="0" w:line="360" w:lineRule="auto"/>
        <w:rPr>
          <w:rFonts w:ascii="Times New Roman" w:eastAsia="Times New Roman" w:hAnsi="Times New Roman" w:cs="Times New Roman"/>
          <w:color w:val="000000"/>
          <w:sz w:val="24"/>
          <w:szCs w:val="24"/>
          <w:lang w:eastAsia="sk-SK"/>
        </w:rPr>
      </w:pPr>
    </w:p>
    <w:p w14:paraId="664A41A5" w14:textId="07201189"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Čl.2.3 </w:t>
      </w:r>
    </w:p>
    <w:p w14:paraId="49C538B9" w14:textId="670A2A9D"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Spôsob zostavenia odpisového plánu pre jednotlivé druhy dlhodobého hmotného majetku a dlhodobého nehmotného majetku, pričom sa uvádza doba odpisovania, použité sadzby odpisov a odpisové metódy pri určení odpisov.</w:t>
      </w:r>
    </w:p>
    <w:p w14:paraId="2E1DEC9F"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Spôsob zostavenia odpisového plánu majetku. </w:t>
      </w:r>
    </w:p>
    <w:p w14:paraId="4D0B5A51" w14:textId="5F79AD2E"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lastRenderedPageBreak/>
        <w:t xml:space="preserve">Účtovná jednotka stanovila interným predpisom pravidlá pre účtovanie dlhodobého majetku. Nehmotný majetok, ktorého ocenenie sa rovná sume </w:t>
      </w:r>
      <w:r w:rsidR="002E0BFD">
        <w:rPr>
          <w:rFonts w:ascii="Times New Roman" w:eastAsia="Times New Roman" w:hAnsi="Times New Roman" w:cs="Times New Roman"/>
          <w:color w:val="000000"/>
          <w:sz w:val="24"/>
          <w:szCs w:val="24"/>
          <w:lang w:eastAsia="sk-SK"/>
        </w:rPr>
        <w:t>2400</w:t>
      </w:r>
      <w:r w:rsidRPr="00481C48">
        <w:rPr>
          <w:rFonts w:ascii="Times New Roman" w:eastAsia="Times New Roman" w:hAnsi="Times New Roman" w:cs="Times New Roman"/>
          <w:color w:val="000000"/>
          <w:sz w:val="24"/>
          <w:szCs w:val="24"/>
          <w:lang w:eastAsia="sk-SK"/>
        </w:rPr>
        <w:t xml:space="preserve"> EUR, alebo nižšie sa účtuje na ťarchu účtu 518 - Ostatné služby. Nehmotný majetok, ktorého ocenenie je vyššie, zaradila účtovná jednotka do dlhodobého nehmotného majetku. Hmotný majetok, ktorého ocenenie sa rovná sume </w:t>
      </w:r>
      <w:r w:rsidR="002E0BFD">
        <w:rPr>
          <w:rFonts w:ascii="Times New Roman" w:eastAsia="Times New Roman" w:hAnsi="Times New Roman" w:cs="Times New Roman"/>
          <w:color w:val="000000"/>
          <w:sz w:val="24"/>
          <w:szCs w:val="24"/>
          <w:lang w:eastAsia="sk-SK"/>
        </w:rPr>
        <w:t>1700</w:t>
      </w:r>
      <w:r w:rsidRPr="00481C48">
        <w:rPr>
          <w:rFonts w:ascii="Times New Roman" w:eastAsia="Times New Roman" w:hAnsi="Times New Roman" w:cs="Times New Roman"/>
          <w:color w:val="000000"/>
          <w:sz w:val="24"/>
          <w:szCs w:val="24"/>
          <w:lang w:eastAsia="sk-SK"/>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4794A500"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2C8AC718" w14:textId="7A6848E1"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Čl.2.4 </w:t>
      </w:r>
    </w:p>
    <w:p w14:paraId="6304B23E" w14:textId="2454F3CE"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Zmeny účtovných zásad a zmeny účtovných metód</w:t>
      </w:r>
    </w:p>
    <w:p w14:paraId="4636DC26" w14:textId="4601D595"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Účtovná jednotka v bežnom účtovnom období nevykonala žiadne zmeny účtovných zásad a účtovných metód</w:t>
      </w:r>
      <w:r w:rsidR="00481C48">
        <w:rPr>
          <w:rFonts w:ascii="Times New Roman" w:eastAsia="Times New Roman" w:hAnsi="Times New Roman" w:cs="Times New Roman"/>
          <w:b/>
          <w:bCs/>
          <w:color w:val="000000"/>
          <w:sz w:val="24"/>
          <w:szCs w:val="24"/>
          <w:lang w:eastAsia="sk-SK"/>
        </w:rPr>
        <w:t xml:space="preserve">. </w:t>
      </w:r>
    </w:p>
    <w:p w14:paraId="41A87FA9"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783658C6"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Čl.2.5 </w:t>
      </w:r>
    </w:p>
    <w:p w14:paraId="57F890B9" w14:textId="14485B7F"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Informácie o dotáciách a ich oceňovanie v účtovníctve</w:t>
      </w:r>
    </w:p>
    <w:p w14:paraId="75D4FF84"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Účtovná jednotka v bežnom účtovnom období neúčtovala a nedostala žiadne dotácie. </w:t>
      </w:r>
    </w:p>
    <w:p w14:paraId="075B63E4"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5813DBE5"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Čl.2.6 </w:t>
      </w:r>
    </w:p>
    <w:p w14:paraId="3548037F" w14:textId="36EAC166"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Informácie o účtovaní významných opráv chýb minulých účtovných období </w:t>
      </w:r>
      <w:r w:rsidR="00481C48">
        <w:rPr>
          <w:rFonts w:ascii="Times New Roman" w:eastAsia="Times New Roman" w:hAnsi="Times New Roman" w:cs="Times New Roman"/>
          <w:sz w:val="24"/>
          <w:szCs w:val="24"/>
          <w:lang w:eastAsia="sk-SK"/>
        </w:rPr>
        <w:t xml:space="preserve">a </w:t>
      </w:r>
      <w:r w:rsidRPr="00481C48">
        <w:rPr>
          <w:rFonts w:ascii="Times New Roman" w:eastAsia="Times New Roman" w:hAnsi="Times New Roman" w:cs="Times New Roman"/>
          <w:color w:val="000000"/>
          <w:sz w:val="24"/>
          <w:szCs w:val="24"/>
          <w:lang w:eastAsia="sk-SK"/>
        </w:rPr>
        <w:t>bežnom účtovnom období.</w:t>
      </w:r>
    </w:p>
    <w:p w14:paraId="26BAE7F8"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Účtovná jednotka v bežnom účtovnom období neúčtovala a nedostala žiadne dotácie. </w:t>
      </w:r>
    </w:p>
    <w:p w14:paraId="6B61DDD9"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2488B5FC"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Čl.3 </w:t>
      </w:r>
    </w:p>
    <w:p w14:paraId="2BBA4A9B" w14:textId="0C11AA98"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Informácie, ktoré vysvetľujú a dopĺňajú súvahu a výkaz ziskov a strát</w:t>
      </w:r>
    </w:p>
    <w:p w14:paraId="24CCEFC8"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65178C78"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Čl.3.1</w:t>
      </w:r>
    </w:p>
    <w:p w14:paraId="5374B601" w14:textId="09F90E95"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Informácia o sume a dôvodoch vzniku jednotlivých položiek nákladov alebo výnosov, ktoré</w:t>
      </w:r>
      <w:r w:rsidR="00481C48">
        <w:rPr>
          <w:rFonts w:ascii="Times New Roman" w:eastAsia="Times New Roman" w:hAnsi="Times New Roman" w:cs="Times New Roman"/>
          <w:color w:val="000000"/>
          <w:sz w:val="24"/>
          <w:szCs w:val="24"/>
          <w:lang w:eastAsia="sk-SK"/>
        </w:rPr>
        <w:t xml:space="preserve"> </w:t>
      </w:r>
      <w:r w:rsidRPr="00481C48">
        <w:rPr>
          <w:rFonts w:ascii="Times New Roman" w:eastAsia="Times New Roman" w:hAnsi="Times New Roman" w:cs="Times New Roman"/>
          <w:color w:val="000000"/>
          <w:sz w:val="24"/>
          <w:szCs w:val="24"/>
          <w:lang w:eastAsia="sk-SK"/>
        </w:rPr>
        <w:t xml:space="preserve">majú výnimočný rozsah alebo výskyt, napríklad výnosy z predaja podniku alebo časti podniku, náklady z dôvodu predaja podniku alebo časti podniku, škody z dôvodu živelných pohrôm. </w:t>
      </w:r>
    </w:p>
    <w:p w14:paraId="3F77191C"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Účtovná jednotka v bežnom účtovnom období neúčtovala jednotlivé položky nákladov alebo výnosov, ktoré majú výnimočný rozsah. </w:t>
      </w:r>
    </w:p>
    <w:p w14:paraId="570B0B5B"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5DBF8723"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Čl.3.2.</w:t>
      </w:r>
    </w:p>
    <w:p w14:paraId="17B024D5"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Informácie o záväzkoch, a to: </w:t>
      </w:r>
    </w:p>
    <w:p w14:paraId="5B81AE0F"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a) celkovej sume záväzkov so zostatkovou dobou splatnosti dlhšou ako päť rokov, </w:t>
      </w:r>
    </w:p>
    <w:p w14:paraId="18FF5583"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sz w:val="24"/>
          <w:szCs w:val="24"/>
          <w:lang w:eastAsia="sk-SK"/>
        </w:rPr>
        <w:t>b) celkovej sume zabezpečených záväzkov, opis a spôsoby zabezpečenia záväzkov.</w:t>
      </w:r>
    </w:p>
    <w:p w14:paraId="168030D3" w14:textId="1861697D"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Účtovná jednotka v bežnom účtovnom období nemá pohľadávky</w:t>
      </w:r>
      <w:r w:rsidR="00481C48">
        <w:rPr>
          <w:rFonts w:ascii="Times New Roman" w:eastAsia="Times New Roman" w:hAnsi="Times New Roman" w:cs="Times New Roman"/>
          <w:b/>
          <w:bCs/>
          <w:color w:val="000000"/>
          <w:sz w:val="24"/>
          <w:szCs w:val="24"/>
          <w:lang w:eastAsia="sk-SK"/>
        </w:rPr>
        <w:t>,</w:t>
      </w:r>
      <w:r w:rsidRPr="00481C48">
        <w:rPr>
          <w:rFonts w:ascii="Times New Roman" w:eastAsia="Times New Roman" w:hAnsi="Times New Roman" w:cs="Times New Roman"/>
          <w:b/>
          <w:bCs/>
          <w:color w:val="000000"/>
          <w:sz w:val="24"/>
          <w:szCs w:val="24"/>
          <w:lang w:eastAsia="sk-SK"/>
        </w:rPr>
        <w:t xml:space="preserve"> ani záväzky po lehote splatnosti.</w:t>
      </w:r>
    </w:p>
    <w:p w14:paraId="4EDDC4E6"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2CD798E0"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Čl.3.3. </w:t>
      </w:r>
    </w:p>
    <w:p w14:paraId="6610A3BD"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Informácie o vlastných akciách, a to: </w:t>
      </w:r>
    </w:p>
    <w:p w14:paraId="276665C0"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a) dôvode nadobudnutia vlastných akcií počas účtovného obdobia, </w:t>
      </w:r>
    </w:p>
    <w:p w14:paraId="1E5A334B"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14:paraId="056E9519"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c) počte, menovitej hodnote a hodnote, za ktorú sa vlastné akcie nadobudli a ktoré účtovná jednotka má v držbe k poslednému dňu účtovného obdobia; uvádza sa aj ich percentuálny podiel na upísanom základnom imaní. </w:t>
      </w:r>
    </w:p>
    <w:p w14:paraId="7E5A932E"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Účtovná jednotka v bežnom účtovnom období nevlastnila, neobstarávala ani nepredávala vlastné akcie. </w:t>
      </w:r>
    </w:p>
    <w:p w14:paraId="73CD4744"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2533E9C6" w14:textId="77777777" w:rsidR="003E0705" w:rsidRPr="00481C48" w:rsidRDefault="003E0705" w:rsidP="002E0BFD">
      <w:pPr>
        <w:spacing w:after="0" w:line="360" w:lineRule="auto"/>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Čl.3.4. </w:t>
      </w:r>
    </w:p>
    <w:p w14:paraId="539C2453"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Informácie o orgánoch účtovnej jednotky, a to: </w:t>
      </w:r>
    </w:p>
    <w:p w14:paraId="282A645D"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a) výške jednotlivých druhov záruk alebo iných zabezpečení poskytnutých pre členov štatutárneho orgánu, dozorného orgánu a iného orgánu účtovnej jednotky, a to v členení za jednotlivé orgány, </w:t>
      </w:r>
    </w:p>
    <w:p w14:paraId="7D58FFF3"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or.2.gány,Strana 9 3. celková suma odpustených pôžičiek a odpísaných pôžičiek k poslednému dňu účtovného obdobia v členení za jednotlivé orgány, </w:t>
      </w:r>
    </w:p>
    <w:p w14:paraId="5A600802"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lastRenderedPageBreak/>
        <w:t xml:space="preserve">c) hlavných podmienkach, na základe ktorých im boli záruky alebo iné zabezpečenie a pôžičky poskytnuté; pri pôžičkách sa uvádzajú úrokové sadzby, </w:t>
      </w:r>
    </w:p>
    <w:p w14:paraId="312022F3"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sz w:val="24"/>
          <w:szCs w:val="24"/>
          <w:lang w:eastAsia="sk-SK"/>
        </w:rPr>
        <w:t>d) celkovej sume použitých finančných prostriedkov alebo iného plnenia na súkromné účely členmi štatutárneho orgánu, dozorného orgánu a iného orgánu účtovnej jednotky, ktoré je potrebné vyúčtovať.</w:t>
      </w:r>
    </w:p>
    <w:p w14:paraId="38E97F2C"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výhody členom štatutárnych orgánov, dozorných orgánov a iných orgánov. </w:t>
      </w:r>
    </w:p>
    <w:p w14:paraId="70C08BFB"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Účtovná jednotka v bežnom účtovnom období nemá povinnosti, ktoré sa nevykazujú v súvahe. </w:t>
      </w:r>
    </w:p>
    <w:p w14:paraId="25C70396"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Účtovná jednotka v bežnom účtovnom období nemá podmienené záväzky </w:t>
      </w:r>
    </w:p>
    <w:p w14:paraId="5EE15E71"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color w:val="000000"/>
          <w:sz w:val="24"/>
          <w:szCs w:val="24"/>
          <w:lang w:eastAsia="sk-SK"/>
        </w:rPr>
        <w:t xml:space="preserve">Účtovná jednotka v bežnom účtovnom období nemá podmienený majetok. </w:t>
      </w:r>
    </w:p>
    <w:p w14:paraId="06F103CC"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p>
    <w:p w14:paraId="672B6E6A" w14:textId="77777777" w:rsidR="003E0705" w:rsidRPr="00481C48" w:rsidRDefault="003E0705" w:rsidP="002E0BFD">
      <w:pPr>
        <w:spacing w:after="0" w:line="360" w:lineRule="auto"/>
        <w:jc w:val="center"/>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Čl. 3.5. </w:t>
      </w:r>
    </w:p>
    <w:p w14:paraId="0837D963"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Informácie o povinnostiach účtovnej jednotky, a to: </w:t>
      </w:r>
    </w:p>
    <w:p w14:paraId="619B6EA0"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22EFCACA"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14:paraId="644378FA"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sz w:val="24"/>
          <w:szCs w:val="24"/>
          <w:lang w:eastAsia="sk-SK"/>
        </w:rPr>
        <w:t>c) opise významných finančných povinností a významných podmienených záväzkov,</w:t>
      </w:r>
    </w:p>
    <w:p w14:paraId="0B85079C"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d) celkovej sume významných finančných povinností a významných podmienených záväzkoch voči dcérskej účtovnej jednotke a účtovnej jednotke s podstatným vplyvom, </w:t>
      </w:r>
    </w:p>
    <w:p w14:paraId="098197A9"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color w:val="000000"/>
          <w:sz w:val="24"/>
          <w:szCs w:val="24"/>
          <w:lang w:eastAsia="sk-SK"/>
        </w:rPr>
        <w:t xml:space="preserve">e) opise významných povinností účtovnej jednotky vyplývajúcich z dôchodkových programov pre zamestnancov. </w:t>
      </w:r>
    </w:p>
    <w:p w14:paraId="4BA3D369" w14:textId="77777777" w:rsidR="003E0705" w:rsidRPr="00481C48" w:rsidRDefault="003E0705" w:rsidP="002E0BFD">
      <w:pPr>
        <w:spacing w:after="0" w:line="360" w:lineRule="auto"/>
        <w:jc w:val="both"/>
        <w:rPr>
          <w:rFonts w:ascii="Times New Roman" w:eastAsia="Times New Roman" w:hAnsi="Times New Roman" w:cs="Times New Roman"/>
          <w:sz w:val="24"/>
          <w:szCs w:val="24"/>
          <w:lang w:eastAsia="sk-SK"/>
        </w:rPr>
      </w:pPr>
      <w:r w:rsidRPr="00481C48">
        <w:rPr>
          <w:rFonts w:ascii="Times New Roman" w:eastAsia="Times New Roman" w:hAnsi="Times New Roman" w:cs="Times New Roman"/>
          <w:b/>
          <w:bCs/>
          <w:sz w:val="24"/>
          <w:szCs w:val="24"/>
          <w:lang w:eastAsia="sk-SK"/>
        </w:rPr>
        <w:t>Účtovná jednotka v bežnom účtovnom období nemá povinnosti, ktoré sa nevykazujú v súvahe.</w:t>
      </w:r>
    </w:p>
    <w:p w14:paraId="0E05E48E" w14:textId="77777777" w:rsidR="003E0705" w:rsidRDefault="003E0705" w:rsidP="002E0BFD">
      <w:pPr>
        <w:spacing w:after="0" w:line="360" w:lineRule="auto"/>
      </w:pPr>
    </w:p>
    <w:sectPr w:rsidR="003E07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154353"/>
    <w:multiLevelType w:val="hybridMultilevel"/>
    <w:tmpl w:val="E124D17C"/>
    <w:lvl w:ilvl="0" w:tplc="01627444">
      <w:numFmt w:val="bullet"/>
      <w:lvlText w:val="-"/>
      <w:lvlJc w:val="left"/>
      <w:pPr>
        <w:ind w:left="720" w:hanging="360"/>
      </w:pPr>
      <w:rPr>
        <w:rFonts w:ascii="Arial" w:eastAsia="Times New Roman"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cs="Wingdings" w:hint="default"/>
      </w:rPr>
    </w:lvl>
    <w:lvl w:ilvl="3" w:tplc="041B0001" w:tentative="1">
      <w:start w:val="1"/>
      <w:numFmt w:val="bullet"/>
      <w:lvlText w:val=""/>
      <w:lvlJc w:val="left"/>
      <w:pPr>
        <w:ind w:left="2880" w:hanging="360"/>
      </w:pPr>
      <w:rPr>
        <w:rFonts w:ascii="Symbol" w:hAnsi="Symbol" w:cs="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cs="Wingdings" w:hint="default"/>
      </w:rPr>
    </w:lvl>
    <w:lvl w:ilvl="6" w:tplc="041B0001" w:tentative="1">
      <w:start w:val="1"/>
      <w:numFmt w:val="bullet"/>
      <w:lvlText w:val=""/>
      <w:lvlJc w:val="left"/>
      <w:pPr>
        <w:ind w:left="5040" w:hanging="360"/>
      </w:pPr>
      <w:rPr>
        <w:rFonts w:ascii="Symbol" w:hAnsi="Symbol" w:cs="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cs="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69C0"/>
    <w:rsid w:val="002E0BFD"/>
    <w:rsid w:val="003E0705"/>
    <w:rsid w:val="00481C48"/>
    <w:rsid w:val="006769C0"/>
    <w:rsid w:val="007A6674"/>
    <w:rsid w:val="00A94E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FF1C3A"/>
  <w15:chartTrackingRefBased/>
  <w15:docId w15:val="{0BE57C18-4D97-41C3-AE78-34141BBFD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3E0705"/>
    <w:pPr>
      <w:spacing w:before="100" w:beforeAutospacing="1" w:after="119" w:line="240" w:lineRule="auto"/>
    </w:pPr>
    <w:rPr>
      <w:rFonts w:ascii="Times New Roman" w:eastAsia="Times New Roman" w:hAnsi="Times New Roman" w:cs="Times New Roman"/>
      <w:sz w:val="24"/>
      <w:szCs w:val="24"/>
      <w:lang w:eastAsia="sk-SK"/>
    </w:rPr>
  </w:style>
  <w:style w:type="paragraph" w:customStyle="1" w:styleId="western">
    <w:name w:val="western"/>
    <w:basedOn w:val="Normlny"/>
    <w:rsid w:val="003E0705"/>
    <w:pPr>
      <w:spacing w:before="100" w:beforeAutospacing="1" w:after="0" w:line="240" w:lineRule="auto"/>
      <w:jc w:val="center"/>
    </w:pPr>
    <w:rPr>
      <w:rFonts w:ascii="Arial" w:eastAsia="Times New Roman" w:hAnsi="Arial" w:cs="Arial"/>
      <w:sz w:val="24"/>
      <w:szCs w:val="24"/>
      <w:lang w:eastAsia="sk-SK"/>
    </w:rPr>
  </w:style>
  <w:style w:type="paragraph" w:styleId="Odsekzoznamu">
    <w:name w:val="List Paragraph"/>
    <w:basedOn w:val="Normlny"/>
    <w:uiPriority w:val="34"/>
    <w:qFormat/>
    <w:rsid w:val="00481C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973934">
      <w:bodyDiv w:val="1"/>
      <w:marLeft w:val="0"/>
      <w:marRight w:val="0"/>
      <w:marTop w:val="0"/>
      <w:marBottom w:val="0"/>
      <w:divBdr>
        <w:top w:val="none" w:sz="0" w:space="0" w:color="auto"/>
        <w:left w:val="none" w:sz="0" w:space="0" w:color="auto"/>
        <w:bottom w:val="none" w:sz="0" w:space="0" w:color="auto"/>
        <w:right w:val="none" w:sz="0" w:space="0" w:color="auto"/>
      </w:divBdr>
    </w:div>
    <w:div w:id="495458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5</Pages>
  <Words>1229</Words>
  <Characters>7008</Characters>
  <Application>Microsoft Office Word</Application>
  <DocSecurity>0</DocSecurity>
  <Lines>58</Lines>
  <Paragraphs>16</Paragraphs>
  <ScaleCrop>false</ScaleCrop>
  <Company/>
  <LinksUpToDate>false</LinksUpToDate>
  <CharactersWithSpaces>8221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Arisan</dc:creator>
  <cp:keywords/>
  <dc:description/>
  <cp:lastModifiedBy>Ľudovit Havra | ARISAN</cp:lastModifiedBy>
  <cp:revision>8</cp:revision>
  <cp:lastPrinted>2020-04-30T08:17:00Z</cp:lastPrinted>
  <dcterms:created xsi:type="dcterms:W3CDTF">2020-04-29T08:43:00Z</dcterms:created>
  <dcterms:modified xsi:type="dcterms:W3CDTF">2020-04-30T08:17:00Z</dcterms:modified>
</cp:coreProperties>
</file>