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emf" ContentType="image/x-emf"/>
  <Override PartName="/word/media/image3.jpeg" ContentType="image/jpeg"/>
  <Override PartName="/word/media/image6.emf" ContentType="image/x-emf"/>
  <Override PartName="/word/media/image4.jpeg" ContentType="image/jpeg"/>
  <Override PartName="/word/media/image5.emf" ContentType="image/x-emf"/>
  <Override PartName="/word/media/image7.wmf" ContentType="image/x-wmf"/>
  <Override PartName="/word/embeddings/oleObject1.xlsx" ContentType="application/vnd.openxmlformats-officedocument.spreadsheetml.sheet"/>
  <Override PartName="/word/embeddings/oleObject2.xlsx" ContentType="application/vnd.openxmlformats-officedocument.spreadsheetml.sheet"/>
  <Override PartName="/word/embeddings/oleObject3.xlsx" ContentType="application/vnd.openxmlformats-officedocument.spreadsheetml.sheet"/>
  <Override PartName="/word/embeddings/oleObject4.xls" ContentType="application/vnd.ms-excel"/>
  <Override PartName="/word/embeddings/H_rok_programu_Microsoft_Excel5.xlsx" ContentType="application/vnd.openxmlformats-officedocument.spreadsheetml.sheet"/>
  <Override PartName="/word/embeddings/H_rok_programu_Microsoft_Excel1.xlsx" ContentType="application/vnd.openxmlformats-officedocument.spreadsheetml.sheet"/>
  <Override PartName="/word/embeddings/H_rok_programu_Microsoft_Excel2.xlsx" ContentType="application/vnd.openxmlformats-officedocument.spreadsheetml.sheet"/>
  <Override PartName="/word/embeddings/H_rok_programu_Microsoft_Excel6.xlsx" ContentType="application/vnd.openxmlformats-officedocument.spreadsheetml.sheet"/>
  <Override PartName="/word/embeddings/H_rok_programu_Microsoft_Excel7.xlsx" ContentType="application/vnd.openxmlformats-officedocument.spreadsheetml.sheet"/>
  <Override PartName="/word/embeddings/H_rok_programu_Microsoft_Excel8.xlsx" ContentType="application/vnd.openxmlformats-officedocument.spreadsheetml.sheet"/>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_rels/chart1.xml.rels" ContentType="application/vnd.openxmlformats-package.relationships+xml"/>
  <Override PartName="/word/charts/_rels/chart2.xml.rels" ContentType="application/vnd.openxmlformats-package.relationships+xml"/>
  <Override PartName="/word/charts/_rels/chart3.xml.rels" ContentType="application/vnd.openxmlformats-package.relationships+xml"/>
  <Override PartName="/word/charts/_rels/chart4.xml.rels" ContentType="application/vnd.openxmlformats-package.relationships+xml"/>
  <Override PartName="/word/charts/_rels/chart5.xml.rels" ContentType="application/vnd.openxmlformats-package.relationships+xml"/>
  <Override PartName="/word/charts/_rels/chart6.xml.rels" ContentType="application/vnd.openxmlformats-package.relationships+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pBdr>
          <w:top w:val="single" w:sz="4" w:space="1" w:color="000000"/>
          <w:left w:val="single" w:sz="4" w:space="4" w:color="000000"/>
          <w:bottom w:val="single" w:sz="4" w:space="1" w:color="000000"/>
          <w:right w:val="single" w:sz="4" w:space="4" w:color="000000"/>
        </w:pBdr>
        <w:jc w:val="center"/>
        <w:rPr>
          <w:rFonts w:ascii="NeoSansPro-Bold" w:hAnsi="NeoSansPro-Bold" w:cs="NeoSansPro-Bold"/>
          <w:bCs/>
          <w:color w:val="333333"/>
          <w:sz w:val="48"/>
          <w:szCs w:val="48"/>
        </w:rPr>
      </w:pPr>
      <w:r>
        <w:rPr>
          <w:rFonts w:cs="NeoSansPro-Bold" w:ascii="NeoSansPro-Bold" w:hAnsi="NeoSansPro-Bold"/>
          <w:bCs/>
          <w:color w:val="333333"/>
          <w:sz w:val="48"/>
          <w:szCs w:val="48"/>
        </w:rPr>
        <w:t>HYDINA SLOVENSKO, s.r.o. Lieskovec</w:t>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center"/>
        <w:rPr>
          <w:rFonts w:ascii="NeoSansPro-Bold" w:hAnsi="NeoSansPro-Bold" w:cs="NeoSansPro-Bold"/>
          <w:bCs/>
          <w:color w:val="333333"/>
          <w:sz w:val="48"/>
          <w:szCs w:val="48"/>
        </w:rPr>
      </w:pPr>
      <w:r>
        <w:rPr>
          <w:rFonts w:cs="NeoSansPro-Bold" w:ascii="NeoSansPro-Bold" w:hAnsi="NeoSansPro-Bold"/>
          <w:bCs/>
          <w:color w:val="333333"/>
          <w:sz w:val="48"/>
          <w:szCs w:val="48"/>
        </w:rPr>
      </w:r>
    </w:p>
    <w:p>
      <w:pPr>
        <w:pStyle w:val="Normal"/>
        <w:pBdr>
          <w:top w:val="single" w:sz="4" w:space="1" w:color="000000"/>
          <w:left w:val="single" w:sz="4" w:space="4" w:color="000000"/>
          <w:bottom w:val="single" w:sz="4" w:space="1" w:color="000000"/>
          <w:right w:val="single" w:sz="4" w:space="4" w:color="000000"/>
        </w:pBdr>
        <w:jc w:val="center"/>
        <w:rPr>
          <w:rFonts w:ascii="NeoSansPro-Bold" w:hAnsi="NeoSansPro-Bold" w:cs="NeoSansPro-Bold"/>
          <w:bCs/>
          <w:color w:val="333333"/>
          <w:sz w:val="48"/>
          <w:szCs w:val="48"/>
        </w:rPr>
      </w:pPr>
      <w:r>
        <w:rPr>
          <w:rFonts w:cs="NeoSansPro-Bold" w:ascii="NeoSansPro-Bold" w:hAnsi="NeoSansPro-Bold"/>
          <w:bCs/>
          <w:color w:val="333333"/>
          <w:sz w:val="48"/>
          <w:szCs w:val="48"/>
        </w:rPr>
      </w:r>
    </w:p>
    <w:p>
      <w:pPr>
        <w:pStyle w:val="Normal"/>
        <w:pBdr>
          <w:top w:val="single" w:sz="4" w:space="1" w:color="000000"/>
          <w:left w:val="single" w:sz="4" w:space="4" w:color="000000"/>
          <w:bottom w:val="single" w:sz="4" w:space="1" w:color="000000"/>
          <w:right w:val="single" w:sz="4" w:space="4" w:color="000000"/>
        </w:pBdr>
        <w:jc w:val="center"/>
        <w:rPr>
          <w:rFonts w:ascii="NeoSansPro-Bold" w:hAnsi="NeoSansPro-Bold" w:cs="NeoSansPro-Bold"/>
          <w:bCs/>
          <w:color w:val="333333"/>
          <w:sz w:val="72"/>
          <w:szCs w:val="72"/>
        </w:rPr>
      </w:pPr>
      <w:r>
        <w:rPr>
          <w:rFonts w:cs="NeoSansPro-Bold" w:ascii="NeoSansPro-Bold" w:hAnsi="NeoSansPro-Bold"/>
          <w:bCs/>
          <w:color w:val="333333"/>
          <w:sz w:val="72"/>
          <w:szCs w:val="72"/>
        </w:rPr>
        <w:t>VÝROČNÁ SPRÁVA</w:t>
      </w:r>
    </w:p>
    <w:p>
      <w:pPr>
        <w:pStyle w:val="Normal"/>
        <w:pBdr>
          <w:top w:val="single" w:sz="4" w:space="1" w:color="000000"/>
          <w:left w:val="single" w:sz="4" w:space="4" w:color="000000"/>
          <w:bottom w:val="single" w:sz="4" w:space="1" w:color="000000"/>
          <w:right w:val="single" w:sz="4" w:space="4" w:color="000000"/>
        </w:pBdr>
        <w:jc w:val="center"/>
        <w:rPr>
          <w:rFonts w:ascii="NeoSansPro-Bold" w:hAnsi="NeoSansPro-Bold" w:cs="NeoSansPro-Bold"/>
          <w:bCs/>
          <w:color w:val="333333"/>
          <w:sz w:val="56"/>
          <w:szCs w:val="56"/>
        </w:rPr>
      </w:pPr>
      <w:r>
        <w:rPr>
          <w:rFonts w:cs="NeoSansPro-Bold" w:ascii="NeoSansPro-Bold" w:hAnsi="NeoSansPro-Bold"/>
          <w:bCs/>
          <w:color w:val="333333"/>
          <w:sz w:val="56"/>
          <w:szCs w:val="56"/>
        </w:rPr>
      </w:r>
    </w:p>
    <w:p>
      <w:pPr>
        <w:pStyle w:val="Normal"/>
        <w:pBdr>
          <w:top w:val="single" w:sz="4" w:space="1" w:color="000000"/>
          <w:left w:val="single" w:sz="4" w:space="4" w:color="000000"/>
          <w:bottom w:val="single" w:sz="4" w:space="1" w:color="000000"/>
          <w:right w:val="single" w:sz="4" w:space="4" w:color="000000"/>
        </w:pBdr>
        <w:jc w:val="center"/>
        <w:rPr>
          <w:rFonts w:ascii="NeoSansPro-Bold" w:hAnsi="NeoSansPro-Bold" w:cs="NeoSansPro-Bold"/>
          <w:bCs/>
          <w:color w:val="333333"/>
          <w:sz w:val="72"/>
          <w:szCs w:val="72"/>
        </w:rPr>
      </w:pPr>
      <w:r>
        <w:rPr>
          <w:rFonts w:cs="NeoSansPro-Bold" w:ascii="NeoSansPro-Bold" w:hAnsi="NeoSansPro-Bold"/>
          <w:bCs/>
          <w:color w:val="333333"/>
          <w:sz w:val="72"/>
          <w:szCs w:val="72"/>
        </w:rPr>
        <w:t>ROK 2019</w:t>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tab/>
        <w:tab/>
        <w:tab/>
        <w:tab/>
        <w:tab/>
        <w:tab/>
        <w:tab/>
        <w:t>.....................................................................</w:t>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tab/>
        <w:tab/>
        <w:tab/>
        <w:tab/>
        <w:tab/>
        <w:tab/>
        <w:tab/>
        <w:t xml:space="preserve">       </w:t>
        <w:tab/>
        <w:t xml:space="preserve">            </w:t>
      </w:r>
      <w:r>
        <w:rPr>
          <w:rFonts w:cs="NeoSansPro-Bold" w:ascii="NeoSansPro-Bold" w:hAnsi="NeoSansPro-Bold"/>
          <w:bCs/>
          <w:color w:val="333333"/>
          <w:sz w:val="20"/>
          <w:szCs w:val="20"/>
        </w:rPr>
        <w:t>Ing.Ján Kyseľ</w:t>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tab/>
        <w:tab/>
        <w:tab/>
        <w:tab/>
        <w:tab/>
        <w:tab/>
        <w:tab/>
        <w:t xml:space="preserve">           </w:t>
        <w:tab/>
        <w:tab/>
        <w:t xml:space="preserve"> konateľ</w:t>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t>V Košiciach, dňa: 2.8.2020</w:t>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b/>
          <w:b/>
          <w:sz w:val="36"/>
          <w:szCs w:val="36"/>
        </w:rPr>
      </w:pPr>
      <w:r>
        <w:rPr>
          <w:b/>
          <w:sz w:val="36"/>
          <w:szCs w:val="36"/>
        </w:rPr>
        <w:t>OBSAH</w:t>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ListParagraph"/>
        <w:numPr>
          <w:ilvl w:val="0"/>
          <w:numId w:val="1"/>
        </w:numPr>
        <w:rPr>
          <w:b/>
          <w:b/>
        </w:rPr>
      </w:pPr>
      <w:r>
        <w:rPr>
          <w:b/>
        </w:rPr>
        <w:t>ÚVOD</w:t>
      </w:r>
    </w:p>
    <w:p>
      <w:pPr>
        <w:pStyle w:val="Normal"/>
        <w:rPr/>
      </w:pPr>
      <w:r>
        <w:rPr/>
      </w:r>
    </w:p>
    <w:p>
      <w:pPr>
        <w:pStyle w:val="ListParagraph"/>
        <w:numPr>
          <w:ilvl w:val="1"/>
          <w:numId w:val="1"/>
        </w:numPr>
        <w:rPr/>
      </w:pPr>
      <w:r>
        <w:rPr/>
        <w:t>Profil spoločnosti a jej vývoj</w:t>
      </w:r>
    </w:p>
    <w:p>
      <w:pPr>
        <w:pStyle w:val="ListParagraph"/>
        <w:numPr>
          <w:ilvl w:val="1"/>
          <w:numId w:val="1"/>
        </w:numPr>
        <w:rPr/>
      </w:pPr>
      <w:r>
        <w:rPr/>
        <w:t>Predmet činnosti, orgány spoločnosti, výkonný manažment a organizačná štruktúra</w:t>
      </w:r>
    </w:p>
    <w:p>
      <w:pPr>
        <w:pStyle w:val="ListParagraph"/>
        <w:ind w:left="1080" w:hanging="0"/>
        <w:rPr/>
      </w:pPr>
      <w:r>
        <w:rPr/>
      </w:r>
    </w:p>
    <w:p>
      <w:pPr>
        <w:pStyle w:val="ListParagraph"/>
        <w:numPr>
          <w:ilvl w:val="0"/>
          <w:numId w:val="1"/>
        </w:numPr>
        <w:rPr>
          <w:b/>
          <w:b/>
        </w:rPr>
      </w:pPr>
      <w:r>
        <w:rPr>
          <w:b/>
        </w:rPr>
        <w:t>SPRÁVA O VÝSLEDKOCH PODNIKATEĽSKEJ ČINNOSTI</w:t>
      </w:r>
    </w:p>
    <w:p>
      <w:pPr>
        <w:pStyle w:val="Normal"/>
        <w:rPr/>
      </w:pPr>
      <w:r>
        <w:rPr/>
      </w:r>
    </w:p>
    <w:p>
      <w:pPr>
        <w:pStyle w:val="ListParagraph"/>
        <w:numPr>
          <w:ilvl w:val="1"/>
          <w:numId w:val="1"/>
        </w:numPr>
        <w:rPr/>
      </w:pPr>
      <w:r>
        <w:rPr/>
        <w:t>Štruktúra výkazu ziskov a strát</w:t>
      </w:r>
    </w:p>
    <w:p>
      <w:pPr>
        <w:pStyle w:val="ListParagraph"/>
        <w:numPr>
          <w:ilvl w:val="1"/>
          <w:numId w:val="1"/>
        </w:numPr>
        <w:rPr/>
      </w:pPr>
      <w:r>
        <w:rPr/>
        <w:t>Štruktúra aktív a pasív</w:t>
      </w:r>
    </w:p>
    <w:p>
      <w:pPr>
        <w:pStyle w:val="ListParagraph"/>
        <w:numPr>
          <w:ilvl w:val="1"/>
          <w:numId w:val="1"/>
        </w:numPr>
        <w:rPr/>
      </w:pPr>
      <w:r>
        <w:rPr/>
        <w:t>Finančná situácia spoločnosti</w:t>
      </w:r>
    </w:p>
    <w:p>
      <w:pPr>
        <w:pStyle w:val="Normal"/>
        <w:rPr>
          <w:b/>
          <w:b/>
        </w:rPr>
      </w:pPr>
      <w:r>
        <w:rPr>
          <w:b/>
        </w:rPr>
      </w:r>
    </w:p>
    <w:p>
      <w:pPr>
        <w:pStyle w:val="Normal"/>
        <w:rPr>
          <w:b/>
          <w:b/>
        </w:rPr>
      </w:pPr>
      <w:r>
        <w:rPr>
          <w:b/>
        </w:rPr>
      </w:r>
    </w:p>
    <w:p>
      <w:pPr>
        <w:pStyle w:val="ListParagraph"/>
        <w:numPr>
          <w:ilvl w:val="0"/>
          <w:numId w:val="1"/>
        </w:numPr>
        <w:rPr>
          <w:b/>
          <w:b/>
        </w:rPr>
      </w:pPr>
      <w:r>
        <w:rPr>
          <w:b/>
        </w:rPr>
        <w:t>ZAMESTNANOSŤ A ĽUDSKÉ ZDROJE</w:t>
      </w:r>
    </w:p>
    <w:p>
      <w:pPr>
        <w:pStyle w:val="Normal"/>
        <w:rPr>
          <w:b/>
          <w:b/>
        </w:rPr>
      </w:pPr>
      <w:r>
        <w:rPr>
          <w:b/>
        </w:rPr>
      </w:r>
    </w:p>
    <w:p>
      <w:pPr>
        <w:pStyle w:val="ListParagraph"/>
        <w:numPr>
          <w:ilvl w:val="0"/>
          <w:numId w:val="1"/>
        </w:numPr>
        <w:rPr>
          <w:b/>
          <w:b/>
        </w:rPr>
      </w:pPr>
      <w:r>
        <w:rPr>
          <w:b/>
        </w:rPr>
        <w:t>VPLYV NA ŽIVOTNÉ PROSTREDIE</w:t>
      </w:r>
    </w:p>
    <w:p>
      <w:pPr>
        <w:pStyle w:val="Normal"/>
        <w:rPr>
          <w:b/>
          <w:b/>
        </w:rPr>
      </w:pPr>
      <w:r>
        <w:rPr>
          <w:b/>
        </w:rPr>
      </w:r>
    </w:p>
    <w:p>
      <w:pPr>
        <w:pStyle w:val="ListParagraph"/>
        <w:numPr>
          <w:ilvl w:val="0"/>
          <w:numId w:val="1"/>
        </w:numPr>
        <w:rPr>
          <w:b/>
          <w:b/>
        </w:rPr>
      </w:pPr>
      <w:r>
        <w:rPr>
          <w:b/>
        </w:rPr>
        <w:t>CIELE A PROGNÓZY SPOLOČNOSTI PRE ROKU 2020</w:t>
      </w:r>
    </w:p>
    <w:p>
      <w:pPr>
        <w:pStyle w:val="ListParagraph"/>
        <w:rPr>
          <w:b/>
          <w:b/>
        </w:rPr>
      </w:pPr>
      <w:r>
        <w:rPr>
          <w:b/>
        </w:rPr>
      </w:r>
    </w:p>
    <w:p>
      <w:pPr>
        <w:pStyle w:val="ListParagraph"/>
        <w:numPr>
          <w:ilvl w:val="0"/>
          <w:numId w:val="1"/>
        </w:numPr>
        <w:rPr>
          <w:b/>
          <w:b/>
        </w:rPr>
      </w:pPr>
      <w:r>
        <w:rPr>
          <w:b/>
        </w:rPr>
        <w:t>NÁKLADY NA ČINNOSŤ V OBLASTI VÝSKUMU A VÝVOJA</w:t>
      </w:r>
    </w:p>
    <w:p>
      <w:pPr>
        <w:pStyle w:val="ListParagraph"/>
        <w:rPr>
          <w:b/>
          <w:b/>
        </w:rPr>
      </w:pPr>
      <w:r>
        <w:rPr>
          <w:b/>
        </w:rPr>
      </w:r>
    </w:p>
    <w:p>
      <w:pPr>
        <w:pStyle w:val="ListParagraph"/>
        <w:numPr>
          <w:ilvl w:val="0"/>
          <w:numId w:val="1"/>
        </w:numPr>
        <w:rPr>
          <w:b/>
          <w:b/>
        </w:rPr>
      </w:pPr>
      <w:r>
        <w:rPr>
          <w:b/>
        </w:rPr>
        <w:t>VLASTNÉ AKCIE, OBCHODNÉ PODIELY</w:t>
      </w:r>
    </w:p>
    <w:p>
      <w:pPr>
        <w:pStyle w:val="ListParagraph"/>
        <w:rPr>
          <w:b/>
          <w:b/>
        </w:rPr>
      </w:pPr>
      <w:r>
        <w:rPr>
          <w:b/>
        </w:rPr>
      </w:r>
    </w:p>
    <w:p>
      <w:pPr>
        <w:pStyle w:val="ListParagraph"/>
        <w:numPr>
          <w:ilvl w:val="0"/>
          <w:numId w:val="1"/>
        </w:numPr>
        <w:rPr>
          <w:b/>
          <w:b/>
        </w:rPr>
      </w:pPr>
      <w:r>
        <w:rPr>
          <w:b/>
        </w:rPr>
        <w:t>ORGANIZAČNÁ ZLOŽKA V ZAHRANIČÍ</w:t>
      </w:r>
    </w:p>
    <w:p>
      <w:pPr>
        <w:pStyle w:val="ListParagraph"/>
        <w:rPr>
          <w:b/>
          <w:b/>
        </w:rPr>
      </w:pPr>
      <w:r>
        <w:rPr>
          <w:b/>
        </w:rPr>
      </w:r>
    </w:p>
    <w:p>
      <w:pPr>
        <w:pStyle w:val="ListParagraph"/>
        <w:numPr>
          <w:ilvl w:val="0"/>
          <w:numId w:val="1"/>
        </w:numPr>
        <w:rPr>
          <w:b/>
          <w:b/>
        </w:rPr>
      </w:pPr>
      <w:r>
        <w:rPr>
          <w:b/>
        </w:rPr>
        <w:t xml:space="preserve">ZÁVER </w:t>
      </w:r>
    </w:p>
    <w:p>
      <w:pPr>
        <w:pStyle w:val="Normal"/>
        <w:ind w:left="360" w:hanging="0"/>
        <w:rPr>
          <w:b/>
          <w:b/>
        </w:rPr>
      </w:pPr>
      <w:r>
        <w:rPr>
          <w:b/>
        </w:rPr>
      </w:r>
    </w:p>
    <w:p>
      <w:pPr>
        <w:pStyle w:val="Normal"/>
        <w:ind w:left="360" w:hanging="0"/>
        <w:rPr/>
      </w:pPr>
      <w:r>
        <w:rPr/>
        <w:t>9.1.     Zhodnotenie činnosti</w:t>
      </w:r>
    </w:p>
    <w:p>
      <w:pPr>
        <w:pStyle w:val="Normal"/>
        <w:ind w:left="360" w:hanging="0"/>
        <w:rPr/>
      </w:pPr>
      <w:r>
        <w:rPr/>
        <w:t>9.2.     Návrh na rozdelenie výsledku hospodárenia</w:t>
      </w:r>
    </w:p>
    <w:p>
      <w:pPr>
        <w:pStyle w:val="Normal"/>
        <w:ind w:left="360" w:hanging="0"/>
        <w:rPr/>
      </w:pPr>
      <w:r>
        <w:rPr/>
      </w:r>
    </w:p>
    <w:p>
      <w:pPr>
        <w:pStyle w:val="Normal"/>
        <w:ind w:left="360" w:hanging="0"/>
        <w:rPr>
          <w:b/>
          <w:b/>
        </w:rPr>
      </w:pPr>
      <w:r>
        <w:rPr>
          <w:b/>
        </w:rPr>
        <w:t xml:space="preserve">10.   ÚČTOVNÁ ZÁVIERKA ZA ROK 2019   </w:t>
      </w:r>
    </w:p>
    <w:p>
      <w:pPr>
        <w:pStyle w:val="Normal"/>
        <w:ind w:left="360" w:hanging="0"/>
        <w:rPr>
          <w:b/>
          <w:b/>
        </w:rPr>
      </w:pPr>
      <w:r>
        <w:rPr>
          <w:b/>
        </w:rPr>
      </w:r>
    </w:p>
    <w:p>
      <w:pPr>
        <w:pStyle w:val="Normal"/>
        <w:ind w:firstLine="708"/>
        <w:rPr/>
      </w:pPr>
      <w:r>
        <w:rPr/>
        <w:t xml:space="preserve">    </w:t>
      </w:r>
      <w:r>
        <w:rPr/>
        <w:t>Účtovná závierka k 31.12.2019</w:t>
      </w:r>
    </w:p>
    <w:p>
      <w:pPr>
        <w:pStyle w:val="Normal"/>
        <w:ind w:left="708" w:hanging="0"/>
        <w:rPr/>
      </w:pPr>
      <w:r>
        <w:rPr/>
        <w:t xml:space="preserve">    </w:t>
      </w:r>
      <w:r>
        <w:rPr/>
        <w:t>Poznámky k účtovnej závierke k 31.12.2019</w:t>
      </w:r>
    </w:p>
    <w:p>
      <w:pPr>
        <w:pStyle w:val="Normal"/>
        <w:ind w:firstLine="708"/>
        <w:rPr/>
      </w:pPr>
      <w:r>
        <w:rPr/>
        <w:t xml:space="preserve">    </w:t>
      </w:r>
      <w:r>
        <w:rPr/>
        <w:t>Výkaz o peňažných tokoch za rok 2019</w:t>
      </w:r>
    </w:p>
    <w:p>
      <w:pPr>
        <w:pStyle w:val="Normal"/>
        <w:ind w:firstLine="708"/>
        <w:rPr/>
      </w:pPr>
      <w:r>
        <w:rPr/>
        <w:t xml:space="preserve">    </w:t>
      </w:r>
      <w:r>
        <w:rPr/>
        <w:t xml:space="preserve">Správa nezávislého audítora </w:t>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ListParagraph"/>
        <w:numPr>
          <w:ilvl w:val="0"/>
          <w:numId w:val="2"/>
        </w:numPr>
        <w:rPr>
          <w:b/>
          <w:b/>
          <w:sz w:val="32"/>
          <w:szCs w:val="32"/>
        </w:rPr>
      </w:pPr>
      <w:r>
        <w:rPr>
          <w:b/>
          <w:sz w:val="32"/>
          <w:szCs w:val="32"/>
        </w:rPr>
        <w:t>ÚVOD</w:t>
      </w:r>
    </w:p>
    <w:p>
      <w:pPr>
        <w:pStyle w:val="Normal"/>
        <w:rPr>
          <w:sz w:val="28"/>
          <w:szCs w:val="28"/>
        </w:rPr>
      </w:pPr>
      <w:r>
        <w:rPr>
          <w:sz w:val="28"/>
          <w:szCs w:val="28"/>
        </w:rPr>
      </w:r>
    </w:p>
    <w:p>
      <w:pPr>
        <w:pStyle w:val="ListParagraph"/>
        <w:numPr>
          <w:ilvl w:val="1"/>
          <w:numId w:val="2"/>
        </w:numPr>
        <w:rPr>
          <w:rFonts w:ascii="NeoSansPro-Bold" w:hAnsi="NeoSansPro-Bold" w:cs="NeoSansPro-Bold"/>
          <w:bCs/>
          <w:color w:val="333333"/>
          <w:sz w:val="32"/>
          <w:szCs w:val="32"/>
        </w:rPr>
      </w:pPr>
      <w:r>
        <w:rPr>
          <w:rFonts w:cs="NeoSansPro-Bold" w:ascii="NeoSansPro-Bold" w:hAnsi="NeoSansPro-Bold"/>
          <w:bCs/>
          <w:color w:val="333333"/>
          <w:sz w:val="32"/>
          <w:szCs w:val="32"/>
        </w:rPr>
        <w:t>Profil spoločnosti a jej vývoj</w:t>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 xml:space="preserve">Spoločnosť vznikla dňa 1.decembra 2009 pod názvom Hydina KOŠICE s.r.o. a svoj výrobný proces zahájila v priestoroch bývalého hydinárskeho závodu dňa 1.marca 2010. Hlavný predmet činnosti spoločnosti bolo spracovanie hydiny - brojlerov a výroba celej a porciovanej, mrazenej a chladenej hydiny. Od svojho vzniku spoločnosť prudko expandovala a v súčasnej dobe je dvojkou na slovenskom trhu. V rámci rýchleho rastu v priebehu roku 2011 spoločnosť zriadila tri distribučné sklady rozmiestnené v Košiciach, v Kežmarku a Banskej Bystrici a prevádzkovala predajňu svojich výrobkov v Levoči. Z dôvodu svojej expanzie na celé územie Slovenska, spoločnosť dňa 21.7.2012  zmenila svoje obchodné meno na HYDINA SLOVENSKO, s.r.o.. </w:t>
      </w:r>
    </w:p>
    <w:p>
      <w:pPr>
        <w:pStyle w:val="Normal"/>
        <w:spacing w:lineRule="auto" w:line="360"/>
        <w:ind w:firstLine="360"/>
        <w:jc w:val="both"/>
        <w:rPr>
          <w:rFonts w:ascii="NeoSansPro-Bold" w:hAnsi="NeoSansPro-Bold" w:cs="NeoSansPro-Bold"/>
          <w:bCs/>
          <w:color w:val="333333"/>
          <w:sz w:val="20"/>
          <w:szCs w:val="20"/>
        </w:rPr>
      </w:pPr>
      <w:r>
        <w:rPr>
          <w:rFonts w:cs="NeoSansPro-Bold" w:ascii="NeoSansPro-Bold" w:hAnsi="NeoSansPro-Bold"/>
          <w:bCs/>
          <w:color w:val="333333"/>
          <w:sz w:val="20"/>
          <w:szCs w:val="20"/>
        </w:rPr>
        <w:t xml:space="preserve">Spoločnosť svoju výrobnú činnosť prevádzkuje v prenajatých priestoroch v Košiciach, na základe nájomnej zmluvy. Od 19.8.2014 presťahovala svoje sídlo na adresu Lieskovská cesta 23/640,    962 21 Lieskovec. Základné imanie spoločnosti je  2.591.340 €. Od roku 2016 spoločnosť  na základe zmluvného vzťahu zabezpečuje služby chovu jatočných kurčiat a aktívne spolupracuje s obchodným partnerom, ktorý prevzal činnosť chovu jatočnej hydiny.  Technológiu na chov na chov hydiny prenajíma. Do 1.7.2019 zároveň zabezpečovala surovinu na spracovanie mrazenej a chladenej hydiny zo svojej partnerskej spoločnosti, čím si chcela zabezpečiť kontrolu nad surovinou, ktorá slúžila ako materiál pre  hlavný predmet podnikania spoločnosti – spracovanie a výroba hydiny. Od roku 2016 spoločnosť dodávala svoje výrobky do obchodnej siete TESCO prostredníctvom partnerskej spoločnosti Domäsko, ktorá zároveň výrobky vo veľkom rozsahu predáva aj vo svojich maloobchodných prevádzkach. </w:t>
      </w:r>
    </w:p>
    <w:p>
      <w:pPr>
        <w:pStyle w:val="Normal"/>
        <w:spacing w:lineRule="auto" w:line="360"/>
        <w:ind w:firstLine="360"/>
        <w:jc w:val="both"/>
        <w:rPr>
          <w:rFonts w:ascii="NeoSansPro-Bold" w:hAnsi="NeoSansPro-Bold" w:cs="NeoSansPro-Bold"/>
          <w:bCs/>
          <w:color w:val="333333"/>
          <w:sz w:val="20"/>
          <w:szCs w:val="20"/>
        </w:rPr>
      </w:pPr>
      <w:r>
        <w:rPr>
          <w:rFonts w:cs="NeoSansPro-Bold" w:ascii="NeoSansPro-Bold" w:hAnsi="NeoSansPro-Bold"/>
          <w:bCs/>
          <w:color w:val="333333"/>
          <w:sz w:val="20"/>
          <w:szCs w:val="20"/>
        </w:rPr>
        <w:t>V roku 2019 došlo k zmene štruktúry spoločníkov a konateľov spoločnosti. Detaily sú rozpísané v časti výročnej správy – orgány spoločnosti a výkonný manažment. Táto zmena sa odzrkadlila  aj v zmene stratégie podnikateľskej činnosti spoločnosti.. V júli 2019 sa spoločnosť prestala zaoberať výrobou vlastných výrobkov, zároveň ukončila nákup jatočnej hydiny a chladenej hydiny – t. j. suroviny na výrobu vlastných mrazených a chladených výrobkov. Spoločnosť sa zamerala na poskytovanie služieb súvisiacich s touto činnosťou, čo sa prejavilo aj v druhovom členení nákladov a výnosov v danom roku.</w:t>
      </w:r>
    </w:p>
    <w:p>
      <w:pPr>
        <w:pStyle w:val="Normal"/>
        <w:spacing w:lineRule="auto" w:line="360"/>
        <w:jc w:val="both"/>
        <w:rPr>
          <w:rFonts w:ascii="NeoSansPro-Bold" w:hAnsi="NeoSansPro-Bold" w:cs="NeoSansPro-Bold"/>
          <w:bCs/>
          <w:color w:val="333333"/>
          <w:sz w:val="20"/>
          <w:szCs w:val="20"/>
        </w:rPr>
      </w:pPr>
      <w:r>
        <w:rPr>
          <w:rFonts w:cs="NeoSansPro-Bold" w:ascii="NeoSansPro-Bold" w:hAnsi="NeoSansPro-Bold"/>
          <w:bCs/>
          <w:color w:val="333333"/>
          <w:sz w:val="20"/>
          <w:szCs w:val="20"/>
        </w:rPr>
        <w:tab/>
        <w:t xml:space="preserve">Investičná činnosť v roku 2019 nebola významná. Spoločnosť investovala do obstarania nového investičného majetku len 89 496 € a v danom roku zaradila do používania investičný majetok vo výške              22 191 €. </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 xml:space="preserve">Ekonomické a objemové ukazovatele v roku 2019 odzrkadľujú zámery spoločnosti, ich hodnoty boli výrazne  ovplyvnené prebiehajúcimi daňovými kontrolami z minulých rokov a ich závermi. Z tohto dôvodu spoločnosť zaúčtovala v roku 2019 ako aj v predchádzajúcich rokoch rezervu na budúce dôsledky výsledkov daňovej kontroly. V tomto roku bola rezerva zaúčtovaná vo výške 1 487 tis. €. Celkový stav rezervy na dorúbenie DPH je vo výške 1 805 tis. €. Účtovný hospodársky výsledok pred zdanením v roku 2019 je strata –      2 647 019 €, výsledok hospodárenia po zdanení je vykázaný vo výške – 2 874 390 €.  </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 xml:space="preserve">Výnosy z hospodárskej činnosti zaznamenali v tomto roku výrazný pokles, čo bolo spôsobené poklesom tržieb z predaja tovaru a vlastných výrobkov. Naopak tržby z predaja služieb vzrástli. Čistý obrat spoločnosti bol vyčíslený vo výške 38 026 tis. €. Spoločnosť ich realizovala v najväčšej miere v tuzemsku, sčasti aj v zahraničí. </w:t>
      </w:r>
    </w:p>
    <w:p>
      <w:pPr>
        <w:pStyle w:val="ListParagraph"/>
        <w:numPr>
          <w:ilvl w:val="1"/>
          <w:numId w:val="2"/>
        </w:numPr>
        <w:rPr>
          <w:rFonts w:ascii="NeoSansPro-Bold" w:hAnsi="NeoSansPro-Bold" w:cs="NeoSansPro-Bold"/>
          <w:bCs/>
          <w:color w:val="333333"/>
          <w:sz w:val="32"/>
          <w:szCs w:val="32"/>
        </w:rPr>
      </w:pPr>
      <w:r>
        <w:rPr>
          <w:rFonts w:cs="NeoSansPro-Bold" w:ascii="NeoSansPro-Bold" w:hAnsi="NeoSansPro-Bold"/>
          <w:bCs/>
          <w:color w:val="333333"/>
          <w:sz w:val="32"/>
          <w:szCs w:val="32"/>
        </w:rPr>
        <w:t>Predmet činnosti, orgány spoločnosti, výkonný manažment a organizačná štruktúra</w:t>
      </w:r>
    </w:p>
    <w:p>
      <w:pPr>
        <w:pStyle w:val="Normal"/>
        <w:ind w:left="1080" w:hanging="0"/>
        <w:rPr>
          <w:rFonts w:ascii="NeoSansPro-Bold" w:hAnsi="NeoSansPro-Bold" w:cs="NeoSansPro-Bold"/>
          <w:bCs/>
          <w:color w:val="333333"/>
          <w:sz w:val="28"/>
          <w:szCs w:val="28"/>
        </w:rPr>
      </w:pPr>
      <w:r>
        <w:rPr>
          <w:rFonts w:cs="NeoSansPro-Bold" w:ascii="NeoSansPro-Bold" w:hAnsi="NeoSansPro-Bold"/>
          <w:bCs/>
          <w:color w:val="333333"/>
          <w:sz w:val="28"/>
          <w:szCs w:val="28"/>
        </w:rPr>
      </w:r>
    </w:p>
    <w:p>
      <w:pPr>
        <w:pStyle w:val="Normal"/>
        <w:rPr>
          <w:rFonts w:ascii="NeoSansPro-Bold" w:hAnsi="NeoSansPro-Bold" w:cs="NeoSansPro-Bold"/>
          <w:bCs/>
          <w:color w:val="333333"/>
          <w:sz w:val="28"/>
          <w:szCs w:val="28"/>
        </w:rPr>
      </w:pPr>
      <w:r>
        <w:rPr>
          <w:rFonts w:cs="NeoSansPro-Bold" w:ascii="NeoSansPro-Bold" w:hAnsi="NeoSansPro-Bold"/>
          <w:bCs/>
          <w:color w:val="333333"/>
          <w:sz w:val="28"/>
          <w:szCs w:val="28"/>
        </w:rPr>
        <w:t>Identifikačné údaje</w:t>
      </w:r>
    </w:p>
    <w:p>
      <w:pPr>
        <w:pStyle w:val="Normal"/>
        <w:rPr>
          <w:rFonts w:ascii="NeoSansPro-Bold" w:hAnsi="NeoSansPro-Bold" w:cs="NeoSansPro-Bold"/>
          <w:bCs/>
          <w:color w:val="333333"/>
          <w:sz w:val="28"/>
          <w:szCs w:val="28"/>
        </w:rPr>
      </w:pPr>
      <w:r>
        <w:rPr>
          <w:rFonts w:cs="NeoSansPro-Bold" w:ascii="NeoSansPro-Bold" w:hAnsi="NeoSansPro-Bold"/>
          <w:bCs/>
          <w:color w:val="333333"/>
          <w:sz w:val="28"/>
          <w:szCs w:val="28"/>
        </w:rPr>
      </w:r>
    </w:p>
    <w:p>
      <w:pPr>
        <w:pStyle w:val="Normal"/>
        <w:pBdr>
          <w:top w:val="single" w:sz="4" w:space="1" w:color="000000"/>
          <w:left w:val="single" w:sz="4" w:space="1" w:color="000000"/>
          <w:bottom w:val="single" w:sz="4" w:space="1" w:color="000000"/>
          <w:right w:val="single" w:sz="4" w:space="4" w:color="000000"/>
        </w:pBdr>
        <w:rPr>
          <w:rFonts w:ascii="NeoSansPro-Bold" w:hAnsi="NeoSansPro-Bold" w:cs="NeoSansPro-Bold"/>
          <w:bCs/>
          <w:color w:val="333333"/>
          <w:sz w:val="20"/>
          <w:szCs w:val="20"/>
        </w:rPr>
      </w:pPr>
      <w:r>
        <w:rPr>
          <w:rFonts w:cs="NeoSansPro-Bold" w:ascii="NeoSansPro-Bold" w:hAnsi="NeoSansPro-Bold"/>
          <w:bCs/>
          <w:color w:val="333333"/>
          <w:sz w:val="20"/>
          <w:szCs w:val="20"/>
        </w:rPr>
        <w:t>Obchodné meno:                                                        Hydina SLOVENSKO, s.r.o.</w:t>
      </w:r>
    </w:p>
    <w:p>
      <w:pPr>
        <w:pStyle w:val="Normal"/>
        <w:pBdr>
          <w:top w:val="single" w:sz="4" w:space="1" w:color="000000"/>
          <w:left w:val="single" w:sz="4" w:space="1" w:color="000000"/>
          <w:bottom w:val="single" w:sz="4" w:space="1" w:color="000000"/>
          <w:right w:val="single" w:sz="4" w:space="4" w:color="000000"/>
        </w:pBdr>
        <w:rPr>
          <w:rFonts w:ascii="NeoSansPro-Bold" w:hAnsi="NeoSansPro-Bold" w:cs="NeoSansPro-Bold"/>
          <w:bCs/>
          <w:color w:val="333333"/>
          <w:sz w:val="20"/>
          <w:szCs w:val="20"/>
        </w:rPr>
      </w:pPr>
      <w:r>
        <w:rPr>
          <w:rFonts w:cs="NeoSansPro-Bold" w:ascii="NeoSansPro-Bold" w:hAnsi="NeoSansPro-Bold"/>
          <w:bCs/>
          <w:color w:val="333333"/>
          <w:sz w:val="20"/>
          <w:szCs w:val="20"/>
        </w:rPr>
        <w:t>Sídlo:                                                                          Lieskovská cesta 23/640</w:t>
      </w:r>
    </w:p>
    <w:p>
      <w:pPr>
        <w:pStyle w:val="Normal"/>
        <w:pBdr>
          <w:top w:val="single" w:sz="4" w:space="1" w:color="000000"/>
          <w:left w:val="single" w:sz="4" w:space="1" w:color="000000"/>
          <w:bottom w:val="single" w:sz="4" w:space="1" w:color="000000"/>
          <w:right w:val="single" w:sz="4" w:space="4" w:color="000000"/>
        </w:pBdr>
        <w:rPr>
          <w:rFonts w:ascii="NeoSansPro-Bold" w:hAnsi="NeoSansPro-Bold" w:cs="NeoSansPro-Bold"/>
          <w:bCs/>
          <w:color w:val="333333"/>
          <w:sz w:val="20"/>
          <w:szCs w:val="20"/>
        </w:rPr>
      </w:pPr>
      <w:r>
        <w:rPr>
          <w:rFonts w:cs="NeoSansPro-Bold" w:ascii="NeoSansPro-Bold" w:hAnsi="NeoSansPro-Bold"/>
          <w:bCs/>
          <w:color w:val="333333"/>
          <w:sz w:val="20"/>
          <w:szCs w:val="20"/>
        </w:rPr>
        <w:t xml:space="preserve">                                                                                   </w:t>
      </w:r>
      <w:r>
        <w:rPr>
          <w:rFonts w:cs="NeoSansPro-Bold" w:ascii="NeoSansPro-Bold" w:hAnsi="NeoSansPro-Bold"/>
          <w:bCs/>
          <w:color w:val="333333"/>
          <w:sz w:val="20"/>
          <w:szCs w:val="20"/>
        </w:rPr>
        <w:t xml:space="preserve">962 21  Lieskovec </w:t>
      </w:r>
    </w:p>
    <w:p>
      <w:pPr>
        <w:pStyle w:val="Normal"/>
        <w:pBdr>
          <w:top w:val="single" w:sz="4" w:space="1" w:color="000000"/>
          <w:left w:val="single" w:sz="4" w:space="1" w:color="000000"/>
          <w:bottom w:val="single" w:sz="4" w:space="1" w:color="000000"/>
          <w:right w:val="single" w:sz="4" w:space="4" w:color="000000"/>
        </w:pBdr>
        <w:rPr>
          <w:rFonts w:ascii="NeoSansPro-Bold" w:hAnsi="NeoSansPro-Bold" w:cs="NeoSansPro-Bold"/>
          <w:bCs/>
          <w:color w:val="333333"/>
          <w:sz w:val="20"/>
          <w:szCs w:val="20"/>
        </w:rPr>
      </w:pPr>
      <w:r>
        <w:rPr>
          <w:rFonts w:cs="NeoSansPro-Bold" w:ascii="NeoSansPro-Bold" w:hAnsi="NeoSansPro-Bold"/>
          <w:bCs/>
          <w:color w:val="333333"/>
          <w:sz w:val="20"/>
          <w:szCs w:val="20"/>
        </w:rPr>
        <w:t>IČO:                                                                           45 300 950</w:t>
      </w:r>
    </w:p>
    <w:p>
      <w:pPr>
        <w:pStyle w:val="Normal"/>
        <w:pBdr>
          <w:top w:val="single" w:sz="4" w:space="1" w:color="000000"/>
          <w:left w:val="single" w:sz="4" w:space="1" w:color="000000"/>
          <w:bottom w:val="single" w:sz="4" w:space="1" w:color="000000"/>
          <w:right w:val="single" w:sz="4" w:space="4" w:color="000000"/>
        </w:pBdr>
        <w:rPr>
          <w:rFonts w:ascii="NeoSansPro-Bold" w:hAnsi="NeoSansPro-Bold" w:cs="NeoSansPro-Bold"/>
          <w:bCs/>
          <w:color w:val="333333"/>
          <w:sz w:val="20"/>
          <w:szCs w:val="20"/>
        </w:rPr>
      </w:pPr>
      <w:r>
        <w:rPr>
          <w:rFonts w:cs="NeoSansPro-Bold" w:ascii="NeoSansPro-Bold" w:hAnsi="NeoSansPro-Bold"/>
          <w:bCs/>
          <w:color w:val="333333"/>
          <w:sz w:val="20"/>
          <w:szCs w:val="20"/>
        </w:rPr>
        <w:t>IČ DPH:                                                                     SK 2022959136</w:t>
      </w:r>
    </w:p>
    <w:p>
      <w:pPr>
        <w:pStyle w:val="Normal"/>
        <w:pBdr>
          <w:top w:val="single" w:sz="4" w:space="1" w:color="000000"/>
          <w:left w:val="single" w:sz="4" w:space="1" w:color="000000"/>
          <w:bottom w:val="single" w:sz="4" w:space="1" w:color="000000"/>
          <w:right w:val="single" w:sz="4" w:space="4" w:color="000000"/>
        </w:pBdr>
        <w:rPr>
          <w:rFonts w:ascii="NeoSansPro-Bold" w:hAnsi="NeoSansPro-Bold" w:cs="NeoSansPro-Bold"/>
          <w:bCs/>
          <w:color w:val="333333"/>
          <w:sz w:val="20"/>
          <w:szCs w:val="20"/>
        </w:rPr>
      </w:pPr>
      <w:r>
        <w:rPr>
          <w:rFonts w:cs="NeoSansPro-Bold" w:ascii="NeoSansPro-Bold" w:hAnsi="NeoSansPro-Bold"/>
          <w:bCs/>
          <w:color w:val="333333"/>
          <w:sz w:val="20"/>
          <w:szCs w:val="20"/>
        </w:rPr>
        <w:t>Deň zápisu do obchodného registra:                        1.12.2009</w:t>
      </w:r>
    </w:p>
    <w:p>
      <w:pPr>
        <w:pStyle w:val="Normal"/>
        <w:pBdr>
          <w:top w:val="single" w:sz="4" w:space="1" w:color="000000"/>
          <w:left w:val="single" w:sz="4" w:space="1" w:color="000000"/>
          <w:bottom w:val="single" w:sz="4" w:space="1" w:color="000000"/>
          <w:right w:val="single" w:sz="4" w:space="4" w:color="000000"/>
        </w:pBdr>
        <w:rPr>
          <w:rFonts w:ascii="NeoSansPro-Bold" w:hAnsi="NeoSansPro-Bold" w:cs="NeoSansPro-Bold"/>
          <w:bCs/>
          <w:color w:val="333333"/>
          <w:sz w:val="20"/>
          <w:szCs w:val="20"/>
        </w:rPr>
      </w:pPr>
      <w:r>
        <w:rPr>
          <w:rFonts w:cs="NeoSansPro-Bold" w:ascii="NeoSansPro-Bold" w:hAnsi="NeoSansPro-Bold"/>
          <w:bCs/>
          <w:color w:val="333333"/>
          <w:sz w:val="20"/>
          <w:szCs w:val="20"/>
        </w:rPr>
        <w:t xml:space="preserve">Obchodný register:                                                   Okresného súdu Banská Bystrica </w:t>
      </w:r>
    </w:p>
    <w:p>
      <w:pPr>
        <w:pStyle w:val="Normal"/>
        <w:pBdr>
          <w:top w:val="single" w:sz="4" w:space="1" w:color="000000"/>
          <w:left w:val="single" w:sz="4" w:space="1" w:color="000000"/>
          <w:bottom w:val="single" w:sz="4" w:space="1" w:color="000000"/>
          <w:right w:val="single" w:sz="4" w:space="4" w:color="000000"/>
        </w:pBdr>
        <w:rPr>
          <w:rFonts w:ascii="NeoSansPro-Bold" w:hAnsi="NeoSansPro-Bold" w:cs="NeoSansPro-Bold"/>
          <w:bCs/>
          <w:color w:val="333333"/>
          <w:sz w:val="20"/>
          <w:szCs w:val="20"/>
        </w:rPr>
      </w:pPr>
      <w:r>
        <w:rPr>
          <w:rFonts w:cs="NeoSansPro-Bold" w:ascii="NeoSansPro-Bold" w:hAnsi="NeoSansPro-Bold"/>
          <w:bCs/>
          <w:color w:val="333333"/>
          <w:sz w:val="20"/>
          <w:szCs w:val="20"/>
        </w:rPr>
        <w:t xml:space="preserve">                                                                                 </w:t>
      </w:r>
      <w:r>
        <w:rPr>
          <w:rFonts w:cs="NeoSansPro-Bold" w:ascii="NeoSansPro-Bold" w:hAnsi="NeoSansPro-Bold"/>
          <w:bCs/>
          <w:color w:val="333333"/>
          <w:sz w:val="20"/>
          <w:szCs w:val="20"/>
        </w:rPr>
        <w:t>oddiel Sro, vložka č. 27202/S</w:t>
      </w:r>
    </w:p>
    <w:p>
      <w:pPr>
        <w:pStyle w:val="Normal"/>
        <w:pBdr>
          <w:top w:val="single" w:sz="4" w:space="1" w:color="000000"/>
          <w:left w:val="single" w:sz="4" w:space="1" w:color="000000"/>
          <w:bottom w:val="single" w:sz="4" w:space="1" w:color="000000"/>
          <w:right w:val="single" w:sz="4" w:space="4" w:color="000000"/>
        </w:pBdr>
        <w:rPr>
          <w:rFonts w:ascii="NeoSansPro-Bold" w:hAnsi="NeoSansPro-Bold" w:cs="NeoSansPro-Bold"/>
          <w:bCs/>
          <w:color w:val="333333"/>
          <w:sz w:val="20"/>
          <w:szCs w:val="20"/>
        </w:rPr>
      </w:pPr>
      <w:r>
        <w:rPr>
          <w:rFonts w:cs="NeoSansPro-Bold" w:ascii="NeoSansPro-Bold" w:hAnsi="NeoSansPro-Bold"/>
          <w:bCs/>
          <w:color w:val="333333"/>
          <w:sz w:val="20"/>
          <w:szCs w:val="20"/>
        </w:rPr>
        <w:t xml:space="preserve">Právna forma:                                                           spoločnosť s ručením obmedzeným  </w:t>
      </w:r>
    </w:p>
    <w:p>
      <w:pPr>
        <w:pStyle w:val="Normal"/>
        <w:pBdr>
          <w:top w:val="single" w:sz="4" w:space="1" w:color="000000"/>
          <w:left w:val="single" w:sz="4" w:space="1" w:color="000000"/>
          <w:bottom w:val="single" w:sz="4" w:space="1" w:color="000000"/>
          <w:right w:val="single" w:sz="4" w:space="4" w:color="000000"/>
        </w:pBdr>
        <w:rPr>
          <w:rFonts w:ascii="NeoSansPro-Bold" w:hAnsi="NeoSansPro-Bold" w:cs="NeoSansPro-Bold"/>
          <w:bCs/>
          <w:color w:val="333333"/>
          <w:sz w:val="20"/>
          <w:szCs w:val="20"/>
        </w:rPr>
      </w:pPr>
      <w:r>
        <w:rPr>
          <w:rFonts w:cs="NeoSansPro-Bold" w:ascii="NeoSansPro-Bold" w:hAnsi="NeoSansPro-Bold"/>
          <w:bCs/>
          <w:color w:val="333333"/>
          <w:sz w:val="20"/>
          <w:szCs w:val="20"/>
        </w:rPr>
        <w:t>Základné imanie spoločnosti:                                   2 591 340,- EUR</w:t>
      </w:r>
    </w:p>
    <w:p>
      <w:pPr>
        <w:pStyle w:val="Normal"/>
        <w:rPr>
          <w:rFonts w:ascii="NeoSansPro-Bold" w:hAnsi="NeoSansPro-Bold" w:cs="NeoSansPro-Bold"/>
          <w:bCs/>
          <w:color w:val="333333"/>
          <w:sz w:val="28"/>
          <w:szCs w:val="28"/>
        </w:rPr>
      </w:pPr>
      <w:r>
        <w:rPr>
          <w:rFonts w:cs="NeoSansPro-Bold" w:ascii="NeoSansPro-Bold" w:hAnsi="NeoSansPro-Bold"/>
          <w:bCs/>
          <w:color w:val="333333"/>
          <w:sz w:val="28"/>
          <w:szCs w:val="28"/>
        </w:rPr>
      </w:r>
    </w:p>
    <w:p>
      <w:pPr>
        <w:pStyle w:val="Normal"/>
        <w:rPr>
          <w:rFonts w:ascii="NeoSansPro-Bold" w:hAnsi="NeoSansPro-Bold" w:cs="NeoSansPro-Bold"/>
          <w:bCs/>
          <w:color w:val="333333"/>
          <w:sz w:val="28"/>
          <w:szCs w:val="28"/>
        </w:rPr>
      </w:pPr>
      <w:r>
        <w:rPr>
          <w:rFonts w:cs="NeoSansPro-Bold" w:ascii="NeoSansPro-Bold" w:hAnsi="NeoSansPro-Bold"/>
          <w:bCs/>
          <w:color w:val="333333"/>
          <w:sz w:val="28"/>
          <w:szCs w:val="28"/>
        </w:rPr>
        <w:t>Hlavný predmet činnosti</w:t>
      </w:r>
    </w:p>
    <w:p>
      <w:pPr>
        <w:pStyle w:val="Normal"/>
        <w:rPr>
          <w:rFonts w:ascii="NeoSansPro-Bold" w:hAnsi="NeoSansPro-Bold" w:cs="NeoSansPro-Bold"/>
          <w:bCs/>
          <w:color w:val="333333"/>
          <w:sz w:val="28"/>
          <w:szCs w:val="28"/>
        </w:rPr>
      </w:pPr>
      <w:r>
        <w:rPr>
          <w:rFonts w:cs="NeoSansPro-Bold" w:ascii="NeoSansPro-Bold" w:hAnsi="NeoSansPro-Bold"/>
          <w:bCs/>
          <w:color w:val="333333"/>
          <w:sz w:val="28"/>
          <w:szCs w:val="28"/>
        </w:rPr>
      </w:r>
    </w:p>
    <w:p>
      <w:pPr>
        <w:pStyle w:val="Normal"/>
        <w:pBdr>
          <w:top w:val="single" w:sz="4" w:space="1" w:color="000000"/>
          <w:left w:val="single" w:sz="4" w:space="0" w:color="000000"/>
          <w:bottom w:val="single" w:sz="4" w:space="1" w:color="000000"/>
          <w:right w:val="single" w:sz="4" w:space="4" w:color="000000"/>
        </w:pBdr>
        <w:rPr>
          <w:rFonts w:ascii="NeoSansPro-Bold" w:hAnsi="NeoSansPro-Bold" w:cs="NeoSansPro-Bold"/>
          <w:bCs/>
          <w:color w:val="333333"/>
          <w:sz w:val="20"/>
          <w:szCs w:val="20"/>
        </w:rPr>
      </w:pPr>
      <w:r>
        <w:rPr>
          <w:rFonts w:cs="NeoSansPro-Bold" w:ascii="NeoSansPro-Bold" w:hAnsi="NeoSansPro-Bold"/>
          <w:bCs/>
          <w:color w:val="333333"/>
          <w:sz w:val="20"/>
          <w:szCs w:val="20"/>
        </w:rPr>
        <w:t>spracovanie, výroba hydiny, vajec, zveriny a rýb</w:t>
      </w:r>
    </w:p>
    <w:p>
      <w:pPr>
        <w:pStyle w:val="Normal"/>
        <w:pBdr>
          <w:top w:val="single" w:sz="4" w:space="1" w:color="000000"/>
          <w:left w:val="single" w:sz="4" w:space="0" w:color="000000"/>
          <w:bottom w:val="single" w:sz="4" w:space="1" w:color="000000"/>
          <w:right w:val="single" w:sz="4" w:space="4" w:color="000000"/>
        </w:pBdr>
        <w:rPr>
          <w:rFonts w:ascii="NeoSansPro-Bold" w:hAnsi="NeoSansPro-Bold" w:cs="NeoSansPro-Bold"/>
          <w:bCs/>
          <w:color w:val="333333"/>
          <w:sz w:val="20"/>
          <w:szCs w:val="20"/>
        </w:rPr>
      </w:pPr>
      <w:r>
        <w:rPr>
          <w:rFonts w:cs="NeoSansPro-Bold" w:ascii="NeoSansPro-Bold" w:hAnsi="NeoSansPro-Bold"/>
          <w:bCs/>
          <w:color w:val="333333"/>
          <w:sz w:val="20"/>
          <w:szCs w:val="20"/>
        </w:rPr>
        <w:t>chov hydiny</w:t>
      </w:r>
    </w:p>
    <w:p>
      <w:pPr>
        <w:pStyle w:val="Normal"/>
        <w:pBdr>
          <w:top w:val="single" w:sz="4" w:space="1" w:color="000000"/>
          <w:left w:val="single" w:sz="4" w:space="0" w:color="000000"/>
          <w:bottom w:val="single" w:sz="4" w:space="1" w:color="000000"/>
          <w:right w:val="single" w:sz="4" w:space="4" w:color="000000"/>
        </w:pBdr>
        <w:rPr>
          <w:rFonts w:ascii="NeoSansPro-Bold" w:hAnsi="NeoSansPro-Bold" w:cs="NeoSansPro-Bold"/>
          <w:bCs/>
          <w:color w:val="333333"/>
          <w:sz w:val="20"/>
          <w:szCs w:val="20"/>
        </w:rPr>
      </w:pPr>
      <w:r>
        <w:rPr>
          <w:rFonts w:cs="NeoSansPro-Bold" w:ascii="NeoSansPro-Bold" w:hAnsi="NeoSansPro-Bold"/>
          <w:bCs/>
          <w:color w:val="333333"/>
          <w:sz w:val="20"/>
          <w:szCs w:val="20"/>
        </w:rPr>
        <w:t>mäsiarstvo</w:t>
      </w:r>
    </w:p>
    <w:p>
      <w:pPr>
        <w:pStyle w:val="Normal"/>
        <w:pBdr>
          <w:top w:val="single" w:sz="4" w:space="1" w:color="000000"/>
          <w:left w:val="single" w:sz="4" w:space="0" w:color="000000"/>
          <w:bottom w:val="single" w:sz="4" w:space="1" w:color="000000"/>
          <w:right w:val="single" w:sz="4" w:space="4" w:color="000000"/>
        </w:pBdr>
        <w:rPr>
          <w:rFonts w:ascii="NeoSansPro-Bold" w:hAnsi="NeoSansPro-Bold" w:cs="NeoSansPro-Bold"/>
          <w:bCs/>
          <w:color w:val="333333"/>
          <w:sz w:val="20"/>
          <w:szCs w:val="20"/>
        </w:rPr>
      </w:pPr>
      <w:r>
        <w:rPr>
          <w:rFonts w:cs="NeoSansPro-Bold" w:ascii="NeoSansPro-Bold" w:hAnsi="NeoSansPro-Bold"/>
          <w:bCs/>
          <w:color w:val="333333"/>
          <w:sz w:val="20"/>
          <w:szCs w:val="20"/>
        </w:rPr>
        <w:t>kúpa tovaru na účely jeho predaja konečnému spotrebiteľovi (maloobchod) alebo iným prevádzkovateľom živnosti (veľkoobchod)</w:t>
      </w:r>
    </w:p>
    <w:p>
      <w:pPr>
        <w:pStyle w:val="Normal"/>
        <w:pBdr>
          <w:top w:val="single" w:sz="4" w:space="1" w:color="000000"/>
          <w:left w:val="single" w:sz="4" w:space="0" w:color="000000"/>
          <w:bottom w:val="single" w:sz="4" w:space="1" w:color="000000"/>
          <w:right w:val="single" w:sz="4" w:space="4" w:color="000000"/>
        </w:pBdr>
        <w:rPr>
          <w:rFonts w:ascii="NeoSansPro-Bold" w:hAnsi="NeoSansPro-Bold" w:cs="NeoSansPro-Bold"/>
          <w:bCs/>
          <w:color w:val="333333"/>
          <w:sz w:val="20"/>
          <w:szCs w:val="20"/>
        </w:rPr>
      </w:pPr>
      <w:r>
        <w:rPr>
          <w:rFonts w:cs="NeoSansPro-Bold" w:ascii="NeoSansPro-Bold" w:hAnsi="NeoSansPro-Bold"/>
          <w:bCs/>
          <w:color w:val="333333"/>
          <w:sz w:val="20"/>
          <w:szCs w:val="20"/>
        </w:rPr>
        <w:t>sprostredkovateľská činnosť v oblasti obchodu</w:t>
      </w:r>
    </w:p>
    <w:p>
      <w:pPr>
        <w:pStyle w:val="Normal"/>
        <w:pBdr>
          <w:top w:val="single" w:sz="4" w:space="1" w:color="000000"/>
          <w:left w:val="single" w:sz="4" w:space="0" w:color="000000"/>
          <w:bottom w:val="single" w:sz="4" w:space="1" w:color="000000"/>
          <w:right w:val="single" w:sz="4" w:space="4" w:color="000000"/>
        </w:pBdr>
        <w:rPr>
          <w:rFonts w:ascii="NeoSansPro-Bold" w:hAnsi="NeoSansPro-Bold" w:cs="NeoSansPro-Bold"/>
          <w:bCs/>
          <w:color w:val="333333"/>
          <w:sz w:val="20"/>
          <w:szCs w:val="20"/>
        </w:rPr>
      </w:pPr>
      <w:r>
        <w:rPr>
          <w:rFonts w:cs="NeoSansPro-Bold" w:ascii="NeoSansPro-Bold" w:hAnsi="NeoSansPro-Bold"/>
          <w:bCs/>
          <w:color w:val="333333"/>
          <w:sz w:val="20"/>
          <w:szCs w:val="20"/>
        </w:rPr>
        <w:t>prenájom hnuteľných vecí a prenájom nehnuteľností</w:t>
      </w:r>
    </w:p>
    <w:p>
      <w:pPr>
        <w:pStyle w:val="Normal"/>
        <w:pBdr>
          <w:top w:val="single" w:sz="4" w:space="1" w:color="000000"/>
          <w:left w:val="single" w:sz="4" w:space="0" w:color="000000"/>
          <w:bottom w:val="single" w:sz="4" w:space="1" w:color="000000"/>
          <w:right w:val="single" w:sz="4" w:space="4" w:color="000000"/>
        </w:pBdr>
        <w:rPr>
          <w:rFonts w:ascii="NeoSansPro-Bold" w:hAnsi="NeoSansPro-Bold" w:cs="NeoSansPro-Bold"/>
          <w:bCs/>
          <w:color w:val="333333"/>
          <w:sz w:val="20"/>
          <w:szCs w:val="20"/>
        </w:rPr>
      </w:pPr>
      <w:r>
        <w:rPr>
          <w:rFonts w:cs="NeoSansPro-Bold" w:ascii="NeoSansPro-Bold" w:hAnsi="NeoSansPro-Bold"/>
          <w:bCs/>
          <w:color w:val="333333"/>
          <w:sz w:val="20"/>
          <w:szCs w:val="20"/>
        </w:rPr>
        <w:t>skladovanie, baliace činnosti a manipulácia s tovarom</w:t>
      </w:r>
    </w:p>
    <w:p>
      <w:pPr>
        <w:pStyle w:val="Normal"/>
        <w:pBdr>
          <w:top w:val="single" w:sz="4" w:space="1" w:color="000000"/>
          <w:left w:val="single" w:sz="4" w:space="0" w:color="000000"/>
          <w:bottom w:val="single" w:sz="4" w:space="1" w:color="000000"/>
          <w:right w:val="single" w:sz="4" w:space="4" w:color="000000"/>
        </w:pBdr>
        <w:rPr>
          <w:rFonts w:ascii="NeoSansPro-Bold" w:hAnsi="NeoSansPro-Bold" w:cs="NeoSansPro-Bold"/>
          <w:bCs/>
          <w:color w:val="333333"/>
          <w:sz w:val="20"/>
          <w:szCs w:val="20"/>
        </w:rPr>
      </w:pPr>
      <w:r>
        <w:rPr>
          <w:rFonts w:cs="NeoSansPro-Bold" w:ascii="NeoSansPro-Bold" w:hAnsi="NeoSansPro-Bold"/>
          <w:bCs/>
          <w:color w:val="333333"/>
          <w:sz w:val="20"/>
          <w:szCs w:val="20"/>
        </w:rPr>
        <w:t>poskytovanie služieb súvisiacich so starostlivosťou o zvieratá</w:t>
      </w:r>
    </w:p>
    <w:p>
      <w:pPr>
        <w:pStyle w:val="Normal"/>
        <w:rPr>
          <w:rFonts w:ascii="NeoSansPro-Bold" w:hAnsi="NeoSansPro-Bold" w:cs="NeoSansPro-Bold"/>
          <w:bCs/>
          <w:color w:val="333333"/>
          <w:sz w:val="28"/>
          <w:szCs w:val="28"/>
        </w:rPr>
      </w:pPr>
      <w:r>
        <w:rPr>
          <w:rFonts w:cs="NeoSansPro-Bold" w:ascii="NeoSansPro-Bold" w:hAnsi="NeoSansPro-Bold"/>
          <w:bCs/>
          <w:color w:val="333333"/>
          <w:sz w:val="28"/>
          <w:szCs w:val="28"/>
        </w:rPr>
      </w:r>
    </w:p>
    <w:p>
      <w:pPr>
        <w:pStyle w:val="Normal"/>
        <w:rPr>
          <w:rFonts w:ascii="NeoSansPro-Bold" w:hAnsi="NeoSansPro-Bold" w:cs="NeoSansPro-Bold"/>
          <w:bCs/>
          <w:color w:val="333333"/>
          <w:sz w:val="28"/>
          <w:szCs w:val="28"/>
        </w:rPr>
      </w:pPr>
      <w:r>
        <w:rPr>
          <w:rFonts w:cs="NeoSansPro-Bold" w:ascii="NeoSansPro-Bold" w:hAnsi="NeoSansPro-Bold"/>
          <w:bCs/>
          <w:color w:val="333333"/>
          <w:sz w:val="28"/>
          <w:szCs w:val="28"/>
        </w:rPr>
      </w:r>
    </w:p>
    <w:p>
      <w:pPr>
        <w:pStyle w:val="Normal"/>
        <w:rPr>
          <w:rFonts w:ascii="NeoSansPro-Bold" w:hAnsi="NeoSansPro-Bold" w:cs="NeoSansPro-Bold"/>
          <w:bCs/>
          <w:color w:val="333333"/>
          <w:sz w:val="28"/>
          <w:szCs w:val="28"/>
        </w:rPr>
      </w:pPr>
      <w:r>
        <w:rPr>
          <w:rFonts w:cs="NeoSansPro-Bold" w:ascii="NeoSansPro-Bold" w:hAnsi="NeoSansPro-Bold"/>
          <w:bCs/>
          <w:color w:val="333333"/>
          <w:sz w:val="28"/>
          <w:szCs w:val="28"/>
        </w:rPr>
        <w:t>Počet zamestnancov</w:t>
      </w:r>
    </w:p>
    <w:p>
      <w:pPr>
        <w:pStyle w:val="Normal"/>
        <w:rPr>
          <w:rFonts w:ascii="NeoSansPro-Bold" w:hAnsi="NeoSansPro-Bold" w:cs="NeoSansPro-Bold"/>
          <w:bCs/>
          <w:color w:val="333333"/>
          <w:sz w:val="28"/>
          <w:szCs w:val="28"/>
        </w:rPr>
      </w:pPr>
      <w:r>
        <w:rPr>
          <w:rFonts w:cs="NeoSansPro-Bold" w:ascii="NeoSansPro-Bold" w:hAnsi="NeoSansPro-Bold"/>
          <w:bCs/>
          <w:color w:val="333333"/>
          <w:sz w:val="28"/>
          <w:szCs w:val="28"/>
        </w:rPr>
      </w:r>
    </w:p>
    <w:tbl>
      <w:tblPr>
        <w:tblW w:w="4950" w:type="pct"/>
        <w:jc w:val="center"/>
        <w:tblInd w:w="0" w:type="dxa"/>
        <w:tblLayout w:type="fixed"/>
        <w:tblCellMar>
          <w:top w:w="0" w:type="dxa"/>
          <w:left w:w="70" w:type="dxa"/>
          <w:bottom w:w="0" w:type="dxa"/>
          <w:right w:w="70" w:type="dxa"/>
        </w:tblCellMar>
        <w:tblLook w:firstRow="0" w:noVBand="0" w:lastRow="0" w:firstColumn="0" w:lastColumn="0" w:noHBand="0" w:val="0000"/>
      </w:tblPr>
      <w:tblGrid>
        <w:gridCol w:w="3763"/>
        <w:gridCol w:w="2703"/>
        <w:gridCol w:w="2937"/>
      </w:tblGrid>
      <w:tr>
        <w:trPr>
          <w:trHeight w:val="529" w:hRule="atLeast"/>
        </w:trPr>
        <w:tc>
          <w:tcPr>
            <w:tcW w:w="3763" w:type="dxa"/>
            <w:tcBorders>
              <w:top w:val="single" w:sz="4" w:space="0" w:color="000000"/>
              <w:left w:val="single" w:sz="4" w:space="0" w:color="000000"/>
              <w:bottom w:val="single" w:sz="2" w:space="0" w:color="000000"/>
              <w:right w:val="single" w:sz="4" w:space="0" w:color="000000"/>
            </w:tcBorders>
            <w:vAlign w:val="center"/>
          </w:tcPr>
          <w:p>
            <w:pPr>
              <w:pStyle w:val="TopHeader"/>
              <w:widowControl w:val="false"/>
              <w:spacing w:lineRule="auto" w:line="276"/>
              <w:rPr>
                <w:sz w:val="20"/>
                <w:szCs w:val="20"/>
              </w:rPr>
            </w:pPr>
            <w:r>
              <w:rPr>
                <w:sz w:val="20"/>
                <w:szCs w:val="20"/>
              </w:rPr>
              <w:t>Názov položky</w:t>
            </w:r>
          </w:p>
        </w:tc>
        <w:tc>
          <w:tcPr>
            <w:tcW w:w="2703" w:type="dxa"/>
            <w:tcBorders>
              <w:top w:val="single" w:sz="4" w:space="0" w:color="000000"/>
              <w:left w:val="single" w:sz="4" w:space="0" w:color="000000"/>
              <w:bottom w:val="single" w:sz="2" w:space="0" w:color="000000"/>
              <w:right w:val="single" w:sz="4" w:space="0" w:color="000000"/>
            </w:tcBorders>
            <w:vAlign w:val="center"/>
          </w:tcPr>
          <w:p>
            <w:pPr>
              <w:pStyle w:val="TopHeader"/>
              <w:widowControl w:val="false"/>
              <w:spacing w:lineRule="auto" w:line="276"/>
              <w:rPr>
                <w:sz w:val="20"/>
                <w:szCs w:val="20"/>
              </w:rPr>
            </w:pPr>
            <w:r>
              <w:rPr>
                <w:sz w:val="20"/>
                <w:szCs w:val="20"/>
              </w:rPr>
              <w:t>2019</w:t>
            </w:r>
          </w:p>
        </w:tc>
        <w:tc>
          <w:tcPr>
            <w:tcW w:w="2937" w:type="dxa"/>
            <w:tcBorders>
              <w:top w:val="single" w:sz="4" w:space="0" w:color="000000"/>
              <w:left w:val="single" w:sz="4" w:space="0" w:color="000000"/>
              <w:bottom w:val="single" w:sz="2" w:space="0" w:color="000000"/>
              <w:right w:val="single" w:sz="12" w:space="0" w:color="000000"/>
            </w:tcBorders>
            <w:vAlign w:val="center"/>
          </w:tcPr>
          <w:p>
            <w:pPr>
              <w:pStyle w:val="TopHeader"/>
              <w:widowControl w:val="false"/>
              <w:spacing w:lineRule="auto" w:line="276"/>
              <w:rPr>
                <w:sz w:val="20"/>
                <w:szCs w:val="20"/>
              </w:rPr>
            </w:pPr>
            <w:r>
              <w:rPr>
                <w:sz w:val="20"/>
                <w:szCs w:val="20"/>
              </w:rPr>
              <w:t>2018</w:t>
            </w:r>
          </w:p>
        </w:tc>
      </w:tr>
      <w:tr>
        <w:trPr>
          <w:trHeight w:val="529" w:hRule="atLeast"/>
        </w:trPr>
        <w:tc>
          <w:tcPr>
            <w:tcW w:w="3763" w:type="dxa"/>
            <w:tcBorders>
              <w:top w:val="single" w:sz="2" w:space="0" w:color="000000"/>
              <w:left w:val="single" w:sz="4" w:space="0" w:color="000000"/>
              <w:bottom w:val="single" w:sz="2" w:space="0" w:color="000000"/>
              <w:right w:val="single" w:sz="4" w:space="0" w:color="000000"/>
            </w:tcBorders>
            <w:vAlign w:val="center"/>
          </w:tcPr>
          <w:p>
            <w:pPr>
              <w:pStyle w:val="Normal"/>
              <w:widowControl w:val="false"/>
              <w:spacing w:lineRule="auto" w:line="276"/>
              <w:rPr>
                <w:sz w:val="20"/>
                <w:szCs w:val="20"/>
              </w:rPr>
            </w:pPr>
            <w:r>
              <w:rPr>
                <w:sz w:val="20"/>
                <w:szCs w:val="20"/>
              </w:rPr>
              <w:t xml:space="preserve">Priemerný prepočítaný počet </w:t>
            </w:r>
          </w:p>
          <w:p>
            <w:pPr>
              <w:pStyle w:val="Normal"/>
              <w:widowControl w:val="false"/>
              <w:spacing w:lineRule="auto" w:line="276"/>
              <w:rPr>
                <w:sz w:val="20"/>
                <w:szCs w:val="20"/>
              </w:rPr>
            </w:pPr>
            <w:r>
              <w:rPr>
                <w:sz w:val="20"/>
                <w:szCs w:val="20"/>
              </w:rPr>
              <w:t>zamestnancov</w:t>
            </w:r>
          </w:p>
        </w:tc>
        <w:tc>
          <w:tcPr>
            <w:tcW w:w="2703" w:type="dxa"/>
            <w:tcBorders>
              <w:top w:val="single" w:sz="2" w:space="0" w:color="000000"/>
              <w:left w:val="single" w:sz="4" w:space="0" w:color="000000"/>
              <w:bottom w:val="single" w:sz="2" w:space="0" w:color="000000"/>
              <w:right w:val="single" w:sz="4" w:space="0" w:color="000000"/>
            </w:tcBorders>
          </w:tcPr>
          <w:p>
            <w:pPr>
              <w:pStyle w:val="Normal"/>
              <w:widowControl w:val="false"/>
              <w:spacing w:lineRule="auto" w:line="276"/>
              <w:jc w:val="center"/>
              <w:rPr>
                <w:sz w:val="20"/>
                <w:szCs w:val="20"/>
              </w:rPr>
            </w:pPr>
            <w:r>
              <w:rPr>
                <w:sz w:val="20"/>
                <w:szCs w:val="20"/>
              </w:rPr>
            </w:r>
          </w:p>
          <w:p>
            <w:pPr>
              <w:pStyle w:val="Normal"/>
              <w:widowControl w:val="false"/>
              <w:spacing w:lineRule="auto" w:line="276"/>
              <w:jc w:val="center"/>
              <w:rPr>
                <w:sz w:val="20"/>
                <w:szCs w:val="20"/>
              </w:rPr>
            </w:pPr>
            <w:r>
              <w:rPr>
                <w:sz w:val="20"/>
                <w:szCs w:val="20"/>
              </w:rPr>
              <w:t>309</w:t>
            </w:r>
          </w:p>
        </w:tc>
        <w:tc>
          <w:tcPr>
            <w:tcW w:w="2937" w:type="dxa"/>
            <w:tcBorders>
              <w:top w:val="single" w:sz="2" w:space="0" w:color="000000"/>
              <w:left w:val="single" w:sz="4" w:space="0" w:color="000000"/>
              <w:bottom w:val="single" w:sz="2" w:space="0" w:color="000000"/>
              <w:right w:val="single" w:sz="12" w:space="0" w:color="000000"/>
            </w:tcBorders>
          </w:tcPr>
          <w:p>
            <w:pPr>
              <w:pStyle w:val="Normal"/>
              <w:widowControl w:val="false"/>
              <w:spacing w:lineRule="auto" w:line="276"/>
              <w:jc w:val="center"/>
              <w:rPr>
                <w:sz w:val="20"/>
                <w:szCs w:val="20"/>
              </w:rPr>
            </w:pPr>
            <w:r>
              <w:rPr>
                <w:sz w:val="20"/>
                <w:szCs w:val="20"/>
              </w:rPr>
            </w:r>
          </w:p>
          <w:p>
            <w:pPr>
              <w:pStyle w:val="Normal"/>
              <w:widowControl w:val="false"/>
              <w:spacing w:lineRule="auto" w:line="276"/>
              <w:jc w:val="center"/>
              <w:rPr>
                <w:sz w:val="20"/>
                <w:szCs w:val="20"/>
              </w:rPr>
            </w:pPr>
            <w:r>
              <w:rPr>
                <w:sz w:val="20"/>
                <w:szCs w:val="20"/>
              </w:rPr>
              <w:t>291</w:t>
            </w:r>
          </w:p>
        </w:tc>
      </w:tr>
      <w:tr>
        <w:trPr>
          <w:trHeight w:val="529" w:hRule="atLeast"/>
        </w:trPr>
        <w:tc>
          <w:tcPr>
            <w:tcW w:w="3763" w:type="dxa"/>
            <w:tcBorders>
              <w:top w:val="single" w:sz="2" w:space="0" w:color="000000"/>
              <w:left w:val="single" w:sz="4" w:space="0" w:color="000000"/>
              <w:bottom w:val="single" w:sz="4" w:space="0" w:color="000000"/>
              <w:right w:val="single" w:sz="4" w:space="0" w:color="000000"/>
            </w:tcBorders>
            <w:vAlign w:val="center"/>
          </w:tcPr>
          <w:p>
            <w:pPr>
              <w:pStyle w:val="Normal"/>
              <w:widowControl w:val="false"/>
              <w:spacing w:lineRule="auto" w:line="276"/>
              <w:rPr>
                <w:sz w:val="20"/>
                <w:szCs w:val="20"/>
              </w:rPr>
            </w:pPr>
            <w:r>
              <w:rPr>
                <w:sz w:val="20"/>
                <w:szCs w:val="20"/>
              </w:rPr>
              <w:t>Stav zamestnancov ku dňu, ku ktorému sa zostavuje účtovná závierka: 31.12.</w:t>
            </w:r>
          </w:p>
        </w:tc>
        <w:tc>
          <w:tcPr>
            <w:tcW w:w="2703" w:type="dxa"/>
            <w:tcBorders>
              <w:top w:val="single" w:sz="2" w:space="0" w:color="000000"/>
              <w:left w:val="single" w:sz="4" w:space="0" w:color="000000"/>
              <w:bottom w:val="single" w:sz="4" w:space="0" w:color="000000"/>
              <w:right w:val="single" w:sz="4" w:space="0" w:color="000000"/>
            </w:tcBorders>
          </w:tcPr>
          <w:p>
            <w:pPr>
              <w:pStyle w:val="Normal"/>
              <w:widowControl w:val="false"/>
              <w:spacing w:lineRule="auto" w:line="276"/>
              <w:jc w:val="center"/>
              <w:rPr>
                <w:sz w:val="20"/>
                <w:szCs w:val="20"/>
              </w:rPr>
            </w:pPr>
            <w:r>
              <w:rPr>
                <w:sz w:val="20"/>
                <w:szCs w:val="20"/>
              </w:rPr>
            </w:r>
          </w:p>
          <w:p>
            <w:pPr>
              <w:pStyle w:val="Normal"/>
              <w:widowControl w:val="false"/>
              <w:spacing w:lineRule="auto" w:line="276"/>
              <w:jc w:val="center"/>
              <w:rPr>
                <w:sz w:val="20"/>
                <w:szCs w:val="20"/>
              </w:rPr>
            </w:pPr>
            <w:r>
              <w:rPr>
                <w:sz w:val="20"/>
                <w:szCs w:val="20"/>
              </w:rPr>
              <w:t>301</w:t>
            </w:r>
          </w:p>
        </w:tc>
        <w:tc>
          <w:tcPr>
            <w:tcW w:w="2937" w:type="dxa"/>
            <w:tcBorders>
              <w:top w:val="single" w:sz="2" w:space="0" w:color="000000"/>
              <w:left w:val="single" w:sz="4" w:space="0" w:color="000000"/>
              <w:bottom w:val="single" w:sz="4" w:space="0" w:color="000000"/>
              <w:right w:val="single" w:sz="12" w:space="0" w:color="000000"/>
            </w:tcBorders>
          </w:tcPr>
          <w:p>
            <w:pPr>
              <w:pStyle w:val="Normal"/>
              <w:widowControl w:val="false"/>
              <w:spacing w:lineRule="auto" w:line="276"/>
              <w:jc w:val="center"/>
              <w:rPr>
                <w:sz w:val="20"/>
                <w:szCs w:val="20"/>
              </w:rPr>
            </w:pPr>
            <w:r>
              <w:rPr>
                <w:sz w:val="20"/>
                <w:szCs w:val="20"/>
              </w:rPr>
            </w:r>
          </w:p>
          <w:p>
            <w:pPr>
              <w:pStyle w:val="Normal"/>
              <w:widowControl w:val="false"/>
              <w:spacing w:lineRule="auto" w:line="276"/>
              <w:jc w:val="center"/>
              <w:rPr>
                <w:sz w:val="20"/>
                <w:szCs w:val="20"/>
              </w:rPr>
            </w:pPr>
            <w:r>
              <w:rPr>
                <w:sz w:val="20"/>
                <w:szCs w:val="20"/>
              </w:rPr>
              <w:t>304</w:t>
            </w:r>
          </w:p>
        </w:tc>
      </w:tr>
      <w:tr>
        <w:trPr>
          <w:trHeight w:val="529" w:hRule="atLeast"/>
        </w:trPr>
        <w:tc>
          <w:tcPr>
            <w:tcW w:w="376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76"/>
              <w:rPr>
                <w:sz w:val="20"/>
                <w:szCs w:val="20"/>
                <w:highlight w:val="green"/>
              </w:rPr>
            </w:pPr>
            <w:r>
              <w:rPr>
                <w:sz w:val="20"/>
                <w:szCs w:val="20"/>
              </w:rPr>
              <w:t>z toho: počet vedúcich zamestnancov</w:t>
            </w:r>
          </w:p>
        </w:tc>
        <w:tc>
          <w:tcPr>
            <w:tcW w:w="270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sz w:val="20"/>
                <w:szCs w:val="20"/>
              </w:rPr>
            </w:pPr>
            <w:r>
              <w:rPr>
                <w:sz w:val="20"/>
                <w:szCs w:val="20"/>
              </w:rPr>
            </w:r>
          </w:p>
          <w:p>
            <w:pPr>
              <w:pStyle w:val="Normal"/>
              <w:widowControl w:val="false"/>
              <w:spacing w:lineRule="auto" w:line="276"/>
              <w:jc w:val="center"/>
              <w:rPr>
                <w:sz w:val="20"/>
                <w:szCs w:val="20"/>
                <w:highlight w:val="green"/>
              </w:rPr>
            </w:pPr>
            <w:r>
              <w:rPr>
                <w:sz w:val="20"/>
                <w:szCs w:val="20"/>
              </w:rPr>
              <w:t>6</w:t>
            </w:r>
          </w:p>
        </w:tc>
        <w:tc>
          <w:tcPr>
            <w:tcW w:w="2937" w:type="dxa"/>
            <w:tcBorders>
              <w:top w:val="single" w:sz="4" w:space="0" w:color="000000"/>
              <w:left w:val="single" w:sz="4" w:space="0" w:color="000000"/>
              <w:bottom w:val="single" w:sz="4" w:space="0" w:color="000000"/>
              <w:right w:val="single" w:sz="12" w:space="0" w:color="000000"/>
            </w:tcBorders>
          </w:tcPr>
          <w:p>
            <w:pPr>
              <w:pStyle w:val="Normal"/>
              <w:widowControl w:val="false"/>
              <w:spacing w:lineRule="auto" w:line="276"/>
              <w:jc w:val="center"/>
              <w:rPr>
                <w:sz w:val="20"/>
                <w:szCs w:val="20"/>
              </w:rPr>
            </w:pPr>
            <w:r>
              <w:rPr>
                <w:sz w:val="20"/>
                <w:szCs w:val="20"/>
              </w:rPr>
            </w:r>
          </w:p>
          <w:p>
            <w:pPr>
              <w:pStyle w:val="Normal"/>
              <w:widowControl w:val="false"/>
              <w:spacing w:lineRule="auto" w:line="276"/>
              <w:jc w:val="center"/>
              <w:rPr>
                <w:sz w:val="20"/>
                <w:szCs w:val="20"/>
                <w:highlight w:val="green"/>
              </w:rPr>
            </w:pPr>
            <w:r>
              <w:rPr>
                <w:sz w:val="20"/>
                <w:szCs w:val="20"/>
              </w:rPr>
              <w:t>4</w:t>
            </w:r>
          </w:p>
        </w:tc>
      </w:tr>
    </w:tbl>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8"/>
          <w:szCs w:val="28"/>
        </w:rPr>
      </w:pPr>
      <w:r>
        <w:rPr>
          <w:rFonts w:cs="NeoSansPro-Bold" w:ascii="NeoSansPro-Bold" w:hAnsi="NeoSansPro-Bold"/>
          <w:bCs/>
          <w:color w:val="333333"/>
          <w:sz w:val="28"/>
          <w:szCs w:val="28"/>
        </w:rPr>
        <w:t>Orgány spoločnosti</w:t>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
          <w:bCs/>
          <w:color w:val="333333"/>
          <w:sz w:val="20"/>
          <w:szCs w:val="20"/>
        </w:rPr>
        <w:t>Najvyšším orgánom spoločnosti</w:t>
      </w:r>
      <w:r>
        <w:rPr>
          <w:rFonts w:cs="NeoSansPro-Bold" w:ascii="NeoSansPro-Bold" w:hAnsi="NeoSansPro-Bold"/>
          <w:bCs/>
          <w:color w:val="333333"/>
          <w:sz w:val="20"/>
          <w:szCs w:val="20"/>
        </w:rPr>
        <w:t xml:space="preserve"> je Valné zhromaždenie.</w:t>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pBdr>
          <w:top w:val="single" w:sz="4" w:space="1" w:color="000000"/>
          <w:left w:val="single" w:sz="4" w:space="4" w:color="000000"/>
          <w:bottom w:val="single" w:sz="4" w:space="1" w:color="000000"/>
          <w:right w:val="single" w:sz="4" w:space="4" w:color="000000"/>
        </w:pBdr>
        <w:rPr>
          <w:rFonts w:ascii="NeoSansPro-Bold" w:hAnsi="NeoSansPro-Bold" w:cs="NeoSansPro-Bold"/>
          <w:b/>
          <w:b/>
          <w:bCs/>
          <w:color w:val="333333"/>
          <w:sz w:val="20"/>
          <w:szCs w:val="20"/>
        </w:rPr>
      </w:pPr>
      <w:r>
        <w:rPr>
          <w:rFonts w:cs="NeoSansPro-Bold" w:ascii="NeoSansPro-Bold" w:hAnsi="NeoSansPro-Bold"/>
          <w:b/>
          <w:bCs/>
          <w:color w:val="333333"/>
          <w:sz w:val="20"/>
          <w:szCs w:val="20"/>
        </w:rPr>
      </w:r>
    </w:p>
    <w:p>
      <w:pPr>
        <w:pStyle w:val="Normal"/>
        <w:pBdr>
          <w:top w:val="single" w:sz="4" w:space="1" w:color="000000"/>
          <w:left w:val="single" w:sz="4" w:space="4" w:color="000000"/>
          <w:bottom w:val="single" w:sz="4" w:space="1" w:color="000000"/>
          <w:right w:val="single" w:sz="4" w:space="4" w:color="000000"/>
        </w:pBdr>
        <w:rPr>
          <w:rFonts w:ascii="NeoSansPro-Bold" w:hAnsi="NeoSansPro-Bold" w:cs="NeoSansPro-Bold"/>
          <w:bCs/>
          <w:color w:val="333333"/>
          <w:sz w:val="20"/>
          <w:szCs w:val="20"/>
        </w:rPr>
      </w:pPr>
      <w:r>
        <w:rPr>
          <w:rFonts w:cs="NeoSansPro-Bold" w:ascii="NeoSansPro-Bold" w:hAnsi="NeoSansPro-Bold"/>
          <w:b/>
          <w:bCs/>
          <w:color w:val="333333"/>
          <w:sz w:val="20"/>
          <w:szCs w:val="20"/>
        </w:rPr>
        <w:t>Spoločníci:</w:t>
      </w:r>
      <w:r>
        <w:rPr>
          <w:rFonts w:cs="NeoSansPro-Bold" w:ascii="NeoSansPro-Bold" w:hAnsi="NeoSansPro-Bold"/>
          <w:bCs/>
          <w:color w:val="333333"/>
          <w:sz w:val="20"/>
          <w:szCs w:val="20"/>
        </w:rPr>
        <w:t xml:space="preserve">            Brigita Nagyová                   od 13.6.2018 do 8.10.2019</w:t>
      </w:r>
    </w:p>
    <w:p>
      <w:pPr>
        <w:pStyle w:val="Normal"/>
        <w:pBdr>
          <w:top w:val="single" w:sz="4" w:space="1" w:color="000000"/>
          <w:left w:val="single" w:sz="4" w:space="4" w:color="000000"/>
          <w:bottom w:val="single" w:sz="4" w:space="1" w:color="000000"/>
          <w:right w:val="single" w:sz="4" w:space="4" w:color="000000"/>
        </w:pBdr>
        <w:rPr>
          <w:rFonts w:ascii="NeoSansPro-Bold" w:hAnsi="NeoSansPro-Bold" w:cs="NeoSansPro-Bold"/>
          <w:bCs/>
          <w:color w:val="333333"/>
          <w:sz w:val="20"/>
          <w:szCs w:val="20"/>
        </w:rPr>
      </w:pPr>
      <w:r>
        <w:rPr>
          <w:rFonts w:cs="NeoSansPro-Bold" w:ascii="NeoSansPro-Bold" w:hAnsi="NeoSansPro-Bold"/>
          <w:bCs/>
          <w:color w:val="333333"/>
          <w:sz w:val="20"/>
          <w:szCs w:val="20"/>
        </w:rPr>
        <w:t xml:space="preserve">                               </w:t>
      </w:r>
      <w:r>
        <w:rPr>
          <w:rFonts w:cs="NeoSansPro-Bold" w:ascii="NeoSansPro-Bold" w:hAnsi="NeoSansPro-Bold"/>
          <w:bCs/>
          <w:color w:val="333333"/>
          <w:sz w:val="20"/>
          <w:szCs w:val="20"/>
        </w:rPr>
        <w:t>Konmex SE                          od 9.10.2019 do 18.10.2019</w:t>
      </w:r>
    </w:p>
    <w:p>
      <w:pPr>
        <w:pStyle w:val="Normal"/>
        <w:pBdr>
          <w:top w:val="single" w:sz="4" w:space="1" w:color="000000"/>
          <w:left w:val="single" w:sz="4" w:space="4" w:color="000000"/>
          <w:bottom w:val="single" w:sz="4" w:space="1" w:color="000000"/>
          <w:right w:val="single" w:sz="4" w:space="4" w:color="000000"/>
        </w:pBdr>
        <w:rPr>
          <w:rFonts w:ascii="NeoSansPro-Bold" w:hAnsi="NeoSansPro-Bold" w:cs="NeoSansPro-Bold"/>
          <w:bCs/>
          <w:color w:val="333333"/>
          <w:sz w:val="20"/>
          <w:szCs w:val="20"/>
        </w:rPr>
      </w:pPr>
      <w:r>
        <w:rPr>
          <w:rFonts w:cs="NeoSansPro-Bold" w:ascii="NeoSansPro-Bold" w:hAnsi="NeoSansPro-Bold"/>
          <w:bCs/>
          <w:color w:val="333333"/>
          <w:sz w:val="20"/>
          <w:szCs w:val="20"/>
        </w:rPr>
        <w:t>Nový spoločník:     Simona Konkoľová               od 19.10.2019</w:t>
      </w:r>
    </w:p>
    <w:p>
      <w:pPr>
        <w:pStyle w:val="Normal"/>
        <w:rPr>
          <w:rFonts w:ascii="NeoSansPro-Bold" w:hAnsi="NeoSansPro-Bold" w:cs="NeoSansPro-Bold"/>
          <w:bCs/>
          <w:color w:val="333333"/>
          <w:sz w:val="28"/>
          <w:szCs w:val="28"/>
        </w:rPr>
      </w:pPr>
      <w:r>
        <w:rPr>
          <w:rFonts w:cs="NeoSansPro-Bold" w:ascii="NeoSansPro-Bold" w:hAnsi="NeoSansPro-Bold"/>
          <w:bCs/>
          <w:color w:val="333333"/>
          <w:sz w:val="28"/>
          <w:szCs w:val="28"/>
        </w:rPr>
        <w:t>Výkonný manažment</w:t>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
          <w:b/>
          <w:bCs/>
          <w:color w:val="333333"/>
          <w:sz w:val="20"/>
          <w:szCs w:val="20"/>
        </w:rPr>
      </w:pPr>
      <w:r>
        <w:rPr>
          <w:rFonts w:cs="NeoSansPro-Bold" w:ascii="NeoSansPro-Bold" w:hAnsi="NeoSansPro-Bold"/>
          <w:b/>
          <w:bCs/>
          <w:color w:val="333333"/>
          <w:sz w:val="20"/>
          <w:szCs w:val="20"/>
        </w:rPr>
        <w:t xml:space="preserve">Štatutárnym orgánom spoločnosti je konateľ: </w:t>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pBdr>
          <w:top w:val="single" w:sz="4" w:space="1" w:color="000000"/>
          <w:left w:val="single" w:sz="4" w:space="4" w:color="000000"/>
          <w:bottom w:val="single" w:sz="4" w:space="1" w:color="000000"/>
          <w:right w:val="single" w:sz="4" w:space="4" w:color="000000"/>
        </w:pBdr>
        <w:jc w:val="both"/>
        <w:rPr>
          <w:rFonts w:ascii="NeoSansPro-Bold" w:hAnsi="NeoSansPro-Bold" w:cs="NeoSansPro-Bold"/>
          <w:b/>
          <w:b/>
          <w:bCs/>
          <w:color w:val="333333"/>
          <w:sz w:val="20"/>
          <w:szCs w:val="20"/>
        </w:rPr>
      </w:pPr>
      <w:r>
        <w:rPr>
          <w:rFonts w:cs="NeoSansPro-Bold" w:ascii="NeoSansPro-Bold" w:hAnsi="NeoSansPro-Bold"/>
          <w:b/>
          <w:bCs/>
          <w:color w:val="333333"/>
          <w:sz w:val="20"/>
          <w:szCs w:val="20"/>
        </w:rPr>
      </w:r>
    </w:p>
    <w:p>
      <w:pPr>
        <w:pStyle w:val="Normal"/>
        <w:pBdr>
          <w:top w:val="single" w:sz="4" w:space="1" w:color="000000"/>
          <w:left w:val="single" w:sz="4" w:space="4" w:color="000000"/>
          <w:bottom w:val="single" w:sz="4" w:space="1" w:color="000000"/>
          <w:right w:val="single" w:sz="4" w:space="4" w:color="000000"/>
        </w:pBdr>
        <w:jc w:val="both"/>
        <w:rPr>
          <w:rFonts w:ascii="NeoSansPro-Bold" w:hAnsi="NeoSansPro-Bold" w:cs="NeoSansPro-Bold"/>
          <w:b/>
          <w:b/>
          <w:bCs/>
          <w:color w:val="333333"/>
          <w:sz w:val="20"/>
          <w:szCs w:val="20"/>
          <w:u w:val="single"/>
        </w:rPr>
      </w:pPr>
      <w:r>
        <w:rPr>
          <w:rFonts w:cs="NeoSansPro-Bold" w:ascii="NeoSansPro-Bold" w:hAnsi="NeoSansPro-Bold"/>
          <w:b/>
          <w:bCs/>
          <w:color w:val="333333"/>
          <w:sz w:val="20"/>
          <w:szCs w:val="20"/>
          <w:u w:val="single"/>
        </w:rPr>
        <w:t>Doterajší konateľ</w:t>
      </w:r>
    </w:p>
    <w:p>
      <w:pPr>
        <w:pStyle w:val="Normal"/>
        <w:pBdr>
          <w:top w:val="single" w:sz="4" w:space="1" w:color="000000"/>
          <w:left w:val="single" w:sz="4" w:space="4" w:color="000000"/>
          <w:bottom w:val="single" w:sz="4" w:space="1" w:color="000000"/>
          <w:right w:val="single" w:sz="4" w:space="4" w:color="000000"/>
        </w:pBdr>
        <w:jc w:val="both"/>
        <w:rPr>
          <w:rFonts w:ascii="NeoSansPro-Bold" w:hAnsi="NeoSansPro-Bold" w:cs="NeoSansPro-Bold"/>
          <w:bCs/>
          <w:color w:val="333333"/>
          <w:sz w:val="20"/>
          <w:szCs w:val="20"/>
        </w:rPr>
      </w:pPr>
      <w:r>
        <w:rPr>
          <w:rFonts w:cs="NeoSansPro-Bold" w:ascii="NeoSansPro-Bold" w:hAnsi="NeoSansPro-Bold"/>
          <w:b/>
          <w:bCs/>
          <w:color w:val="333333"/>
          <w:sz w:val="20"/>
          <w:szCs w:val="20"/>
        </w:rPr>
        <w:t>Brigita Nagyová</w:t>
      </w:r>
      <w:r>
        <w:rPr>
          <w:rFonts w:cs="NeoSansPro-Bold" w:ascii="NeoSansPro-Bold" w:hAnsi="NeoSansPro-Bold"/>
          <w:bCs/>
          <w:color w:val="333333"/>
          <w:sz w:val="20"/>
          <w:szCs w:val="20"/>
        </w:rPr>
        <w:t xml:space="preserve"> – konateľka spoločnosti od 13.6.2018 do 18.10.2019</w:t>
      </w:r>
    </w:p>
    <w:p>
      <w:pPr>
        <w:pStyle w:val="Normal"/>
        <w:pBdr>
          <w:top w:val="single" w:sz="4" w:space="1" w:color="000000"/>
          <w:left w:val="single" w:sz="4" w:space="4" w:color="000000"/>
          <w:bottom w:val="single" w:sz="4" w:space="1" w:color="000000"/>
          <w:right w:val="single" w:sz="4" w:space="4" w:color="000000"/>
        </w:pBdr>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pBdr>
          <w:top w:val="single" w:sz="4" w:space="1" w:color="000000"/>
          <w:left w:val="single" w:sz="4" w:space="4" w:color="000000"/>
          <w:bottom w:val="single" w:sz="4" w:space="1" w:color="000000"/>
          <w:right w:val="single" w:sz="4" w:space="4" w:color="000000"/>
        </w:pBdr>
        <w:jc w:val="both"/>
        <w:rPr>
          <w:rFonts w:ascii="NeoSansPro-Bold" w:hAnsi="NeoSansPro-Bold" w:cs="NeoSansPro-Bold"/>
          <w:b/>
          <w:b/>
          <w:bCs/>
          <w:color w:val="333333"/>
          <w:sz w:val="20"/>
          <w:szCs w:val="20"/>
          <w:u w:val="single"/>
        </w:rPr>
      </w:pPr>
      <w:r>
        <w:rPr>
          <w:rFonts w:cs="NeoSansPro-Bold" w:ascii="NeoSansPro-Bold" w:hAnsi="NeoSansPro-Bold"/>
          <w:b/>
          <w:bCs/>
          <w:color w:val="333333"/>
          <w:sz w:val="20"/>
          <w:szCs w:val="20"/>
          <w:u w:val="single"/>
        </w:rPr>
        <w:t>Nový konateľ:</w:t>
      </w:r>
    </w:p>
    <w:p>
      <w:pPr>
        <w:pStyle w:val="Normal"/>
        <w:pBdr>
          <w:top w:val="single" w:sz="4" w:space="1" w:color="000000"/>
          <w:left w:val="single" w:sz="4" w:space="4" w:color="000000"/>
          <w:bottom w:val="single" w:sz="4" w:space="1" w:color="000000"/>
          <w:right w:val="single" w:sz="4" w:space="4" w:color="000000"/>
        </w:pBdr>
        <w:jc w:val="both"/>
        <w:rPr>
          <w:rFonts w:ascii="NeoSansPro-Bold" w:hAnsi="NeoSansPro-Bold" w:cs="NeoSansPro-Bold"/>
          <w:bCs/>
          <w:color w:val="333333"/>
          <w:sz w:val="20"/>
          <w:szCs w:val="20"/>
        </w:rPr>
      </w:pPr>
      <w:r>
        <w:rPr>
          <w:rFonts w:cs="NeoSansPro-Bold" w:ascii="NeoSansPro-Bold" w:hAnsi="NeoSansPro-Bold"/>
          <w:b/>
          <w:bCs/>
          <w:color w:val="333333"/>
          <w:sz w:val="20"/>
          <w:szCs w:val="20"/>
        </w:rPr>
        <w:t>Ing. Ján Kyseľ</w:t>
      </w:r>
      <w:r>
        <w:rPr>
          <w:rFonts w:cs="NeoSansPro-Bold" w:ascii="NeoSansPro-Bold" w:hAnsi="NeoSansPro-Bold"/>
          <w:bCs/>
          <w:color w:val="333333"/>
          <w:sz w:val="20"/>
          <w:szCs w:val="20"/>
        </w:rPr>
        <w:t xml:space="preserve">       konateľ spoločnosti od 19.10.2019</w:t>
      </w:r>
    </w:p>
    <w:p>
      <w:pPr>
        <w:pStyle w:val="Normal"/>
        <w:pBdr>
          <w:top w:val="single" w:sz="4" w:space="1" w:color="000000"/>
          <w:left w:val="single" w:sz="4" w:space="4" w:color="000000"/>
          <w:bottom w:val="single" w:sz="4" w:space="1" w:color="000000"/>
          <w:right w:val="single" w:sz="4" w:space="4" w:color="000000"/>
        </w:pBdr>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pBdr>
          <w:top w:val="single" w:sz="4" w:space="1" w:color="000000"/>
          <w:left w:val="single" w:sz="4" w:space="4" w:color="000000"/>
          <w:bottom w:val="single" w:sz="4" w:space="1" w:color="000000"/>
          <w:right w:val="single" w:sz="4" w:space="4" w:color="000000"/>
        </w:pBdr>
        <w:jc w:val="both"/>
        <w:rPr>
          <w:rFonts w:ascii="NeoSansPro-Bold" w:hAnsi="NeoSansPro-Bold" w:cs="NeoSansPro-Bold"/>
          <w:bCs/>
          <w:color w:val="333333"/>
          <w:sz w:val="20"/>
          <w:szCs w:val="20"/>
        </w:rPr>
      </w:pPr>
      <w:r>
        <w:rPr>
          <w:rFonts w:cs="NeoSansPro-Bold" w:ascii="NeoSansPro-Bold" w:hAnsi="NeoSansPro-Bold"/>
          <w:b/>
          <w:bCs/>
          <w:color w:val="333333"/>
          <w:sz w:val="20"/>
          <w:szCs w:val="20"/>
        </w:rPr>
        <w:t>MVDr. Pavol Konkoľ</w:t>
      </w:r>
      <w:r>
        <w:rPr>
          <w:rFonts w:cs="NeoSansPro-Bold" w:ascii="NeoSansPro-Bold" w:hAnsi="NeoSansPro-Bold"/>
          <w:bCs/>
          <w:color w:val="333333"/>
          <w:sz w:val="20"/>
          <w:szCs w:val="20"/>
        </w:rPr>
        <w:t xml:space="preserve"> – generálne plnomocenstvo - poverený zastupovaním spoločnosti vo všetkých veciach, aby v  jej mene vykonával všetky úkony v plnom rozsahu práv a povinností spoločnosti – od 23.10.2019</w:t>
      </w:r>
    </w:p>
    <w:p>
      <w:pPr>
        <w:pStyle w:val="Normal"/>
        <w:pBdr>
          <w:top w:val="single" w:sz="4" w:space="1" w:color="000000"/>
          <w:left w:val="single" w:sz="4" w:space="4" w:color="000000"/>
          <w:bottom w:val="single" w:sz="4" w:space="1" w:color="000000"/>
          <w:right w:val="single" w:sz="4" w:space="4" w:color="000000"/>
        </w:pBdr>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b/>
          <w:bCs/>
          <w:color w:val="000000"/>
          <w:sz w:val="20"/>
          <w:szCs w:val="20"/>
          <w:shd w:fill="FFFFFF" w:val="clear"/>
        </w:rPr>
        <w:t>V mene spoločnosti koná konateľ samostatne, a to tak, že k obchodnému menu spoločnosti pripojí svoj vlastnoručný podpis. </w:t>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8"/>
          <w:szCs w:val="28"/>
        </w:rPr>
      </w:pPr>
      <w:r>
        <w:rPr>
          <w:rFonts w:cs="NeoSansPro-Bold" w:ascii="NeoSansPro-Bold" w:hAnsi="NeoSansPro-Bold"/>
          <w:bCs/>
          <w:color w:val="333333"/>
          <w:sz w:val="28"/>
          <w:szCs w:val="28"/>
        </w:rPr>
        <w:t xml:space="preserve">Organizačná štruktúra </w:t>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Organizačná štruktúra spoločnosti je vertikálne rozčlenená na nižšie organizačné celky  - útvary. Vo vedení spoločnosti je  poverený riaditeľ, ktorý organizuje a riadi chod nižších organizačných celkov.</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 xml:space="preserve">Štruktúra spoločnosti sa v porovnaní s prechádzajúcim rokom významne nezmenila.                                         </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Vo vedení spoločnosti sú manažéri, ktorí dlhodobo pracujú v oblasti výroby, spracovania a predaja hydiny. Majú teoretické a hlavne praktické skúsenosti a znalosti, ktoré získali v minulosti pri rozširovaní a modernizácii výrobných a obchodných prevádzok.</w:t>
      </w:r>
    </w:p>
    <w:p>
      <w:pPr>
        <w:pStyle w:val="Normal"/>
        <w:spacing w:lineRule="auto" w:line="360"/>
        <w:rPr/>
      </w:pPr>
      <w:r>
        <w:rPr/>
      </w:r>
    </w:p>
    <w:p>
      <w:pPr>
        <w:pStyle w:val="Normal"/>
        <w:spacing w:lineRule="auto" w:line="360"/>
        <w:rPr/>
      </w:pPr>
      <w:r>
        <w:rPr/>
      </w:r>
    </w:p>
    <w:p>
      <w:pPr>
        <w:pStyle w:val="Normal"/>
        <w:spacing w:lineRule="auto" w:line="360"/>
        <w:rPr/>
      </w:pPr>
      <w:r>
        <w:rPr/>
      </w:r>
    </w:p>
    <w:p>
      <w:pPr>
        <w:pStyle w:val="Normal"/>
        <w:spacing w:lineRule="auto" w:line="360"/>
        <w:rPr/>
      </w:pPr>
      <w:r>
        <w:rPr/>
      </w:r>
    </w:p>
    <w:p>
      <w:pPr>
        <w:pStyle w:val="Normal"/>
        <w:spacing w:lineRule="auto" w:line="360"/>
        <w:rPr/>
      </w:pPr>
      <w:r>
        <w:rPr/>
      </w:r>
    </w:p>
    <w:p>
      <w:pPr>
        <w:pStyle w:val="Normal"/>
        <w:spacing w:lineRule="auto" w:line="360"/>
        <w:rPr/>
      </w:pPr>
      <w:r>
        <w:rPr/>
      </w:r>
    </w:p>
    <w:p>
      <w:pPr>
        <w:pStyle w:val="Normal"/>
        <w:spacing w:lineRule="auto" w:line="360"/>
        <w:rPr/>
      </w:pPr>
      <w:r>
        <w:rPr/>
      </w:r>
    </w:p>
    <w:p>
      <w:pPr>
        <w:pStyle w:val="Normal"/>
        <w:spacing w:lineRule="auto" w:line="360"/>
        <w:rPr/>
      </w:pPr>
      <w:r>
        <w:rPr/>
      </w:r>
    </w:p>
    <w:p>
      <w:pPr>
        <w:pStyle w:val="Normal"/>
        <w:spacing w:lineRule="auto" w:line="360"/>
        <w:rPr/>
      </w:pPr>
      <w:r>
        <w:rPr/>
      </w:r>
    </w:p>
    <w:p>
      <w:pPr>
        <w:pStyle w:val="Normal"/>
        <w:spacing w:lineRule="auto" w:line="360"/>
        <w:rPr/>
      </w:pPr>
      <w:r>
        <w:rPr/>
      </w:r>
    </w:p>
    <w:p>
      <w:pPr>
        <w:pStyle w:val="Normal"/>
        <w:spacing w:lineRule="auto" w:line="360"/>
        <w:rPr/>
      </w:pPr>
      <w:r>
        <w:rPr/>
      </w:r>
    </w:p>
    <w:p>
      <w:pPr>
        <w:pStyle w:val="Normal"/>
        <w:spacing w:lineRule="auto" w:line="360"/>
        <w:rPr/>
      </w:pPr>
      <w:r>
        <w:rPr/>
      </w:r>
    </w:p>
    <w:p>
      <w:pPr>
        <w:pStyle w:val="Normal"/>
        <w:spacing w:lineRule="auto" w:line="360"/>
        <w:rPr/>
      </w:pPr>
      <w:r>
        <w:rPr/>
      </w:r>
    </w:p>
    <w:p>
      <w:pPr>
        <w:pStyle w:val="Normal"/>
        <w:spacing w:lineRule="auto" w:line="360"/>
        <w:rPr/>
      </w:pPr>
      <w:r>
        <w:rPr/>
      </w:r>
    </w:p>
    <w:p>
      <w:pPr>
        <w:pStyle w:val="Normal"/>
        <w:spacing w:lineRule="auto" w:line="360"/>
        <w:rPr/>
      </w:pPr>
      <w:r>
        <w:rPr/>
      </w:r>
    </w:p>
    <w:p>
      <w:pPr>
        <w:pStyle w:val="Normal"/>
        <w:spacing w:lineRule="auto" w:line="360"/>
        <w:rPr/>
      </w:pPr>
      <w:r>
        <w:rPr/>
      </w:r>
    </w:p>
    <w:p>
      <w:pPr>
        <w:pStyle w:val="Normal"/>
        <w:rPr/>
      </w:pPr>
      <w:r>
        <w:rPr/>
        <w:t>Organizačná štruktúra závodu Košice</w:t>
      </w:r>
    </w:p>
    <w:p>
      <w:pPr>
        <w:pStyle w:val="Normal"/>
        <w:rPr/>
      </w:pPr>
      <w:r>
        <w:rPr/>
      </w:r>
    </w:p>
    <w:p>
      <w:pPr>
        <w:pStyle w:val="Normal"/>
        <w:rPr/>
      </w:pPr>
      <w:r>
        <w:rPr/>
      </w:r>
    </w:p>
    <w:p>
      <w:pPr>
        <w:pStyle w:val="Normal"/>
        <w:rPr/>
      </w:pPr>
      <w:r>
        <w:rPr/>
      </w:r>
    </w:p>
    <w:p>
      <w:pPr>
        <w:pStyle w:val="Normal"/>
        <w:rPr/>
      </w:pPr>
      <w:r>
        <w:rPr/>
        <mc:AlternateContent>
          <mc:Choice Requires="wps">
            <w:drawing>
              <wp:inline distT="0" distB="0" distL="0" distR="0" wp14:anchorId="0FF130B9">
                <wp:extent cx="8001000" cy="6006465"/>
                <wp:effectExtent l="6668" t="0" r="8572" b="8573"/>
                <wp:docPr id="1" name="Útvar1"/>
                <a:graphic xmlns:a="http://schemas.openxmlformats.org/drawingml/2006/main">
                  <a:graphicData uri="http://schemas.openxmlformats.org/drawingml/2006/picture">
                    <pic:pic xmlns:pic="http://schemas.openxmlformats.org/drawingml/2006/picture">
                      <pic:nvPicPr>
                        <pic:cNvPr id="0" name="Útvar1" descr=""/>
                        <pic:cNvPicPr/>
                      </pic:nvPicPr>
                      <pic:blipFill>
                        <a:blip r:embed="rId2"/>
                        <a:stretch/>
                      </pic:blipFill>
                      <pic:spPr>
                        <a:xfrm rot="16200000">
                          <a:off x="0" y="0"/>
                          <a:ext cx="8000280" cy="6005880"/>
                        </a:xfrm>
                        <a:prstGeom prst="rect">
                          <a:avLst/>
                        </a:prstGeom>
                        <a:ln w="0">
                          <a:noFill/>
                        </a:ln>
                      </pic:spPr>
                    </pic:pic>
                  </a:graphicData>
                </a:graphic>
              </wp:inline>
            </w:drawing>
          </mc:Choice>
          <mc:Fallback>
            <w:pict>
              <v:shapetype id="shapetype_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ID="Útvar1" stroked="f" style="position:absolute;margin-left:-78.5pt;margin-top:-551.5pt;width:629.9pt;height:472.85pt;rotation:270;mso-position-vertical:top" wp14:anchorId="0FF130B9" type="shapetype_75">
                <v:imagedata r:id="rId2" o:detectmouseclick="t"/>
                <w10:wrap type="none"/>
                <v:stroke color="#3465a4" joinstyle="round" endcap="flat"/>
              </v:shape>
            </w:pict>
          </mc:Fallback>
        </mc:AlternateContent>
      </w:r>
    </w:p>
    <w:p>
      <w:pPr>
        <w:pStyle w:val="Normal"/>
        <w:rPr/>
      </w:pPr>
      <w:r>
        <w:rPr/>
      </w:r>
    </w:p>
    <w:p>
      <w:pPr>
        <w:pStyle w:val="ListParagraph"/>
        <w:numPr>
          <w:ilvl w:val="0"/>
          <w:numId w:val="2"/>
        </w:numPr>
        <w:ind w:left="993" w:hanging="567"/>
        <w:rPr>
          <w:b/>
          <w:b/>
          <w:sz w:val="28"/>
          <w:szCs w:val="28"/>
        </w:rPr>
      </w:pPr>
      <w:r>
        <w:rPr>
          <w:b/>
          <w:sz w:val="28"/>
          <w:szCs w:val="28"/>
        </w:rPr>
        <w:t>SPRÁVA O VÝSLEDKOCH PODNIKATEĽSKEJ ČINNOSTI</w:t>
      </w:r>
    </w:p>
    <w:p>
      <w:pPr>
        <w:pStyle w:val="ListParagraph"/>
        <w:ind w:left="993" w:hanging="0"/>
        <w:rPr>
          <w:b/>
          <w:b/>
          <w:sz w:val="28"/>
          <w:szCs w:val="28"/>
        </w:rPr>
      </w:pPr>
      <w:r>
        <w:rPr>
          <w:b/>
          <w:sz w:val="28"/>
          <w:szCs w:val="28"/>
        </w:rPr>
      </w:r>
    </w:p>
    <w:p>
      <w:pPr>
        <w:pStyle w:val="ListParagraph"/>
        <w:numPr>
          <w:ilvl w:val="1"/>
          <w:numId w:val="2"/>
        </w:numPr>
        <w:rPr>
          <w:rFonts w:ascii="NeoSansPro-Bold" w:hAnsi="NeoSansPro-Bold" w:cs="NeoSansPro-Bold"/>
          <w:bCs/>
          <w:color w:val="333333"/>
          <w:sz w:val="28"/>
          <w:szCs w:val="28"/>
        </w:rPr>
      </w:pPr>
      <w:r>
        <w:rPr>
          <w:rFonts w:cs="NeoSansPro-Bold" w:ascii="NeoSansPro-Bold" w:hAnsi="NeoSansPro-Bold"/>
          <w:bCs/>
          <w:color w:val="333333"/>
          <w:sz w:val="28"/>
          <w:szCs w:val="28"/>
        </w:rPr>
        <w:t>Štruktúra výkazu ziskov a strát</w:t>
      </w:r>
    </w:p>
    <w:p>
      <w:pPr>
        <w:pStyle w:val="Normal"/>
        <w:rPr/>
      </w:pPr>
      <w:r>
        <w:rPr/>
      </w:r>
      <w:bookmarkStart w:id="0" w:name="_MON_1559882215"/>
      <w:bookmarkStart w:id="1" w:name="_MON_1559882215"/>
      <w:bookmarkEnd w:id="1"/>
    </w:p>
    <w:p>
      <w:pPr>
        <w:pStyle w:val="Normal"/>
        <w:ind w:left="-142" w:firstLine="284"/>
        <w:rPr/>
      </w:pPr>
      <w:r>
        <w:rPr/>
        <w:object w:dxaOrig="10240" w:dyaOrig="8192">
          <v:shape id="ole_rId3" style="width:483.9pt;height:398.5pt" o:ole="">
            <v:imagedata r:id="rId4" o:title=""/>
          </v:shape>
          <o:OLEObject Type="Embed" ProgID="Excel.Sheet.12" ShapeID="ole_rId3" DrawAspect="Content" ObjectID="_763830503" r:id="rId3"/>
        </w:object>
      </w:r>
    </w:p>
    <w:p>
      <w:pPr>
        <w:pStyle w:val="Normal"/>
        <w:ind w:left="-142" w:firstLine="284"/>
        <w:rPr/>
      </w:pPr>
      <w:r>
        <w:rPr/>
      </w:r>
    </w:p>
    <w:p>
      <w:pPr>
        <w:pStyle w:val="Normal"/>
        <w:tabs>
          <w:tab w:val="clear" w:pos="708"/>
          <w:tab w:val="left" w:pos="5245" w:leader="none"/>
        </w:tabs>
        <w:ind w:left="142" w:hanging="0"/>
        <w:rPr/>
      </w:pPr>
      <w:r>
        <w:rPr/>
        <w:drawing>
          <wp:anchor behindDoc="0" distT="0" distB="0" distL="0" distR="0" simplePos="0" locked="0" layoutInCell="0" allowOverlap="1" relativeHeight="7">
            <wp:simplePos x="0" y="0"/>
            <wp:positionH relativeFrom="margin">
              <wp:posOffset>147955</wp:posOffset>
            </wp:positionH>
            <wp:positionV relativeFrom="paragraph">
              <wp:posOffset>172720</wp:posOffset>
            </wp:positionV>
            <wp:extent cx="2751455" cy="2479675"/>
            <wp:effectExtent l="0" t="0" r="0" b="0"/>
            <wp:wrapSquare wrapText="bothSides"/>
            <wp:docPr id="2"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anchor>
        </w:drawing>
        <w:drawing>
          <wp:inline distT="0" distB="0" distL="0" distR="0">
            <wp:extent cx="2769235" cy="2458720"/>
            <wp:effectExtent l="0" t="0" r="0" b="0"/>
            <wp:docPr id="3"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pStyle w:val="Normal"/>
        <w:spacing w:lineRule="auto" w:line="360"/>
        <w:ind w:firstLine="708"/>
        <w:jc w:val="both"/>
        <w:rPr>
          <w:sz w:val="20"/>
          <w:szCs w:val="20"/>
        </w:rPr>
      </w:pPr>
      <w:r>
        <w:rPr>
          <w:sz w:val="20"/>
          <w:szCs w:val="20"/>
        </w:rPr>
      </w:r>
    </w:p>
    <w:p>
      <w:pPr>
        <w:pStyle w:val="Normal"/>
        <w:spacing w:lineRule="auto" w:line="360"/>
        <w:ind w:firstLine="708"/>
        <w:jc w:val="both"/>
        <w:rPr>
          <w:sz w:val="20"/>
          <w:szCs w:val="20"/>
        </w:rPr>
      </w:pPr>
      <w:r>
        <w:rPr>
          <w:sz w:val="20"/>
          <w:szCs w:val="20"/>
        </w:rPr>
        <w:t>Spoločnosť HYDINA Slovensko s.r.o. vyprodukovala v roku 2019 účtovnú stratu vo výške                         – 2 874 390 € . V roku 2018 spoločnosť dosiahla zisk po zdanení vo výške 283 889 €. Tento výrazný nepriaznivý vývoj v tomto roku bol spôsobený zaúčtovaním rezervy na budúce dorúbenie dane z pridanej hodnoty z daňových kontrol minulých rokov z dôvodu opatrnosti, čo výrazne ovplyvnilo výsledok hospodárenia.</w:t>
      </w:r>
    </w:p>
    <w:p>
      <w:pPr>
        <w:pStyle w:val="Normal"/>
        <w:spacing w:lineRule="auto" w:line="360"/>
        <w:jc w:val="both"/>
        <w:rPr>
          <w:sz w:val="20"/>
          <w:szCs w:val="20"/>
        </w:rPr>
      </w:pPr>
      <w:r>
        <w:rPr>
          <w:sz w:val="20"/>
          <w:szCs w:val="20"/>
        </w:rPr>
      </w:r>
    </w:p>
    <w:p>
      <w:pPr>
        <w:pStyle w:val="Normal"/>
        <w:spacing w:lineRule="auto" w:line="360"/>
        <w:jc w:val="both"/>
        <w:rPr>
          <w:sz w:val="20"/>
          <w:szCs w:val="20"/>
        </w:rPr>
      </w:pPr>
      <w:r>
        <w:rPr>
          <w:sz w:val="20"/>
          <w:szCs w:val="20"/>
        </w:rPr>
        <w:tab/>
        <w:t>Spoločnosť v roku 2019 zaznamenala významný pokles nákladov aj výnosov v porovnaní s prechádzajúcim rokom. Tento stav bol spôsobený rozhodnutím spoločnosti ukončiť výrobu vlastných výrobkov a zamerať svoju činnosť najmä na poskytovanie služieb, o čom vypovedá aj zmena v druhovom členení nákladov a výnosov. Náklady na hospodársku činnosť  za rok 2019 boli vo výške 45 405 472,- €,  za rok 2018 boli vo výške 67 174  607,- €, čo predstavuje zníženie oproti roku 2018 o 32,41 %. Najväčšie zníženie nákladov sa prejavilo v nákladoch vynaložených na obstaranie tovaru, ktoré bolo až o 74,17 % nižšie v porovnaní z prechádzajúcim rokom. Znížili sa aj náklady na služby, kde došlo v tomto roku o 34,71 % zníženie.  Znížili sa aj náklady na spotrebu materiálu a energie o 32,06 %. Aj v tomto roku došlo k zvýšeniu osobných nákladov o 1 595 748 €, čo je 39,14%. Ostatné prevádzkové náklady sa v porovnaní s rokom 2018 zvýšili o 2 252 915 €, čo predstavuje medziročný nárast o 32,66 %.</w:t>
      </w:r>
    </w:p>
    <w:p>
      <w:pPr>
        <w:pStyle w:val="Normal"/>
        <w:spacing w:lineRule="auto" w:line="360"/>
        <w:jc w:val="both"/>
        <w:rPr>
          <w:sz w:val="20"/>
          <w:szCs w:val="20"/>
        </w:rPr>
      </w:pPr>
      <w:r>
        <w:rPr>
          <w:sz w:val="20"/>
          <w:szCs w:val="20"/>
        </w:rPr>
      </w:r>
    </w:p>
    <w:p>
      <w:pPr>
        <w:pStyle w:val="Normal"/>
        <w:spacing w:lineRule="auto" w:line="360"/>
        <w:jc w:val="both"/>
        <w:rPr>
          <w:sz w:val="20"/>
          <w:szCs w:val="20"/>
        </w:rPr>
      </w:pPr>
      <w:r>
        <w:rPr>
          <w:sz w:val="20"/>
          <w:szCs w:val="20"/>
        </w:rPr>
        <w:tab/>
        <w:t>Spoločnosť dosiahla v roku 2019 výnosy z hospodárskej činnosti vo výške 42 785 524,- €, čo predstavuje pokles tržieb oproti minulému roku o 37,43 %, t. j. vo finančnom vyjadrení 25 590 208,- €. Tržby z predaja tovaru sa medziročne znížili o 75,37 %, taktiež došlo k poklesu tržby z predaja vlastných výrobkov, ktorý predstavuje zníženie o 19 490 697,-  €, čo činí 46,76 %. Došlo však k výraznému nárastu tržieb z predaja služieb a to medziročne o 6 491 029,- €, čo je nárast o 132,21 %. Zvýšlili sa aj ostatné prevádzkové výnosy, a to vo výške 74,52 %. Tento rozdiel bol spôsobený zrealizovanými postúpeniami roka 2019.</w:t>
      </w:r>
    </w:p>
    <w:p>
      <w:pPr>
        <w:pStyle w:val="Normal"/>
        <w:spacing w:lineRule="auto" w:line="360"/>
        <w:jc w:val="both"/>
        <w:rPr>
          <w:sz w:val="20"/>
          <w:szCs w:val="20"/>
        </w:rPr>
      </w:pPr>
      <w:r>
        <w:rPr>
          <w:sz w:val="20"/>
          <w:szCs w:val="20"/>
        </w:rPr>
      </w:r>
    </w:p>
    <w:p>
      <w:pPr>
        <w:pStyle w:val="Normal"/>
        <w:spacing w:lineRule="auto" w:line="360"/>
        <w:jc w:val="both"/>
        <w:rPr>
          <w:sz w:val="20"/>
          <w:szCs w:val="20"/>
        </w:rPr>
      </w:pPr>
      <w:r>
        <w:rPr>
          <w:sz w:val="20"/>
          <w:szCs w:val="20"/>
        </w:rPr>
        <w:t xml:space="preserve">            </w:t>
      </w:r>
      <w:r>
        <w:rPr>
          <w:sz w:val="20"/>
          <w:szCs w:val="20"/>
        </w:rPr>
        <w:t>Pridaná hodnota sa v tomto roku znížila, a to o 2 392 186,- €. Predstavuje to zvýšenie o 26,79 %.</w:t>
      </w:r>
    </w:p>
    <w:p>
      <w:pPr>
        <w:pStyle w:val="Normal"/>
        <w:spacing w:lineRule="auto" w:line="360"/>
        <w:rPr>
          <w:rFonts w:ascii="NeoSansPro-Bold" w:hAnsi="NeoSansPro-Bold" w:cs="NeoSansPro-Bold"/>
          <w:bCs/>
          <w:color w:val="333333"/>
          <w:sz w:val="32"/>
          <w:szCs w:val="32"/>
        </w:rPr>
      </w:pPr>
      <w:r>
        <w:rPr>
          <w:sz w:val="20"/>
          <w:szCs w:val="20"/>
        </w:rPr>
        <w:t xml:space="preserve">           </w:t>
      </w:r>
      <w:r>
        <w:rPr>
          <w:sz w:val="20"/>
          <w:szCs w:val="20"/>
        </w:rPr>
        <w:t>Čistý   obrat  spoločnosti  v   roku 2019  bol   38 025 588,- €,  čo  je  oproti roku 2 018  zníženie                       o 26 571 892,- €, a teda o 41,13 %.</w:t>
      </w:r>
      <w:r>
        <w:rPr/>
        <w:t xml:space="preserve"> </w:t>
        <w:br/>
      </w:r>
    </w:p>
    <w:p>
      <w:pPr>
        <w:pStyle w:val="Normal"/>
        <w:spacing w:lineRule="auto" w:line="360"/>
        <w:rPr>
          <w:rFonts w:ascii="NeoSansPro-Bold" w:hAnsi="NeoSansPro-Bold" w:cs="NeoSansPro-Bold"/>
          <w:bCs/>
          <w:color w:val="333333"/>
          <w:sz w:val="32"/>
          <w:szCs w:val="32"/>
        </w:rPr>
      </w:pPr>
      <w:r>
        <w:rPr>
          <w:rFonts w:cs="NeoSansPro-Bold" w:ascii="NeoSansPro-Bold" w:hAnsi="NeoSansPro-Bold"/>
          <w:bCs/>
          <w:color w:val="333333"/>
          <w:sz w:val="32"/>
          <w:szCs w:val="32"/>
        </w:rPr>
        <w:t>2.2. Štruktúra aktív a pasív</w:t>
      </w:r>
    </w:p>
    <w:p>
      <w:pPr>
        <w:pStyle w:val="Normal"/>
        <w:spacing w:lineRule="auto" w:line="360"/>
        <w:rPr>
          <w:rFonts w:ascii="NeoSansPro-Bold" w:hAnsi="NeoSansPro-Bold" w:cs="NeoSansPro-Bold"/>
          <w:bCs/>
          <w:color w:val="333333"/>
          <w:sz w:val="32"/>
          <w:szCs w:val="32"/>
        </w:rPr>
      </w:pPr>
      <w:r>
        <w:rPr>
          <w:rFonts w:cs="NeoSansPro-Bold" w:ascii="NeoSansPro-Bold" w:hAnsi="NeoSansPro-Bold"/>
          <w:bCs/>
          <w:color w:val="333333"/>
          <w:sz w:val="32"/>
          <w:szCs w:val="32"/>
        </w:rPr>
      </w:r>
    </w:p>
    <w:p>
      <w:pPr>
        <w:pStyle w:val="Normal"/>
        <w:spacing w:lineRule="auto" w:line="360"/>
        <w:jc w:val="both"/>
        <w:rPr>
          <w:sz w:val="20"/>
          <w:szCs w:val="20"/>
        </w:rPr>
      </w:pPr>
      <w:r>
        <w:rPr>
          <w:sz w:val="20"/>
          <w:szCs w:val="20"/>
        </w:rPr>
        <w:tab/>
        <w:t>Dlhodobý majetok spoločnosti sa v roku 2019 oproti minulému roku znížil o 4 941 260,- €, čo predstavuje zníženie o 55,56 %.</w:t>
      </w:r>
    </w:p>
    <w:p>
      <w:pPr>
        <w:pStyle w:val="Normal"/>
        <w:spacing w:lineRule="auto" w:line="360"/>
        <w:jc w:val="both"/>
        <w:rPr>
          <w:sz w:val="20"/>
          <w:szCs w:val="20"/>
        </w:rPr>
      </w:pPr>
      <w:r>
        <w:rPr>
          <w:sz w:val="20"/>
          <w:szCs w:val="20"/>
        </w:rPr>
        <w:t xml:space="preserve">             </w:t>
      </w:r>
      <w:r>
        <w:rPr>
          <w:sz w:val="20"/>
          <w:szCs w:val="20"/>
        </w:rPr>
        <w:t xml:space="preserve">Obežný majetok sa v porovnaní s rokom 2018 sa udržal takmer na rovnakej úrovni, predstavuje minimálne zvýšenie o 0,39 %, čo je 54 224 €. </w:t>
      </w:r>
    </w:p>
    <w:p>
      <w:pPr>
        <w:pStyle w:val="Normal"/>
        <w:spacing w:lineRule="auto" w:line="360"/>
        <w:ind w:firstLine="708"/>
        <w:jc w:val="both"/>
        <w:rPr>
          <w:sz w:val="20"/>
          <w:szCs w:val="20"/>
        </w:rPr>
      </w:pPr>
      <w:r>
        <w:rPr>
          <w:sz w:val="20"/>
          <w:szCs w:val="20"/>
        </w:rPr>
        <w:t xml:space="preserve">Zásoby spoločnosti sa výrazne znížili a to o 1 112 905,- €, čo predstavuje zmenu o 87,92 %. Naopak, krátkodobé pohľadávky sa v porovnaní s rokom 2018 zvýšili o 24,19 %.  </w:t>
      </w:r>
    </w:p>
    <w:p>
      <w:pPr>
        <w:pStyle w:val="Normal"/>
        <w:spacing w:lineRule="auto" w:line="360"/>
        <w:jc w:val="both"/>
        <w:rPr>
          <w:sz w:val="20"/>
          <w:szCs w:val="20"/>
        </w:rPr>
      </w:pPr>
      <w:r>
        <w:rPr>
          <w:sz w:val="20"/>
          <w:szCs w:val="20"/>
        </w:rPr>
        <w:t xml:space="preserve">             </w:t>
      </w:r>
      <w:r>
        <w:rPr>
          <w:sz w:val="20"/>
          <w:szCs w:val="20"/>
        </w:rPr>
        <w:t>Finančné účty zaznamenali zníženie o 1 419 881 €, čo je 77,36 %.</w:t>
      </w:r>
    </w:p>
    <w:p>
      <w:pPr>
        <w:pStyle w:val="Normal"/>
        <w:spacing w:lineRule="auto" w:line="360"/>
        <w:ind w:firstLine="708"/>
        <w:jc w:val="both"/>
        <w:rPr>
          <w:sz w:val="20"/>
          <w:szCs w:val="20"/>
        </w:rPr>
      </w:pPr>
      <w:r>
        <w:rPr>
          <w:sz w:val="20"/>
          <w:szCs w:val="20"/>
        </w:rPr>
        <w:t>Hodnota vlastného imania spoločnosti je v roku 2019 vo výške – 2 001 012,- €, čo predstavuje pokles v porovnaní s rokom 2018 o 2 874 390,- €. Pokles je vyčíslený vo výške 329,11 % a je spôsobený najmä  zaúčtovaním rezervy na dorubenie DPH.</w:t>
      </w:r>
    </w:p>
    <w:p>
      <w:pPr>
        <w:pStyle w:val="Normal"/>
        <w:spacing w:lineRule="auto" w:line="360"/>
        <w:jc w:val="both"/>
        <w:rPr>
          <w:sz w:val="20"/>
          <w:szCs w:val="20"/>
        </w:rPr>
      </w:pPr>
      <w:r>
        <w:rPr>
          <w:sz w:val="20"/>
          <w:szCs w:val="20"/>
        </w:rPr>
        <w:tab/>
        <w:t xml:space="preserve">Celkové záväzky spoločnosti sa oproti roku 2018 znížili  o 2 049 864,- €, čo predstavuje zníženie                   o 9,26 %. </w:t>
      </w:r>
    </w:p>
    <w:p>
      <w:pPr>
        <w:pStyle w:val="Normal"/>
        <w:spacing w:lineRule="auto" w:line="360"/>
        <w:ind w:firstLine="708"/>
        <w:jc w:val="both"/>
        <w:rPr>
          <w:sz w:val="20"/>
          <w:szCs w:val="20"/>
        </w:rPr>
      </w:pPr>
      <w:r>
        <w:rPr>
          <w:sz w:val="20"/>
          <w:szCs w:val="20"/>
        </w:rPr>
        <w:t>Aj v týchto ukazovateľoch sa prejavil vplyv ukončenia výroby vlastných výrobkov, ktorý spôsobil výrazné zníženie zásob spoločnosti o 1 112 905,- €. Pokles investícií vo výške 4 941 260,- € mal tiež svoj podiel na nepriaznivom hospodárskom výsledku spoločnosti.. Zaúčtovaním rezervy na dodatočné dorúbenie DPH vo výške 1 487 763,- € a dodatočným dorúbením DPH  z ukončených daňových kontrol minulých rokov vo výške 1 980 536,- €, spoločnosť vyprodukovala stratu vo výške – 2 874 390,- €. Týmto činom sa spoločnosť dostáva do situácie, ktorú bude musieť v najbližšom období vyriešiť vzhľadom na mínusové vlastné imanie vo výške – 2 001 012,- €.</w:t>
      </w:r>
    </w:p>
    <w:p>
      <w:pPr>
        <w:pStyle w:val="Normal"/>
        <w:spacing w:lineRule="auto" w:line="360"/>
        <w:jc w:val="both"/>
        <w:rPr>
          <w:sz w:val="20"/>
          <w:szCs w:val="20"/>
        </w:rPr>
      </w:pPr>
      <w:r>
        <w:rPr>
          <w:sz w:val="20"/>
          <w:szCs w:val="20"/>
        </w:rPr>
      </w:r>
      <w:bookmarkStart w:id="2" w:name="_MON_1559886693"/>
      <w:bookmarkStart w:id="3" w:name="_MON_1559886693"/>
      <w:bookmarkEnd w:id="3"/>
    </w:p>
    <w:p>
      <w:pPr>
        <w:pStyle w:val="Normal"/>
        <w:rPr>
          <w:sz w:val="20"/>
          <w:szCs w:val="20"/>
        </w:rPr>
      </w:pPr>
      <w:r>
        <w:rPr/>
        <w:object w:dxaOrig="8960" w:dyaOrig="4864">
          <v:shape id="ole_rId7" style="width:447.05pt;height:247.8pt" o:ole="">
            <v:imagedata r:id="rId8" o:title=""/>
          </v:shape>
          <o:OLEObject Type="Embed" ProgID="Excel.Sheet.12" ShapeID="ole_rId7" DrawAspect="Content" ObjectID="_1262751367" r:id="rId7"/>
        </w:object>
      </w:r>
    </w:p>
    <w:p>
      <w:pPr>
        <w:pStyle w:val="ListParagraph"/>
        <w:ind w:left="1080" w:hanging="0"/>
        <w:rPr/>
      </w:pPr>
      <w:r>
        <w:rPr/>
      </w:r>
    </w:p>
    <w:p>
      <w:pPr>
        <w:pStyle w:val="ListParagraph"/>
        <w:ind w:left="1080" w:hanging="0"/>
        <w:rPr/>
      </w:pPr>
      <w:r>
        <w:rPr/>
      </w:r>
      <w:bookmarkStart w:id="4" w:name="_MON_1559886923"/>
      <w:bookmarkStart w:id="5" w:name="_MON_1559886923"/>
      <w:bookmarkEnd w:id="5"/>
    </w:p>
    <w:p>
      <w:pPr>
        <w:pStyle w:val="ListParagraph"/>
        <w:ind w:left="284" w:hanging="142"/>
        <w:rPr/>
      </w:pPr>
      <w:r>
        <w:rPr/>
        <w:object w:dxaOrig="8960" w:dyaOrig="5376">
          <v:shape id="ole_rId9" style="width:442.05pt;height:261.2pt" o:ole="">
            <v:imagedata r:id="rId10" o:title=""/>
          </v:shape>
          <o:OLEObject Type="Embed" ProgID="Excel.Sheet.12" ShapeID="ole_rId9" DrawAspect="Content" ObjectID="_2026184521" r:id="rId9"/>
        </w:object>
      </w:r>
    </w:p>
    <w:p>
      <w:pPr>
        <w:pStyle w:val="ListParagraph"/>
        <w:ind w:left="284" w:hanging="142"/>
        <w:rPr/>
      </w:pPr>
      <w:r>
        <w:rPr/>
      </w:r>
    </w:p>
    <w:p>
      <w:pPr>
        <w:pStyle w:val="ListParagraph"/>
        <w:ind w:left="284" w:hanging="142"/>
        <w:rPr/>
      </w:pPr>
      <w:r>
        <w:rPr/>
      </w:r>
    </w:p>
    <w:p>
      <w:pPr>
        <w:pStyle w:val="ListParagraph"/>
        <w:ind w:left="284" w:right="-284" w:hanging="426"/>
        <w:rPr/>
      </w:pPr>
      <w:r>
        <mc:AlternateContent>
          <mc:Choice Requires="wps">
            <w:drawing>
              <wp:anchor behindDoc="0" distT="0" distB="0" distL="0" distR="0" simplePos="0" locked="0" layoutInCell="0" allowOverlap="1" relativeHeight="2" wp14:anchorId="60EB9868">
                <wp:simplePos x="0" y="0"/>
                <wp:positionH relativeFrom="column">
                  <wp:posOffset>3154045</wp:posOffset>
                </wp:positionH>
                <wp:positionV relativeFrom="paragraph">
                  <wp:posOffset>165100</wp:posOffset>
                </wp:positionV>
                <wp:extent cx="2710180" cy="398145"/>
                <wp:effectExtent l="0" t="0" r="0" b="0"/>
                <wp:wrapNone/>
                <wp:docPr id="4" name="Blok textu 2"/>
                <a:graphic xmlns:a="http://schemas.openxmlformats.org/drawingml/2006/main">
                  <a:graphicData uri="http://schemas.microsoft.com/office/word/2010/wordprocessingShape">
                    <wps:wsp>
                      <wps:cNvSpPr/>
                      <wps:spPr>
                        <a:xfrm>
                          <a:off x="0" y="0"/>
                          <a:ext cx="2709720" cy="397440"/>
                        </a:xfrm>
                        <a:prstGeom prst="rect">
                          <a:avLst/>
                        </a:prstGeom>
                        <a:noFill/>
                        <a:ln w="9525">
                          <a:noFill/>
                        </a:ln>
                      </wps:spPr>
                      <wps:style>
                        <a:lnRef idx="0"/>
                        <a:fillRef idx="0"/>
                        <a:effectRef idx="0"/>
                        <a:fontRef idx="minor"/>
                      </wps:style>
                      <wps:txbx>
                        <w:txbxContent>
                          <w:p>
                            <w:pPr>
                              <w:pStyle w:val="Obsahrmca"/>
                              <w:jc w:val="center"/>
                              <w:rPr>
                                <w:b/>
                                <w:b/>
                                <w:sz w:val="20"/>
                                <w:szCs w:val="20"/>
                              </w:rPr>
                            </w:pPr>
                            <w:r>
                              <w:rPr>
                                <w:b/>
                                <w:color w:val="000000"/>
                                <w:sz w:val="20"/>
                                <w:szCs w:val="20"/>
                              </w:rPr>
                              <w:t>Vývoj dlhodobého a obežného majetku</w:t>
                            </w:r>
                          </w:p>
                        </w:txbxContent>
                      </wps:txbx>
                      <wps:bodyPr>
                        <a:noAutofit/>
                      </wps:bodyPr>
                    </wps:wsp>
                  </a:graphicData>
                </a:graphic>
              </wp:anchor>
            </w:drawing>
          </mc:Choice>
          <mc:Fallback>
            <w:pict>
              <v:rect id="shape_0" ID="Blok textu 2" stroked="f" style="position:absolute;margin-left:248.35pt;margin-top:13pt;width:213.3pt;height:31.25pt" wp14:anchorId="60EB9868">
                <w10:wrap type="square"/>
                <v:fill o:detectmouseclick="t" on="false"/>
                <v:stroke color="#3465a4" weight="9360" joinstyle="round" endcap="flat"/>
                <v:textbox>
                  <w:txbxContent>
                    <w:p>
                      <w:pPr>
                        <w:pStyle w:val="Obsahrmca"/>
                        <w:jc w:val="center"/>
                        <w:rPr>
                          <w:b/>
                          <w:b/>
                          <w:sz w:val="20"/>
                          <w:szCs w:val="20"/>
                        </w:rPr>
                      </w:pPr>
                      <w:r>
                        <w:rPr>
                          <w:b/>
                          <w:color w:val="000000"/>
                          <w:sz w:val="20"/>
                          <w:szCs w:val="20"/>
                        </w:rPr>
                        <w:t>Vývoj dlhodobého a obežného majetku</w:t>
                      </w:r>
                    </w:p>
                  </w:txbxContent>
                </v:textbox>
              </v:rect>
            </w:pict>
          </mc:Fallback>
        </mc:AlternateContent>
        <mc:AlternateContent>
          <mc:Choice Requires="wps">
            <w:drawing>
              <wp:anchor behindDoc="0" distT="0" distB="0" distL="0" distR="0" simplePos="0" locked="0" layoutInCell="0" allowOverlap="1" relativeHeight="3" wp14:anchorId="56389A49">
                <wp:simplePos x="0" y="0"/>
                <wp:positionH relativeFrom="column">
                  <wp:posOffset>160655</wp:posOffset>
                </wp:positionH>
                <wp:positionV relativeFrom="paragraph">
                  <wp:posOffset>97155</wp:posOffset>
                </wp:positionV>
                <wp:extent cx="2882265" cy="346710"/>
                <wp:effectExtent l="0" t="0" r="0" b="0"/>
                <wp:wrapNone/>
                <wp:docPr id="6" name="Blok textu 2"/>
                <a:graphic xmlns:a="http://schemas.openxmlformats.org/drawingml/2006/main">
                  <a:graphicData uri="http://schemas.microsoft.com/office/word/2010/wordprocessingShape">
                    <wps:wsp>
                      <wps:cNvSpPr/>
                      <wps:spPr>
                        <a:xfrm>
                          <a:off x="0" y="0"/>
                          <a:ext cx="2881800" cy="345960"/>
                        </a:xfrm>
                        <a:prstGeom prst="rect">
                          <a:avLst/>
                        </a:prstGeom>
                        <a:noFill/>
                        <a:ln w="9525">
                          <a:noFill/>
                        </a:ln>
                      </wps:spPr>
                      <wps:style>
                        <a:lnRef idx="0"/>
                        <a:fillRef idx="0"/>
                        <a:effectRef idx="0"/>
                        <a:fontRef idx="minor"/>
                      </wps:style>
                      <wps:txbx>
                        <w:txbxContent>
                          <w:p>
                            <w:pPr>
                              <w:pStyle w:val="Obsahrmca"/>
                              <w:rPr>
                                <w:b/>
                                <w:b/>
                                <w:sz w:val="20"/>
                                <w:szCs w:val="20"/>
                              </w:rPr>
                            </w:pPr>
                            <w:r>
                              <w:rPr>
                                <w:b/>
                                <w:color w:val="000000"/>
                                <w:sz w:val="20"/>
                                <w:szCs w:val="20"/>
                              </w:rPr>
                              <w:t>Porovnanie pohľadávok a záväzkov</w:t>
                            </w:r>
                          </w:p>
                          <w:p>
                            <w:pPr>
                              <w:pStyle w:val="Obsahrmca"/>
                              <w:rPr>
                                <w:b/>
                                <w:b/>
                                <w:sz w:val="20"/>
                                <w:szCs w:val="20"/>
                              </w:rPr>
                            </w:pPr>
                            <w:r>
                              <w:rPr/>
                            </w:r>
                          </w:p>
                        </w:txbxContent>
                      </wps:txbx>
                      <wps:bodyPr>
                        <a:noAutofit/>
                      </wps:bodyPr>
                    </wps:wsp>
                  </a:graphicData>
                </a:graphic>
              </wp:anchor>
            </w:drawing>
          </mc:Choice>
          <mc:Fallback>
            <w:pict>
              <v:rect id="shape_0" ID="Blok textu 2" stroked="f" style="position:absolute;margin-left:12.65pt;margin-top:7.65pt;width:226.85pt;height:27.2pt" wp14:anchorId="56389A49">
                <w10:wrap type="square"/>
                <v:fill o:detectmouseclick="t" on="false"/>
                <v:stroke color="#3465a4" weight="9360" joinstyle="round" endcap="flat"/>
                <v:textbox>
                  <w:txbxContent>
                    <w:p>
                      <w:pPr>
                        <w:pStyle w:val="Obsahrmca"/>
                        <w:rPr>
                          <w:b/>
                          <w:b/>
                          <w:sz w:val="20"/>
                          <w:szCs w:val="20"/>
                        </w:rPr>
                      </w:pPr>
                      <w:r>
                        <w:rPr>
                          <w:b/>
                          <w:color w:val="000000"/>
                          <w:sz w:val="20"/>
                          <w:szCs w:val="20"/>
                        </w:rPr>
                        <w:t>Porovnanie pohľadávok a záväzkov</w:t>
                      </w:r>
                    </w:p>
                    <w:p>
                      <w:pPr>
                        <w:pStyle w:val="Obsahrmca"/>
                        <w:rPr>
                          <w:b/>
                          <w:b/>
                          <w:sz w:val="20"/>
                          <w:szCs w:val="20"/>
                        </w:rPr>
                      </w:pPr>
                      <w:r>
                        <w:rPr/>
                      </w:r>
                    </w:p>
                  </w:txbxContent>
                </v:textbox>
              </v:rect>
            </w:pict>
          </mc:Fallback>
        </mc:AlternateContent>
      </w:r>
      <w:r>
        <w:rPr/>
        <w:drawing>
          <wp:inline distT="0" distB="0" distL="0" distR="0">
            <wp:extent cx="2786380" cy="2439670"/>
            <wp:effectExtent l="0" t="0" r="0" b="0"/>
            <wp:docPr id="8"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t xml:space="preserve">        </w:t>
      </w:r>
      <w:r>
        <w:rPr/>
        <w:drawing>
          <wp:inline distT="0" distB="0" distL="0" distR="0">
            <wp:extent cx="3053715" cy="2449195"/>
            <wp:effectExtent l="0" t="0" r="0" b="0"/>
            <wp:docPr id="9"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pStyle w:val="Normal"/>
        <w:ind w:left="360" w:hanging="0"/>
        <w:rPr>
          <w:rFonts w:ascii="NeoSansPro-Bold" w:hAnsi="NeoSansPro-Bold" w:cs="NeoSansPro-Bold"/>
          <w:bCs/>
          <w:color w:val="333333"/>
          <w:sz w:val="32"/>
          <w:szCs w:val="32"/>
        </w:rPr>
      </w:pPr>
      <w:r>
        <w:rPr>
          <w:rFonts w:cs="NeoSansPro-Bold" w:ascii="NeoSansPro-Bold" w:hAnsi="NeoSansPro-Bold"/>
          <w:bCs/>
          <w:color w:val="333333"/>
          <w:sz w:val="32"/>
          <w:szCs w:val="32"/>
        </w:rPr>
      </w:r>
    </w:p>
    <w:p>
      <w:pPr>
        <w:pStyle w:val="Normal"/>
        <w:ind w:left="360" w:hanging="0"/>
        <w:rPr>
          <w:rFonts w:ascii="NeoSansPro-Bold" w:hAnsi="NeoSansPro-Bold" w:cs="NeoSansPro-Bold"/>
          <w:bCs/>
          <w:color w:val="333333"/>
          <w:sz w:val="32"/>
          <w:szCs w:val="32"/>
        </w:rPr>
      </w:pPr>
      <w:r>
        <w:rPr>
          <w:rFonts w:cs="NeoSansPro-Bold" w:ascii="NeoSansPro-Bold" w:hAnsi="NeoSansPro-Bold"/>
          <w:bCs/>
          <w:color w:val="333333"/>
          <w:sz w:val="32"/>
          <w:szCs w:val="32"/>
        </w:rPr>
        <w:t>2.3</w:t>
      </w:r>
      <w:r>
        <w:rPr>
          <w:rFonts w:cs="NeoSansPro-Bold" w:ascii="NeoSansPro-Bold" w:hAnsi="NeoSansPro-Bold"/>
          <w:bCs/>
          <w:sz w:val="32"/>
          <w:szCs w:val="32"/>
        </w:rPr>
        <w:t>. Finančná situácia spoločnosti</w:t>
      </w:r>
    </w:p>
    <w:p>
      <w:pPr>
        <w:pStyle w:val="Normal"/>
        <w:rPr/>
      </w:pPr>
      <w:r>
        <w:rPr/>
      </w:r>
    </w:p>
    <w:p>
      <w:pPr>
        <w:pStyle w:val="Normal"/>
        <w:shd w:val="clear" w:color="auto" w:fill="FFFFFF"/>
        <w:spacing w:lineRule="auto" w:line="360"/>
        <w:rPr>
          <w:rFonts w:ascii="NeoSansPro-Bold" w:hAnsi="NeoSansPro-Bold" w:cs="NeoSansPro-Bold"/>
          <w:bCs/>
          <w:sz w:val="20"/>
          <w:szCs w:val="20"/>
        </w:rPr>
      </w:pPr>
      <w:r>
        <w:rPr>
          <w:rFonts w:cs="NeoSansPro-Bold" w:ascii="NeoSansPro-Bold" w:hAnsi="NeoSansPro-Bold"/>
          <w:bCs/>
          <w:color w:val="333333"/>
          <w:sz w:val="20"/>
          <w:szCs w:val="20"/>
        </w:rPr>
        <w:tab/>
        <w:t>Spoločnosť realizovala odbyt na území Slovenskej republiky a nakúpený tovar a vlastné výrobky do 1. polroka 2019  vyvážala aj do krajín európskej únie a </w:t>
      </w:r>
      <w:r>
        <w:rPr>
          <w:rFonts w:cs="NeoSansPro-Bold" w:ascii="NeoSansPro-Bold" w:hAnsi="NeoSansPro-Bold"/>
          <w:bCs/>
          <w:sz w:val="20"/>
          <w:szCs w:val="20"/>
        </w:rPr>
        <w:t>to do Litvy, Holandska, Poľska, Estónska, Srbska, Francúzska a na Ukrajinu ako aj do tretích krajín – do Bieloruska a Kazachstanu.</w:t>
      </w:r>
    </w:p>
    <w:p>
      <w:pPr>
        <w:pStyle w:val="Normal"/>
        <w:spacing w:lineRule="auto" w:line="360"/>
        <w:jc w:val="both"/>
        <w:rPr>
          <w:rFonts w:ascii="NeoSansPro-Bold" w:hAnsi="NeoSansPro-Bold" w:cs="NeoSansPro-Bold"/>
          <w:bCs/>
          <w:color w:val="333333"/>
          <w:sz w:val="20"/>
          <w:szCs w:val="20"/>
        </w:rPr>
      </w:pPr>
      <w:r>
        <w:rPr>
          <w:rFonts w:cs="NeoSansPro-Bold" w:ascii="NeoSansPro-Bold" w:hAnsi="NeoSansPro-Bold"/>
          <w:bCs/>
          <w:color w:val="333333"/>
          <w:sz w:val="20"/>
          <w:szCs w:val="20"/>
        </w:rPr>
        <w:t>Podiel odbytu na Slovensku predstavuje 80% produkcie a podiel vývozu tvorí spolu 20%.</w:t>
      </w:r>
    </w:p>
    <w:p>
      <w:pPr>
        <w:pStyle w:val="Normal"/>
        <w:spacing w:lineRule="auto" w:line="360"/>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 xml:space="preserve">Spoločnosť sa pri predaji orientovala hlavne na dodávky pre maloobchod a veľkoobchod, pretože jej výrobný proces umožňoval veľmi pružne reagovať na neustále sa meniace požiadavky na kvalitu, balenie, označovanie a logistiku svojich produktov. </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pPr>
      <w:r>
        <w:rPr/>
      </w:r>
    </w:p>
    <w:tbl>
      <w:tblPr>
        <w:tblW w:w="5000" w:type="pct"/>
        <w:jc w:val="center"/>
        <w:tblInd w:w="0" w:type="dxa"/>
        <w:tblLayout w:type="fixed"/>
        <w:tblCellMar>
          <w:top w:w="0" w:type="dxa"/>
          <w:left w:w="108" w:type="dxa"/>
          <w:bottom w:w="0" w:type="dxa"/>
          <w:right w:w="108" w:type="dxa"/>
        </w:tblCellMar>
        <w:tblLook w:firstRow="1" w:noVBand="0" w:lastRow="0" w:firstColumn="1" w:lastColumn="0" w:noHBand="0" w:val="00a0"/>
      </w:tblPr>
      <w:tblGrid>
        <w:gridCol w:w="1891"/>
        <w:gridCol w:w="1096"/>
        <w:gridCol w:w="1467"/>
        <w:gridCol w:w="1048"/>
        <w:gridCol w:w="1422"/>
        <w:gridCol w:w="1153"/>
        <w:gridCol w:w="1420"/>
      </w:tblGrid>
      <w:tr>
        <w:trPr>
          <w:trHeight w:val="330" w:hRule="atLeast"/>
        </w:trPr>
        <w:tc>
          <w:tcPr>
            <w:tcW w:w="1891" w:type="dxa"/>
            <w:vMerge w:val="restart"/>
            <w:tcBorders>
              <w:top w:val="single" w:sz="4" w:space="0" w:color="000000"/>
              <w:left w:val="single" w:sz="4" w:space="0" w:color="000000"/>
              <w:bottom w:val="single" w:sz="4" w:space="0" w:color="000000"/>
              <w:right w:val="single" w:sz="4" w:space="0" w:color="000000"/>
            </w:tcBorders>
            <w:vAlign w:val="center"/>
          </w:tcPr>
          <w:p>
            <w:pPr>
              <w:pStyle w:val="TopHeader"/>
              <w:widowControl w:val="false"/>
              <w:rPr>
                <w:sz w:val="18"/>
                <w:szCs w:val="18"/>
              </w:rPr>
            </w:pPr>
            <w:r>
              <w:rPr>
                <w:sz w:val="18"/>
                <w:szCs w:val="18"/>
              </w:rPr>
              <w:t>Oblasť odbytu</w:t>
            </w:r>
          </w:p>
        </w:tc>
        <w:tc>
          <w:tcPr>
            <w:tcW w:w="2563" w:type="dxa"/>
            <w:gridSpan w:val="2"/>
            <w:tcBorders>
              <w:top w:val="single" w:sz="4" w:space="0" w:color="000000"/>
              <w:left w:val="single" w:sz="4" w:space="0" w:color="000000"/>
              <w:bottom w:val="single" w:sz="4" w:space="0" w:color="000000"/>
              <w:right w:val="single" w:sz="4" w:space="0" w:color="000000"/>
            </w:tcBorders>
            <w:vAlign w:val="center"/>
          </w:tcPr>
          <w:p>
            <w:pPr>
              <w:pStyle w:val="TopHeader"/>
              <w:widowControl w:val="false"/>
              <w:rPr>
                <w:sz w:val="18"/>
                <w:szCs w:val="18"/>
              </w:rPr>
            </w:pPr>
            <w:r>
              <w:rPr>
                <w:sz w:val="18"/>
                <w:szCs w:val="18"/>
              </w:rPr>
              <w:t xml:space="preserve">Typ výrobkov, tovarov, služieb </w:t>
            </w:r>
          </w:p>
          <w:p>
            <w:pPr>
              <w:pStyle w:val="TopHeader"/>
              <w:widowControl w:val="false"/>
              <w:rPr>
                <w:sz w:val="18"/>
                <w:szCs w:val="18"/>
              </w:rPr>
            </w:pPr>
            <w:r>
              <w:rPr>
                <w:sz w:val="18"/>
                <w:szCs w:val="18"/>
              </w:rPr>
              <w:t xml:space="preserve"> </w:t>
            </w:r>
            <w:r>
              <w:rPr>
                <w:sz w:val="18"/>
                <w:szCs w:val="18"/>
              </w:rPr>
              <w:t>(mrazená a chladená hydina)</w:t>
            </w:r>
          </w:p>
        </w:tc>
        <w:tc>
          <w:tcPr>
            <w:tcW w:w="2470" w:type="dxa"/>
            <w:gridSpan w:val="2"/>
            <w:tcBorders>
              <w:top w:val="single" w:sz="4" w:space="0" w:color="000000"/>
              <w:left w:val="single" w:sz="4" w:space="0" w:color="000000"/>
              <w:bottom w:val="single" w:sz="4" w:space="0" w:color="000000"/>
              <w:right w:val="single" w:sz="4" w:space="0" w:color="000000"/>
            </w:tcBorders>
            <w:vAlign w:val="center"/>
          </w:tcPr>
          <w:p>
            <w:pPr>
              <w:pStyle w:val="TopHeader"/>
              <w:widowControl w:val="false"/>
              <w:rPr>
                <w:sz w:val="18"/>
                <w:szCs w:val="18"/>
              </w:rPr>
            </w:pPr>
            <w:r>
              <w:rPr>
                <w:sz w:val="18"/>
                <w:szCs w:val="18"/>
              </w:rPr>
              <w:t>Typ výrobkov, tovarov, služieb</w:t>
            </w:r>
          </w:p>
          <w:p>
            <w:pPr>
              <w:pStyle w:val="TopHeader"/>
              <w:widowControl w:val="false"/>
              <w:rPr>
                <w:sz w:val="18"/>
                <w:szCs w:val="18"/>
              </w:rPr>
            </w:pPr>
            <w:r>
              <w:rPr>
                <w:sz w:val="18"/>
                <w:szCs w:val="18"/>
              </w:rPr>
              <w:t>(poskytnuté služby)</w:t>
            </w:r>
          </w:p>
        </w:tc>
        <w:tc>
          <w:tcPr>
            <w:tcW w:w="2573" w:type="dxa"/>
            <w:gridSpan w:val="2"/>
            <w:tcBorders>
              <w:top w:val="single" w:sz="4" w:space="0" w:color="000000"/>
              <w:left w:val="single" w:sz="4" w:space="0" w:color="000000"/>
              <w:bottom w:val="single" w:sz="4" w:space="0" w:color="000000"/>
              <w:right w:val="single" w:sz="4" w:space="0" w:color="000000"/>
            </w:tcBorders>
            <w:vAlign w:val="center"/>
          </w:tcPr>
          <w:p>
            <w:pPr>
              <w:pStyle w:val="TopHeader"/>
              <w:widowControl w:val="false"/>
              <w:rPr>
                <w:sz w:val="18"/>
                <w:szCs w:val="18"/>
              </w:rPr>
            </w:pPr>
            <w:r>
              <w:rPr>
                <w:sz w:val="18"/>
                <w:szCs w:val="18"/>
              </w:rPr>
              <w:t xml:space="preserve">Typ výrobkov, tovarov, služieb </w:t>
            </w:r>
          </w:p>
          <w:p>
            <w:pPr>
              <w:pStyle w:val="TopHeader"/>
              <w:widowControl w:val="false"/>
              <w:rPr>
                <w:sz w:val="18"/>
                <w:szCs w:val="18"/>
              </w:rPr>
            </w:pPr>
            <w:r>
              <w:rPr>
                <w:sz w:val="18"/>
                <w:szCs w:val="18"/>
              </w:rPr>
              <w:t>(predaný tovar)</w:t>
            </w:r>
          </w:p>
        </w:tc>
      </w:tr>
      <w:tr>
        <w:trPr>
          <w:trHeight w:val="1005" w:hRule="atLeast"/>
        </w:trPr>
        <w:tc>
          <w:tcPr>
            <w:tcW w:w="1891" w:type="dxa"/>
            <w:vMerge w:val="continue"/>
            <w:tcBorders>
              <w:top w:val="single" w:sz="4" w:space="0" w:color="000000"/>
              <w:left w:val="single" w:sz="4" w:space="0" w:color="000000"/>
              <w:bottom w:val="single" w:sz="4" w:space="0" w:color="000000"/>
              <w:right w:val="single" w:sz="4" w:space="0" w:color="000000"/>
            </w:tcBorders>
            <w:vAlign w:val="center"/>
          </w:tcPr>
          <w:p>
            <w:pPr>
              <w:pStyle w:val="TopHeader"/>
              <w:widowControl w:val="false"/>
              <w:rPr>
                <w:sz w:val="18"/>
                <w:szCs w:val="18"/>
              </w:rPr>
            </w:pPr>
            <w:r>
              <w:rPr>
                <w:sz w:val="18"/>
                <w:szCs w:val="18"/>
              </w:rPr>
            </w:r>
          </w:p>
        </w:tc>
        <w:tc>
          <w:tcPr>
            <w:tcW w:w="1096" w:type="dxa"/>
            <w:tcBorders>
              <w:top w:val="single" w:sz="4" w:space="0" w:color="000000"/>
              <w:left w:val="single" w:sz="4" w:space="0" w:color="000000"/>
              <w:bottom w:val="single" w:sz="4" w:space="0" w:color="000000"/>
              <w:right w:val="single" w:sz="4" w:space="0" w:color="000000"/>
            </w:tcBorders>
            <w:vAlign w:val="center"/>
          </w:tcPr>
          <w:p>
            <w:pPr>
              <w:pStyle w:val="TopHeader"/>
              <w:widowControl w:val="false"/>
              <w:rPr>
                <w:sz w:val="18"/>
                <w:szCs w:val="18"/>
              </w:rPr>
            </w:pPr>
            <w:r>
              <w:rPr>
                <w:sz w:val="18"/>
                <w:szCs w:val="18"/>
              </w:rPr>
              <w:t>Bežné účtovné obdobie – ROK 2019</w:t>
            </w:r>
          </w:p>
        </w:tc>
        <w:tc>
          <w:tcPr>
            <w:tcW w:w="1467" w:type="dxa"/>
            <w:tcBorders>
              <w:top w:val="single" w:sz="4" w:space="0" w:color="000000"/>
              <w:left w:val="single" w:sz="4" w:space="0" w:color="000000"/>
              <w:bottom w:val="single" w:sz="4" w:space="0" w:color="000000"/>
              <w:right w:val="single" w:sz="4" w:space="0" w:color="000000"/>
            </w:tcBorders>
            <w:vAlign w:val="center"/>
          </w:tcPr>
          <w:p>
            <w:pPr>
              <w:pStyle w:val="TopHeader"/>
              <w:widowControl w:val="false"/>
              <w:rPr>
                <w:sz w:val="18"/>
                <w:szCs w:val="18"/>
              </w:rPr>
            </w:pPr>
            <w:r>
              <w:rPr>
                <w:sz w:val="18"/>
                <w:szCs w:val="18"/>
              </w:rPr>
              <w:t>Bezprostredne predchádzajúce účtovné obdobie – ROK 2018</w:t>
            </w:r>
          </w:p>
        </w:tc>
        <w:tc>
          <w:tcPr>
            <w:tcW w:w="1048" w:type="dxa"/>
            <w:tcBorders>
              <w:top w:val="single" w:sz="4" w:space="0" w:color="000000"/>
              <w:left w:val="single" w:sz="4" w:space="0" w:color="000000"/>
              <w:bottom w:val="single" w:sz="4" w:space="0" w:color="000000"/>
              <w:right w:val="single" w:sz="4" w:space="0" w:color="000000"/>
            </w:tcBorders>
            <w:vAlign w:val="center"/>
          </w:tcPr>
          <w:p>
            <w:pPr>
              <w:pStyle w:val="TopHeader"/>
              <w:widowControl w:val="false"/>
              <w:rPr>
                <w:sz w:val="18"/>
                <w:szCs w:val="18"/>
              </w:rPr>
            </w:pPr>
            <w:r>
              <w:rPr>
                <w:sz w:val="18"/>
                <w:szCs w:val="18"/>
              </w:rPr>
              <w:t>Bežné účtovné obdobie – ROK 2019</w:t>
            </w:r>
          </w:p>
        </w:tc>
        <w:tc>
          <w:tcPr>
            <w:tcW w:w="1422" w:type="dxa"/>
            <w:tcBorders>
              <w:top w:val="single" w:sz="4" w:space="0" w:color="000000"/>
              <w:left w:val="single" w:sz="4" w:space="0" w:color="000000"/>
              <w:bottom w:val="single" w:sz="4" w:space="0" w:color="000000"/>
              <w:right w:val="single" w:sz="4" w:space="0" w:color="000000"/>
            </w:tcBorders>
            <w:vAlign w:val="center"/>
          </w:tcPr>
          <w:p>
            <w:pPr>
              <w:pStyle w:val="TopHeader"/>
              <w:widowControl w:val="false"/>
              <w:rPr>
                <w:sz w:val="18"/>
                <w:szCs w:val="18"/>
              </w:rPr>
            </w:pPr>
            <w:r>
              <w:rPr>
                <w:sz w:val="18"/>
                <w:szCs w:val="18"/>
              </w:rPr>
              <w:t>Bezprostredne predchádzajúce účtovné obdobie – ROK 2018</w:t>
            </w:r>
          </w:p>
        </w:tc>
        <w:tc>
          <w:tcPr>
            <w:tcW w:w="1153" w:type="dxa"/>
            <w:tcBorders>
              <w:top w:val="single" w:sz="4" w:space="0" w:color="000000"/>
              <w:left w:val="single" w:sz="4" w:space="0" w:color="000000"/>
              <w:bottom w:val="single" w:sz="4" w:space="0" w:color="000000"/>
              <w:right w:val="single" w:sz="4" w:space="0" w:color="000000"/>
            </w:tcBorders>
            <w:vAlign w:val="center"/>
          </w:tcPr>
          <w:p>
            <w:pPr>
              <w:pStyle w:val="TopHeader"/>
              <w:widowControl w:val="false"/>
              <w:rPr>
                <w:sz w:val="18"/>
                <w:szCs w:val="18"/>
              </w:rPr>
            </w:pPr>
            <w:r>
              <w:rPr>
                <w:sz w:val="18"/>
                <w:szCs w:val="18"/>
              </w:rPr>
              <w:t>Bežné účtovné obdobie – ROK 2019</w:t>
            </w:r>
          </w:p>
        </w:tc>
        <w:tc>
          <w:tcPr>
            <w:tcW w:w="1420" w:type="dxa"/>
            <w:tcBorders>
              <w:top w:val="single" w:sz="4" w:space="0" w:color="000000"/>
              <w:left w:val="single" w:sz="4" w:space="0" w:color="000000"/>
              <w:bottom w:val="single" w:sz="4" w:space="0" w:color="000000"/>
              <w:right w:val="single" w:sz="4" w:space="0" w:color="000000"/>
            </w:tcBorders>
            <w:vAlign w:val="center"/>
          </w:tcPr>
          <w:p>
            <w:pPr>
              <w:pStyle w:val="TopHeader"/>
              <w:widowControl w:val="false"/>
              <w:rPr>
                <w:sz w:val="18"/>
                <w:szCs w:val="18"/>
              </w:rPr>
            </w:pPr>
            <w:r>
              <w:rPr>
                <w:sz w:val="18"/>
                <w:szCs w:val="18"/>
              </w:rPr>
              <w:t>Bezprostredne predchádzajúce účtovné obdobie – ROK 2018</w:t>
            </w:r>
          </w:p>
        </w:tc>
      </w:tr>
      <w:tr>
        <w:trPr>
          <w:trHeight w:val="116" w:hRule="atLeast"/>
        </w:trPr>
        <w:tc>
          <w:tcPr>
            <w:tcW w:w="189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a</w:t>
            </w:r>
          </w:p>
        </w:tc>
        <w:tc>
          <w:tcPr>
            <w:tcW w:w="109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b</w:t>
            </w:r>
          </w:p>
        </w:tc>
        <w:tc>
          <w:tcPr>
            <w:tcW w:w="146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c</w:t>
            </w:r>
          </w:p>
        </w:tc>
        <w:tc>
          <w:tcPr>
            <w:tcW w:w="10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d</w:t>
            </w:r>
          </w:p>
        </w:tc>
        <w:tc>
          <w:tcPr>
            <w:tcW w:w="14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e</w:t>
            </w:r>
          </w:p>
        </w:tc>
        <w:tc>
          <w:tcPr>
            <w:tcW w:w="115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f</w:t>
            </w:r>
          </w:p>
        </w:tc>
        <w:tc>
          <w:tcPr>
            <w:tcW w:w="142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g</w:t>
            </w:r>
          </w:p>
        </w:tc>
      </w:tr>
      <w:tr>
        <w:trPr>
          <w:trHeight w:val="330" w:hRule="atLeast"/>
        </w:trPr>
        <w:tc>
          <w:tcPr>
            <w:tcW w:w="189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rPr>
                <w:sz w:val="18"/>
                <w:szCs w:val="18"/>
              </w:rPr>
            </w:pPr>
            <w:r>
              <w:rPr>
                <w:sz w:val="18"/>
                <w:szCs w:val="18"/>
              </w:rPr>
              <w:t>Slovenská republika</w:t>
            </w:r>
          </w:p>
        </w:tc>
        <w:tc>
          <w:tcPr>
            <w:tcW w:w="109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21 808 639</w:t>
            </w:r>
          </w:p>
        </w:tc>
        <w:tc>
          <w:tcPr>
            <w:tcW w:w="146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40 899 224</w:t>
            </w:r>
          </w:p>
        </w:tc>
        <w:tc>
          <w:tcPr>
            <w:tcW w:w="10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11 400 778</w:t>
            </w:r>
          </w:p>
        </w:tc>
        <w:tc>
          <w:tcPr>
            <w:tcW w:w="14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4 909 749</w:t>
            </w:r>
          </w:p>
        </w:tc>
        <w:tc>
          <w:tcPr>
            <w:tcW w:w="115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3 727 871</w:t>
            </w:r>
          </w:p>
        </w:tc>
        <w:tc>
          <w:tcPr>
            <w:tcW w:w="142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17 201 318</w:t>
            </w:r>
          </w:p>
        </w:tc>
      </w:tr>
      <w:tr>
        <w:trPr>
          <w:trHeight w:val="330" w:hRule="atLeast"/>
        </w:trPr>
        <w:tc>
          <w:tcPr>
            <w:tcW w:w="189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rPr>
                <w:sz w:val="18"/>
                <w:szCs w:val="18"/>
              </w:rPr>
            </w:pPr>
            <w:r>
              <w:rPr>
                <w:sz w:val="18"/>
                <w:szCs w:val="18"/>
              </w:rPr>
              <w:t>Zahraničie - EÚ</w:t>
            </w:r>
          </w:p>
        </w:tc>
        <w:tc>
          <w:tcPr>
            <w:tcW w:w="109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352 596</w:t>
            </w:r>
          </w:p>
        </w:tc>
        <w:tc>
          <w:tcPr>
            <w:tcW w:w="146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660 317</w:t>
            </w:r>
          </w:p>
        </w:tc>
        <w:tc>
          <w:tcPr>
            <w:tcW w:w="10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0</w:t>
            </w:r>
          </w:p>
        </w:tc>
        <w:tc>
          <w:tcPr>
            <w:tcW w:w="14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0</w:t>
            </w:r>
          </w:p>
        </w:tc>
        <w:tc>
          <w:tcPr>
            <w:tcW w:w="115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458 292</w:t>
            </w:r>
          </w:p>
        </w:tc>
        <w:tc>
          <w:tcPr>
            <w:tcW w:w="142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805 008</w:t>
            </w:r>
          </w:p>
        </w:tc>
      </w:tr>
      <w:tr>
        <w:trPr>
          <w:trHeight w:val="330" w:hRule="atLeast"/>
        </w:trPr>
        <w:tc>
          <w:tcPr>
            <w:tcW w:w="189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rPr>
                <w:sz w:val="18"/>
                <w:szCs w:val="18"/>
              </w:rPr>
            </w:pPr>
            <w:r>
              <w:rPr>
                <w:sz w:val="18"/>
                <w:szCs w:val="18"/>
              </w:rPr>
              <w:t>Zahraničie - ostatné</w:t>
            </w:r>
          </w:p>
        </w:tc>
        <w:tc>
          <w:tcPr>
            <w:tcW w:w="109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29 473</w:t>
            </w:r>
          </w:p>
        </w:tc>
        <w:tc>
          <w:tcPr>
            <w:tcW w:w="146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121 865</w:t>
            </w:r>
          </w:p>
        </w:tc>
        <w:tc>
          <w:tcPr>
            <w:tcW w:w="10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0</w:t>
            </w:r>
          </w:p>
        </w:tc>
        <w:tc>
          <w:tcPr>
            <w:tcW w:w="14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0</w:t>
            </w:r>
          </w:p>
        </w:tc>
        <w:tc>
          <w:tcPr>
            <w:tcW w:w="115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247 939</w:t>
            </w:r>
          </w:p>
        </w:tc>
        <w:tc>
          <w:tcPr>
            <w:tcW w:w="142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t>0</w:t>
            </w:r>
          </w:p>
        </w:tc>
      </w:tr>
      <w:tr>
        <w:trPr>
          <w:trHeight w:val="330" w:hRule="atLeast"/>
        </w:trPr>
        <w:tc>
          <w:tcPr>
            <w:tcW w:w="189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rPr>
                <w:sz w:val="18"/>
                <w:szCs w:val="18"/>
              </w:rPr>
            </w:pPr>
            <w:r>
              <w:rPr>
                <w:sz w:val="18"/>
                <w:szCs w:val="18"/>
              </w:rPr>
            </w:r>
          </w:p>
        </w:tc>
        <w:tc>
          <w:tcPr>
            <w:tcW w:w="109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r>
          </w:p>
        </w:tc>
        <w:tc>
          <w:tcPr>
            <w:tcW w:w="146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r>
          </w:p>
        </w:tc>
        <w:tc>
          <w:tcPr>
            <w:tcW w:w="10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r>
          </w:p>
        </w:tc>
        <w:tc>
          <w:tcPr>
            <w:tcW w:w="14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r>
          </w:p>
        </w:tc>
        <w:tc>
          <w:tcPr>
            <w:tcW w:w="115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r>
          </w:p>
        </w:tc>
        <w:tc>
          <w:tcPr>
            <w:tcW w:w="142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sz w:val="18"/>
                <w:szCs w:val="18"/>
              </w:rPr>
            </w:pPr>
            <w:r>
              <w:rPr>
                <w:sz w:val="18"/>
                <w:szCs w:val="18"/>
              </w:rPr>
            </w:r>
          </w:p>
        </w:tc>
      </w:tr>
      <w:tr>
        <w:trPr>
          <w:trHeight w:val="345" w:hRule="atLeast"/>
        </w:trPr>
        <w:tc>
          <w:tcPr>
            <w:tcW w:w="189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rPr>
                <w:b/>
                <w:b/>
                <w:bCs/>
                <w:sz w:val="18"/>
                <w:szCs w:val="18"/>
              </w:rPr>
            </w:pPr>
            <w:r>
              <w:rPr>
                <w:b/>
                <w:bCs/>
                <w:sz w:val="18"/>
                <w:szCs w:val="18"/>
              </w:rPr>
              <w:t>Spolu</w:t>
            </w:r>
          </w:p>
        </w:tc>
        <w:tc>
          <w:tcPr>
            <w:tcW w:w="109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b/>
                <w:b/>
                <w:bCs/>
                <w:sz w:val="18"/>
                <w:szCs w:val="18"/>
              </w:rPr>
            </w:pPr>
            <w:r>
              <w:rPr>
                <w:b/>
                <w:bCs/>
                <w:sz w:val="18"/>
                <w:szCs w:val="18"/>
              </w:rPr>
              <w:t>22 190 708</w:t>
            </w:r>
          </w:p>
        </w:tc>
        <w:tc>
          <w:tcPr>
            <w:tcW w:w="146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b/>
                <w:b/>
                <w:bCs/>
                <w:sz w:val="18"/>
                <w:szCs w:val="18"/>
              </w:rPr>
            </w:pPr>
            <w:r>
              <w:rPr>
                <w:b/>
                <w:bCs/>
                <w:sz w:val="18"/>
                <w:szCs w:val="18"/>
              </w:rPr>
              <w:t>41 681 405</w:t>
            </w:r>
          </w:p>
        </w:tc>
        <w:tc>
          <w:tcPr>
            <w:tcW w:w="10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b/>
                <w:b/>
                <w:bCs/>
                <w:sz w:val="18"/>
                <w:szCs w:val="18"/>
              </w:rPr>
            </w:pPr>
            <w:r>
              <w:rPr>
                <w:b/>
                <w:bCs/>
                <w:sz w:val="18"/>
                <w:szCs w:val="18"/>
              </w:rPr>
              <w:t>11 400 778</w:t>
            </w:r>
          </w:p>
        </w:tc>
        <w:tc>
          <w:tcPr>
            <w:tcW w:w="14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b/>
                <w:b/>
                <w:bCs/>
                <w:sz w:val="18"/>
                <w:szCs w:val="18"/>
              </w:rPr>
            </w:pPr>
            <w:r>
              <w:rPr>
                <w:b/>
                <w:bCs/>
                <w:sz w:val="18"/>
                <w:szCs w:val="18"/>
              </w:rPr>
              <w:t>4 909 749</w:t>
            </w:r>
          </w:p>
        </w:tc>
        <w:tc>
          <w:tcPr>
            <w:tcW w:w="115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b/>
                <w:b/>
                <w:bCs/>
                <w:sz w:val="18"/>
                <w:szCs w:val="18"/>
              </w:rPr>
            </w:pPr>
            <w:r>
              <w:rPr>
                <w:b/>
                <w:bCs/>
                <w:sz w:val="18"/>
                <w:szCs w:val="18"/>
              </w:rPr>
              <w:t>4 434 102</w:t>
            </w:r>
          </w:p>
        </w:tc>
        <w:tc>
          <w:tcPr>
            <w:tcW w:w="142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b/>
                <w:b/>
                <w:bCs/>
                <w:sz w:val="18"/>
                <w:szCs w:val="18"/>
              </w:rPr>
            </w:pPr>
            <w:r>
              <w:rPr>
                <w:b/>
                <w:bCs/>
                <w:sz w:val="18"/>
                <w:szCs w:val="18"/>
              </w:rPr>
              <w:t>18 006 326</w:t>
            </w:r>
          </w:p>
        </w:tc>
      </w:tr>
    </w:tbl>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Spoločnosť si roku 2019 vzhľadom na nepriaznivú finančnú situáciu v rámci investičnej činnosti spoločnosť investovala do obstarania nového investičného majetku len vo výške 89 496,-. €.  Zaradený do používania  bol investičný majetok vo výške 22 191,- €. Najväčšiu položku obstarania investičného majetku tvoril vzduchom chladený tunel vo výške 22 600,- € a nákup pozemkov v Spišských Tomášovciach vo výške 40 906,- €. Ostatné investície sa týkali obstarania páskovacieho stroja, kosačky, čistiaceho zariadenia comet či váhy Bizerba.</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 xml:space="preserve">V roku 2019 sa preinvestovalo 89 496,- €, čo medziročne predstavuje výrazné zníženie investovania v porovnaní s predchádzajúcim rokom. </w:t>
      </w:r>
    </w:p>
    <w:p>
      <w:pPr>
        <w:pStyle w:val="Normal"/>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
          <w:b/>
          <w:bCs/>
          <w:color w:val="333333"/>
          <w:sz w:val="36"/>
          <w:szCs w:val="36"/>
        </w:rPr>
      </w:pPr>
      <w:r>
        <w:rPr>
          <w:rFonts w:cs="NeoSansPro-Bold" w:ascii="NeoSansPro-Bold" w:hAnsi="NeoSansPro-Bold"/>
          <w:b/>
          <w:bCs/>
          <w:color w:val="333333"/>
          <w:sz w:val="36"/>
          <w:szCs w:val="36"/>
        </w:rPr>
        <w:t xml:space="preserve">3. </w:t>
        <w:tab/>
        <w:t>ZAMESTNANOSŤ A ĽUDSKÉ ZDROJE</w:t>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 xml:space="preserve">Hydina </w:t>
        <w:tab/>
        <w:t>SLOVENSKO, s.r.o. mala k 31. decembru 2019 – 301 aktívnych zamestnancov, z toho 167 mužov a 134 žien, z nich 25 THP pracovníkov a 6 vedúci. V porovnaní s rokom 2018 ide o mierne zníženie  počtu zamestnancov, celkovo o 3 zamestnancov. Priemerný prepočítaný počet zamestnancov sa v priebehu roka 2019 zvýšil na 309 ks z minuloročných 291 ks, čo je nárast o 18 zamestnancov. Začiatkom roka v spoločnosti pracovalo 20 brigádnikov, v neskorších mesiacoch len podľa potrieb spoločnosti.</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Kvalifikovaní zamestnanci sú kľúčom k úspechu spoločnosti, preto spoločnosť neustále investuje do vzdelávania zamestnancov. Vďaka tomu si zamestnanci zvyšujú svoje odborné vedomosti pre konkrétnu pracovnú pozíciu.</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 xml:space="preserve">Okrem základných vstupných školení zabezpečuje pre svojich zamestnancov vzdelávanie vo forme špecializovaných školení na stredisku doprava, údržba, ako aj  zamestnancov na ekonomickom úseku z dôvodu neustálej zmeny daňových a iných zákonov, ktoré spoločnosť musí aplikovať v praxi. </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V roku 2019 tak ako každý rok absolvovali všetci zamestnanci, ktorí obsluhujú motorové vozíky, povinné preškolenie na obsluhu motorových vozíkov.</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Na začiatku roka 2019 sa manažér kvality a 1 zmenový majster porážky zúčastnili odborného kurzu = Interný audítor IFS a BRC. Robotníci zo strediska porážka hydiny, ktorí pracujú pri vešaní živej hydiny sa zúčastnili školenia ohľadne „Ochrany zvierat počas usmrcovania“.</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Keďže spoločnosť do mraziarenského skladu prijala nových zamestnancov, absolvovali preškolenie na obsluhu vysokozdvižných motorových vozíkov.</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Zvyšnú časť nákladov na školenia predstavovali náklady na školenia zamestnancov v prípade zmien zákonov, vstupné školenia BOZP a PO, zmena vodného zákona a preškolenie elektrikára na stredisku Zvolen, ktorý obsluhoval čističku odpadových vôd.</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Celkovo sa v roku 2019 vynaložilo na preškolenie zamestnancov 2 317,- €.</w:t>
      </w:r>
    </w:p>
    <w:p>
      <w:pPr>
        <w:pStyle w:val="Normal"/>
        <w:spacing w:lineRule="auto" w:line="360"/>
        <w:jc w:val="both"/>
        <w:rPr>
          <w:rFonts w:ascii="NeoSansPro-Bold" w:hAnsi="NeoSansPro-Bold" w:cs="NeoSansPro-Bold"/>
          <w:bCs/>
          <w:color w:val="333333"/>
          <w:sz w:val="20"/>
          <w:szCs w:val="20"/>
        </w:rPr>
      </w:pPr>
      <w:r>
        <w:rPr>
          <w:rFonts w:cs="NeoSansPro-Bold" w:ascii="NeoSansPro-Bold" w:hAnsi="NeoSansPro-Bold"/>
          <w:bCs/>
          <w:color w:val="333333"/>
          <w:sz w:val="20"/>
          <w:szCs w:val="20"/>
        </w:rPr>
        <w:t>V predchádzajúcom roku 2018 sa do preškolenia zamestnancov investovalo 1 885,- €.</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 </w:t>
      </w:r>
      <w:r>
        <w:rPr>
          <w:rFonts w:cs="NeoSansPro-Bold" w:ascii="NeoSansPro-Bold" w:hAnsi="NeoSansPro-Bold"/>
          <w:bCs/>
          <w:color w:val="333333"/>
          <w:sz w:val="20"/>
          <w:szCs w:val="20"/>
        </w:rPr>
        <w:t>Z uvedeného vyplýva, že v rámci starostlivosti o vzdelávanie zamestnancov spoločnosť venuje dostatočnú pozornosť udržaniu vzdelanosti zamestnancov na požadovanej úrovni, medziročne došlo k zvýšeniu vynaložených finančných prostriedkov na vzdelávanie o 432 €, čo predstavuje 22,92 %.</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FrutigerCE-Roman" w:hAnsi="FrutigerCE-Roman" w:cs="FrutigerCE-Roman"/>
          <w:color w:val="000000"/>
          <w:sz w:val="18"/>
          <w:szCs w:val="18"/>
        </w:rPr>
      </w:pPr>
      <w:r>
        <w:rPr/>
        <w:drawing>
          <wp:inline distT="0" distB="0" distL="0" distR="0">
            <wp:extent cx="4692650" cy="2924175"/>
            <wp:effectExtent l="0" t="0" r="0" b="0"/>
            <wp:docPr id="10"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pStyle w:val="Normal"/>
        <w:rPr>
          <w:rFonts w:ascii="FrutigerCE-Roman" w:hAnsi="FrutigerCE-Roman" w:cs="FrutigerCE-Roman"/>
          <w:color w:val="000000"/>
          <w:sz w:val="18"/>
          <w:szCs w:val="18"/>
        </w:rPr>
      </w:pPr>
      <w:r>
        <w:rPr>
          <w:rFonts w:cs="FrutigerCE-Roman" w:ascii="FrutigerCE-Roman" w:hAnsi="FrutigerCE-Roman"/>
          <w:color w:val="000000"/>
          <w:sz w:val="18"/>
          <w:szCs w:val="18"/>
        </w:rPr>
      </w:r>
    </w:p>
    <w:p>
      <w:pPr>
        <w:pStyle w:val="Normal"/>
        <w:rPr>
          <w:rFonts w:ascii="FrutigerCE-Roman" w:hAnsi="FrutigerCE-Roman" w:cs="FrutigerCE-Roman"/>
          <w:color w:val="000000"/>
          <w:sz w:val="18"/>
          <w:szCs w:val="18"/>
        </w:rPr>
      </w:pPr>
      <w:r>
        <w:rPr>
          <w:rFonts w:cs="FrutigerCE-Roman" w:ascii="FrutigerCE-Roman" w:hAnsi="FrutigerCE-Roman"/>
          <w:color w:val="000000"/>
          <w:sz w:val="18"/>
          <w:szCs w:val="18"/>
        </w:rPr>
      </w:r>
    </w:p>
    <w:p>
      <w:pPr>
        <w:pStyle w:val="Normal"/>
        <w:rPr>
          <w:rFonts w:ascii="FrutigerCE-Roman" w:hAnsi="FrutigerCE-Roman" w:cs="FrutigerCE-Roman"/>
          <w:color w:val="000000"/>
          <w:sz w:val="18"/>
          <w:szCs w:val="18"/>
        </w:rPr>
      </w:pPr>
      <w:r>
        <w:rPr/>
        <w:drawing>
          <wp:inline distT="0" distB="0" distL="0" distR="0">
            <wp:extent cx="4692650" cy="2924175"/>
            <wp:effectExtent l="0" t="0" r="0" b="0"/>
            <wp:docPr id="11"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pStyle w:val="Normal"/>
        <w:rPr>
          <w:rFonts w:ascii="FrutigerCE-Roman" w:hAnsi="FrutigerCE-Roman" w:cs="FrutigerCE-Roman"/>
          <w:color w:val="000000"/>
          <w:sz w:val="18"/>
          <w:szCs w:val="18"/>
        </w:rPr>
      </w:pPr>
      <w:r>
        <w:rPr>
          <w:rFonts w:cs="FrutigerCE-Roman" w:ascii="FrutigerCE-Roman" w:hAnsi="FrutigerCE-Roman"/>
          <w:color w:val="000000"/>
          <w:sz w:val="18"/>
          <w:szCs w:val="18"/>
        </w:rPr>
      </w:r>
    </w:p>
    <w:p>
      <w:pPr>
        <w:pStyle w:val="Normal"/>
        <w:rPr>
          <w:rFonts w:ascii="FrutigerCE-Roman" w:hAnsi="FrutigerCE-Roman" w:cs="FrutigerCE-Roman"/>
          <w:color w:val="000000"/>
          <w:sz w:val="18"/>
          <w:szCs w:val="18"/>
        </w:rPr>
      </w:pPr>
      <w:r>
        <w:rPr>
          <w:rFonts w:cs="FrutigerCE-Roman" w:ascii="FrutigerCE-Roman" w:hAnsi="FrutigerCE-Roman"/>
          <w:color w:val="000000"/>
          <w:sz w:val="18"/>
          <w:szCs w:val="18"/>
        </w:rPr>
      </w:r>
    </w:p>
    <w:p>
      <w:pPr>
        <w:pStyle w:val="Normal"/>
        <w:rPr>
          <w:rFonts w:ascii="FrutigerCE-Roman" w:hAnsi="FrutigerCE-Roman" w:cs="FrutigerCE-Roman"/>
          <w:color w:val="000000"/>
          <w:sz w:val="18"/>
          <w:szCs w:val="18"/>
        </w:rPr>
      </w:pPr>
      <w:r>
        <w:rPr>
          <w:rFonts w:cs="FrutigerCE-Roman" w:ascii="FrutigerCE-Roman" w:hAnsi="FrutigerCE-Roman"/>
          <w:color w:val="000000"/>
          <w:sz w:val="18"/>
          <w:szCs w:val="18"/>
        </w:rPr>
      </w:r>
    </w:p>
    <w:p>
      <w:pPr>
        <w:pStyle w:val="Normal"/>
        <w:rPr>
          <w:rFonts w:ascii="FrutigerCE-Roman" w:hAnsi="FrutigerCE-Roman" w:cs="FrutigerCE-Roman"/>
          <w:color w:val="000000"/>
          <w:sz w:val="18"/>
          <w:szCs w:val="18"/>
        </w:rPr>
      </w:pPr>
      <w:r>
        <w:rPr>
          <w:rFonts w:cs="FrutigerCE-Roman" w:ascii="FrutigerCE-Roman" w:hAnsi="FrutigerCE-Roman"/>
          <w:color w:val="000000"/>
          <w:sz w:val="18"/>
          <w:szCs w:val="18"/>
        </w:rPr>
      </w:r>
    </w:p>
    <w:p>
      <w:pPr>
        <w:pStyle w:val="Normal"/>
        <w:rPr>
          <w:rFonts w:ascii="NeoSansPro-Bold" w:hAnsi="NeoSansPro-Bold" w:cs="NeoSansPro-Bold"/>
          <w:b/>
          <w:b/>
          <w:bCs/>
          <w:sz w:val="32"/>
          <w:szCs w:val="32"/>
        </w:rPr>
      </w:pPr>
      <w:r>
        <w:rPr>
          <w:rFonts w:cs="NeoSansPro-Bold" w:ascii="NeoSansPro-Bold" w:hAnsi="NeoSansPro-Bold"/>
          <w:b/>
          <w:bCs/>
          <w:sz w:val="32"/>
          <w:szCs w:val="32"/>
        </w:rPr>
        <w:t xml:space="preserve">4. </w:t>
        <w:tab/>
        <w:t>VPLYV NA ŽIVOTNÉ PROSTREDIE</w:t>
      </w:r>
    </w:p>
    <w:p>
      <w:pPr>
        <w:pStyle w:val="Normal"/>
        <w:rPr>
          <w:rFonts w:ascii="FrutigerCE-Roman" w:hAnsi="FrutigerCE-Roman" w:cs="FrutigerCE-Roman"/>
          <w:color w:val="000000"/>
          <w:sz w:val="18"/>
          <w:szCs w:val="18"/>
        </w:rPr>
      </w:pPr>
      <w:r>
        <w:rPr>
          <w:rFonts w:cs="FrutigerCE-Roman" w:ascii="FrutigerCE-Roman" w:hAnsi="FrutigerCE-Roman"/>
          <w:color w:val="000000"/>
          <w:sz w:val="18"/>
          <w:szCs w:val="18"/>
        </w:rPr>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Naša spoločnosť si uvedomuje svoju zodpovednosť voči životnému prostrediu, a preto sa zameriava na to, aby bola výroba hydinového mäsa priateľská k životnému prostrediu a monitoruje svoj vplyv na životné prostredie v celom výrobnom procese. Od svojho vzniku spoločnosť udržiava zavedený, hoci zatiaľ necertifikovaný systém environmentálneho riadenia podľa medzinárodného štandardu ISO 14001.</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 xml:space="preserve">Jeho dôležitou súčasťou je aj pravidelné sledovanie a vyhodnocovanie spotreby vody, energií a materiálov, ako aj množstva produkovaných odpadov a emisií v prepočte na kg vyrobeného hydinového mäsa a prijímanie  opatrení na ich znižovanie. </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 xml:space="preserve">Vo všetkých výrobných prevádzkach je zavedený systém riadenia odpadov, a tým je zabezpečené správne triedenie a vysoká miera zhodnotenia odpadov. </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Vedomí si dopadov priemyselnej výrobnej činnosti na životné prostredie a v súlade s naším programom na ochranu životného prostredia, zaväzujeme sa nepretržite zlepšovať naše environmentálne správanie v snahe zabrániť znečisťovaniu. Pre dosiahnutie tejto politiky sme si stanovili plány, ktoré pravidelne kontrolujeme. Vývoj environmentálnych indikátorov je kľúčový faktor na dosiahnutie vytýčených cieľov. Prostredníctvom nasledujúcej politiky uznávame našu zodpovednosť na trvalo udržateľný vývoj.</w:t>
      </w:r>
    </w:p>
    <w:p>
      <w:pPr>
        <w:pStyle w:val="ListParagraph"/>
        <w:numPr>
          <w:ilvl w:val="0"/>
          <w:numId w:val="5"/>
        </w:numPr>
        <w:spacing w:lineRule="auto" w:line="360"/>
        <w:ind w:left="993" w:hanging="426"/>
        <w:jc w:val="both"/>
        <w:rPr>
          <w:rFonts w:ascii="NeoSansPro-Bold" w:hAnsi="NeoSansPro-Bold" w:cs="NeoSansPro-Bold"/>
          <w:bCs/>
          <w:color w:val="333333"/>
          <w:sz w:val="20"/>
          <w:szCs w:val="20"/>
        </w:rPr>
      </w:pPr>
      <w:r>
        <w:rPr>
          <w:rFonts w:cs="NeoSansPro-Bold" w:ascii="NeoSansPro-Bold" w:hAnsi="NeoSansPro-Bold"/>
          <w:bCs/>
          <w:color w:val="333333"/>
          <w:sz w:val="20"/>
          <w:szCs w:val="20"/>
        </w:rPr>
        <w:t>Starostlivosť o životné prostredie uznáva naša spoločnosť za neoddeliteľnú súčasť každodennej práce na jestvujúcom výrobnom zariadení, ako aj pri zavádzaní nových technológií vyplývajúcich z podnikateľských zámerov spoločnosti</w:t>
      </w:r>
    </w:p>
    <w:p>
      <w:pPr>
        <w:pStyle w:val="ListParagraph"/>
        <w:numPr>
          <w:ilvl w:val="0"/>
          <w:numId w:val="5"/>
        </w:numPr>
        <w:spacing w:lineRule="auto" w:line="360"/>
        <w:ind w:left="993" w:hanging="426"/>
        <w:jc w:val="both"/>
        <w:rPr>
          <w:rFonts w:ascii="NeoSansPro-Bold" w:hAnsi="NeoSansPro-Bold" w:cs="NeoSansPro-Bold"/>
          <w:bCs/>
          <w:color w:val="333333"/>
          <w:sz w:val="20"/>
          <w:szCs w:val="20"/>
        </w:rPr>
      </w:pPr>
      <w:r>
        <w:rPr>
          <w:rFonts w:cs="NeoSansPro-Bold" w:ascii="NeoSansPro-Bold" w:hAnsi="NeoSansPro-Bold"/>
          <w:bCs/>
          <w:color w:val="333333"/>
          <w:sz w:val="20"/>
          <w:szCs w:val="20"/>
        </w:rPr>
        <w:t>Dodržiavanie environmentálnych záväzkov vyplývajúcich z právnych požiadaviek Slovenskej republiky, ako aj požiadaviek európskej únie.</w:t>
      </w:r>
    </w:p>
    <w:p>
      <w:pPr>
        <w:pStyle w:val="ListParagraph"/>
        <w:numPr>
          <w:ilvl w:val="0"/>
          <w:numId w:val="5"/>
        </w:numPr>
        <w:spacing w:lineRule="auto" w:line="360"/>
        <w:ind w:left="993" w:hanging="426"/>
        <w:jc w:val="both"/>
        <w:rPr>
          <w:rFonts w:ascii="NeoSansPro-Bold" w:hAnsi="NeoSansPro-Bold" w:cs="NeoSansPro-Bold"/>
          <w:bCs/>
          <w:color w:val="333333"/>
          <w:sz w:val="20"/>
          <w:szCs w:val="20"/>
        </w:rPr>
      </w:pPr>
      <w:r>
        <w:rPr>
          <w:rFonts w:cs="NeoSansPro-Bold" w:ascii="NeoSansPro-Bold" w:hAnsi="NeoSansPro-Bold"/>
          <w:bCs/>
          <w:color w:val="333333"/>
          <w:sz w:val="20"/>
          <w:szCs w:val="20"/>
        </w:rPr>
        <w:t>Dôraz na prevenciu pred vznikom environmentálnych nehôd, rizík náhodného znečistenia, náprav nežiaducich dôsledkov a náprav poškodení životného prostredia systematickou kontrolou technologických procesov.</w:t>
      </w:r>
    </w:p>
    <w:p>
      <w:pPr>
        <w:pStyle w:val="ListParagraph"/>
        <w:numPr>
          <w:ilvl w:val="0"/>
          <w:numId w:val="5"/>
        </w:numPr>
        <w:spacing w:lineRule="auto" w:line="360"/>
        <w:ind w:left="993" w:hanging="426"/>
        <w:jc w:val="both"/>
        <w:rPr>
          <w:rFonts w:ascii="NeoSansPro-Bold" w:hAnsi="NeoSansPro-Bold" w:cs="NeoSansPro-Bold"/>
          <w:bCs/>
          <w:color w:val="333333"/>
          <w:sz w:val="20"/>
          <w:szCs w:val="20"/>
        </w:rPr>
      </w:pPr>
      <w:r>
        <w:rPr>
          <w:rFonts w:cs="NeoSansPro-Bold" w:ascii="NeoSansPro-Bold" w:hAnsi="NeoSansPro-Bold"/>
          <w:bCs/>
          <w:color w:val="333333"/>
          <w:sz w:val="20"/>
          <w:szCs w:val="20"/>
        </w:rPr>
        <w:t>Naša spoločnosť chce trvalo zlepšovať svoje environmentálne správanie</w:t>
      </w:r>
    </w:p>
    <w:p>
      <w:pPr>
        <w:pStyle w:val="ListParagraph"/>
        <w:numPr>
          <w:ilvl w:val="0"/>
          <w:numId w:val="5"/>
        </w:numPr>
        <w:spacing w:lineRule="auto" w:line="360"/>
        <w:ind w:left="993" w:hanging="426"/>
        <w:jc w:val="both"/>
        <w:rPr>
          <w:rFonts w:ascii="NeoSansPro-Bold" w:hAnsi="NeoSansPro-Bold" w:cs="NeoSansPro-Bold"/>
          <w:bCs/>
          <w:color w:val="333333"/>
          <w:sz w:val="20"/>
          <w:szCs w:val="20"/>
        </w:rPr>
      </w:pPr>
      <w:r>
        <w:rPr>
          <w:rFonts w:cs="NeoSansPro-Bold" w:ascii="NeoSansPro-Bold" w:hAnsi="NeoSansPro-Bold"/>
          <w:bCs/>
          <w:color w:val="333333"/>
          <w:sz w:val="20"/>
          <w:szCs w:val="20"/>
        </w:rPr>
        <w:t>Naša spoločnosť uznáva princíp environmentálnej politiky – trvalé zlepšovanie vzťahu k životnému prostrediu</w:t>
      </w:r>
    </w:p>
    <w:p>
      <w:pPr>
        <w:pStyle w:val="ListParagraph"/>
        <w:numPr>
          <w:ilvl w:val="0"/>
          <w:numId w:val="5"/>
        </w:numPr>
        <w:spacing w:lineRule="auto" w:line="360"/>
        <w:ind w:left="993" w:hanging="426"/>
        <w:jc w:val="both"/>
        <w:rPr>
          <w:rFonts w:ascii="NeoSansPro-Bold" w:hAnsi="NeoSansPro-Bold" w:cs="NeoSansPro-Bold"/>
          <w:bCs/>
          <w:color w:val="333333"/>
          <w:sz w:val="20"/>
          <w:szCs w:val="20"/>
        </w:rPr>
      </w:pPr>
      <w:r>
        <w:rPr>
          <w:rFonts w:cs="NeoSansPro-Bold" w:ascii="NeoSansPro-Bold" w:hAnsi="NeoSansPro-Bold"/>
          <w:bCs/>
          <w:color w:val="333333"/>
          <w:sz w:val="20"/>
          <w:szCs w:val="20"/>
        </w:rPr>
        <w:t>Naša spoločnosť zabezpečuje funkčnú vzájomnú komunikáciu – externú aj internú.</w:t>
      </w:r>
    </w:p>
    <w:p>
      <w:pPr>
        <w:pStyle w:val="Normal"/>
        <w:rPr>
          <w:rFonts w:ascii="FrutigerCE-Roman" w:hAnsi="FrutigerCE-Roman" w:cs="FrutigerCE-Roman"/>
          <w:color w:val="000000"/>
          <w:sz w:val="18"/>
          <w:szCs w:val="18"/>
        </w:rPr>
      </w:pPr>
      <w:r>
        <w:rPr>
          <w:rFonts w:cs="FrutigerCE-Roman" w:ascii="FrutigerCE-Roman" w:hAnsi="FrutigerCE-Roman"/>
          <w:color w:val="000000"/>
          <w:sz w:val="18"/>
          <w:szCs w:val="18"/>
        </w:rPr>
      </w:r>
    </w:p>
    <w:p>
      <w:pPr>
        <w:pStyle w:val="Normal"/>
        <w:jc w:val="both"/>
        <w:rPr>
          <w:rFonts w:ascii="NeoSansPro-Bold" w:hAnsi="NeoSansPro-Bold" w:cs="NeoSansPro-Bold"/>
          <w:b/>
          <w:b/>
          <w:bCs/>
          <w:color w:val="FF0000"/>
          <w:sz w:val="32"/>
          <w:szCs w:val="32"/>
        </w:rPr>
      </w:pPr>
      <w:r>
        <w:rPr>
          <w:rFonts w:cs="NeoSansPro-Bold" w:ascii="NeoSansPro-Bold" w:hAnsi="NeoSansPro-Bold"/>
          <w:b/>
          <w:bCs/>
          <w:color w:val="333333"/>
          <w:sz w:val="32"/>
          <w:szCs w:val="32"/>
        </w:rPr>
        <w:t xml:space="preserve">5. </w:t>
        <w:tab/>
      </w:r>
      <w:r>
        <w:rPr>
          <w:rFonts w:cs="NeoSansPro-Bold" w:ascii="NeoSansPro-Bold" w:hAnsi="NeoSansPro-Bold"/>
          <w:b/>
          <w:bCs/>
          <w:sz w:val="32"/>
          <w:szCs w:val="32"/>
        </w:rPr>
        <w:t>CIELE A PROGNÓZY SPOLOČNOSTI PRE ROK 2020</w:t>
      </w:r>
    </w:p>
    <w:p>
      <w:pPr>
        <w:pStyle w:val="Normal"/>
        <w:jc w:val="both"/>
        <w:rPr>
          <w:rFonts w:ascii="NeoSansPro-Bold" w:hAnsi="NeoSansPro-Bold" w:cs="NeoSansPro-Bold"/>
          <w:bCs/>
          <w:color w:val="FF0000"/>
          <w:sz w:val="20"/>
          <w:szCs w:val="20"/>
        </w:rPr>
      </w:pPr>
      <w:r>
        <w:rPr>
          <w:rFonts w:cs="NeoSansPro-Bold" w:ascii="NeoSansPro-Bold" w:hAnsi="NeoSansPro-Bold"/>
          <w:bCs/>
          <w:color w:val="FF0000"/>
          <w:sz w:val="20"/>
          <w:szCs w:val="20"/>
        </w:rPr>
      </w:r>
    </w:p>
    <w:p>
      <w:pPr>
        <w:pStyle w:val="Normal"/>
        <w:spacing w:lineRule="auto" w:line="360"/>
        <w:jc w:val="both"/>
        <w:rPr>
          <w:rFonts w:ascii="NeoSansPro-Bold" w:hAnsi="NeoSansPro-Bold" w:cs="NeoSansPro-Bold"/>
          <w:bCs/>
          <w:color w:val="FF0000"/>
          <w:sz w:val="20"/>
          <w:szCs w:val="20"/>
        </w:rPr>
      </w:pPr>
      <w:r>
        <w:rPr>
          <w:rFonts w:cs="NeoSansPro-Bold" w:ascii="NeoSansPro-Bold" w:hAnsi="NeoSansPro-Bold"/>
          <w:bCs/>
          <w:color w:val="FF0000"/>
          <w:sz w:val="20"/>
          <w:szCs w:val="20"/>
        </w:rPr>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 xml:space="preserve">Spoločnosť sa od svojho založenia riadi podnikateľskými zámermi, ktoré schvaľuje Valné zhromaždenie. Vedenie pravidelne vyhodnocuje hospodárenie spoločnosti a prijíma operatívne riešenia v záujme zabezpečenia jej dlhodobej prosperity. </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Spoločnosť pokračuje vo svojom rozhodnutí z predchádzajúcich rokov a naďalej sa priamo nevenuje poľnohospodárskej živočíšnej prvovýrobe a  chovu jatočnej hydiny. Tieto aktivity nepriamo kontroluje a zabezpečuje na základe zmluvných vzťahov so svojimi partnermi, so zachovaním kontroly formou zmlúv o službách chovu hydiny. V roku 2019 došlo k naplneniu plánov z prechádzajúceho obdobia, ktoré sa týkali reorganizácii v oblasti spracovania vlastných výrokov. Spoločnosť na základe zmluvných vzťahov poskytuje svoje služby súvisiace s výrobou chladených a mrazených výrobkov.</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 xml:space="preserve">Zároveň pozastavila zabezpečovanie suroviny pre chov jatočných kurčiat a zamerala sa len na poskytovanie služieb, ktoré súvisia s týmito výrobnými činnosťami. </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Kľúčovým bodom rozvoja spoločnosti bude aj schopnosť zabezpečiť dostatok potrebných kvalifikovaných ľudských zdrojov, ktorých nedostatok môže negatívne ovplyvniť zámery spoločnosti.</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Na rok 2020 si spoločnosť stanovila aj naďalej pokračovať v plnení hlavných cieľov z predchádzajúceho roka, t. j. posilniť svoje postavenie na slovenskom  trhu. Toto rozhodnutie by malo byť aj odrazom dodržiavania zásad prijatých v spoločnosti v predchádzajúcich rokoch.</w:t>
      </w:r>
    </w:p>
    <w:p>
      <w:pPr>
        <w:pStyle w:val="Normal"/>
        <w:spacing w:lineRule="auto" w:line="360"/>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spacing w:lineRule="auto" w:line="360"/>
        <w:jc w:val="both"/>
        <w:rPr>
          <w:rFonts w:ascii="NeoSansPro-Bold" w:hAnsi="NeoSansPro-Bold" w:cs="NeoSansPro-Bold"/>
          <w:bCs/>
          <w:color w:val="333333"/>
          <w:sz w:val="20"/>
          <w:szCs w:val="20"/>
          <w:u w:val="single"/>
        </w:rPr>
      </w:pPr>
      <w:r>
        <w:rPr>
          <w:rFonts w:cs="NeoSansPro-Bold" w:ascii="NeoSansPro-Bold" w:hAnsi="NeoSansPro-Bold"/>
          <w:bCs/>
          <w:color w:val="333333"/>
          <w:sz w:val="20"/>
          <w:szCs w:val="20"/>
          <w:u w:val="single"/>
        </w:rPr>
        <w:t>Spoločnosť si berie za cieľ:</w:t>
      </w:r>
    </w:p>
    <w:p>
      <w:pPr>
        <w:pStyle w:val="Normal"/>
        <w:spacing w:lineRule="auto" w:line="360"/>
        <w:jc w:val="both"/>
        <w:rPr>
          <w:rFonts w:ascii="NeoSansPro-Bold" w:hAnsi="NeoSansPro-Bold" w:cs="NeoSansPro-Bold"/>
          <w:bCs/>
          <w:color w:val="333333"/>
          <w:sz w:val="20"/>
          <w:szCs w:val="20"/>
          <w:u w:val="single"/>
        </w:rPr>
      </w:pPr>
      <w:r>
        <w:rPr>
          <w:rFonts w:cs="NeoSansPro-Bold" w:ascii="NeoSansPro-Bold" w:hAnsi="NeoSansPro-Bold"/>
          <w:bCs/>
          <w:color w:val="333333"/>
          <w:sz w:val="20"/>
          <w:szCs w:val="20"/>
          <w:u w:val="single"/>
        </w:rPr>
      </w:r>
    </w:p>
    <w:p>
      <w:pPr>
        <w:pStyle w:val="Normal"/>
        <w:numPr>
          <w:ilvl w:val="0"/>
          <w:numId w:val="4"/>
        </w:numPr>
        <w:spacing w:lineRule="auto" w:line="360"/>
        <w:jc w:val="both"/>
        <w:rPr>
          <w:rFonts w:ascii="NeoSansPro-Bold" w:hAnsi="NeoSansPro-Bold" w:cs="NeoSansPro-Bold"/>
          <w:bCs/>
          <w:color w:val="333333"/>
          <w:sz w:val="20"/>
          <w:szCs w:val="20"/>
        </w:rPr>
      </w:pPr>
      <w:r>
        <w:rPr>
          <w:rFonts w:cs="NeoSansPro-Bold" w:ascii="NeoSansPro-Bold" w:hAnsi="NeoSansPro-Bold"/>
          <w:bCs/>
          <w:color w:val="333333"/>
          <w:sz w:val="20"/>
          <w:szCs w:val="20"/>
        </w:rPr>
        <w:t>udržiavať a rozvíjať spoluprácu na základe podpísaných dlhodobých obchodných zmlúv so svojimi kľúčovými partnermi,</w:t>
      </w:r>
    </w:p>
    <w:p>
      <w:pPr>
        <w:pStyle w:val="Normal"/>
        <w:numPr>
          <w:ilvl w:val="0"/>
          <w:numId w:val="4"/>
        </w:numPr>
        <w:spacing w:lineRule="auto" w:line="360"/>
        <w:jc w:val="both"/>
        <w:rPr>
          <w:rFonts w:ascii="NeoSansPro-Bold" w:hAnsi="NeoSansPro-Bold" w:cs="NeoSansPro-Bold"/>
          <w:bCs/>
          <w:color w:val="333333"/>
          <w:sz w:val="20"/>
          <w:szCs w:val="20"/>
        </w:rPr>
      </w:pPr>
      <w:r>
        <w:rPr>
          <w:rFonts w:cs="NeoSansPro-Bold" w:ascii="NeoSansPro-Bold" w:hAnsi="NeoSansPro-Bold"/>
          <w:bCs/>
          <w:color w:val="333333"/>
          <w:sz w:val="20"/>
          <w:szCs w:val="20"/>
        </w:rPr>
        <w:t>v rámci reorganizácie podnikateľskej činnosti zabezpečiť udržateľný výstup smerujúci k upevneniu postavenia spoločnosti na slovenskom podnikateľskom poli,</w:t>
      </w:r>
    </w:p>
    <w:p>
      <w:pPr>
        <w:pStyle w:val="Normal"/>
        <w:numPr>
          <w:ilvl w:val="0"/>
          <w:numId w:val="4"/>
        </w:numPr>
        <w:spacing w:lineRule="auto" w:line="360"/>
        <w:jc w:val="both"/>
        <w:rPr>
          <w:rFonts w:ascii="NeoSansPro-Bold" w:hAnsi="NeoSansPro-Bold" w:cs="NeoSansPro-Bold"/>
          <w:bCs/>
          <w:color w:val="333333"/>
          <w:sz w:val="20"/>
          <w:szCs w:val="20"/>
        </w:rPr>
      </w:pPr>
      <w:r>
        <w:rPr>
          <w:rFonts w:cs="NeoSansPro-Bold" w:ascii="NeoSansPro-Bold" w:hAnsi="NeoSansPro-Bold"/>
          <w:bCs/>
          <w:color w:val="333333"/>
          <w:sz w:val="20"/>
          <w:szCs w:val="20"/>
        </w:rPr>
        <w:t>zabezpečiť stabilizáciu spoločnosti s cieľom dosahovania prevádzkových ziskov</w:t>
      </w:r>
    </w:p>
    <w:p>
      <w:pPr>
        <w:pStyle w:val="Normal"/>
        <w:numPr>
          <w:ilvl w:val="0"/>
          <w:numId w:val="4"/>
        </w:numPr>
        <w:spacing w:lineRule="auto" w:line="360"/>
        <w:jc w:val="both"/>
        <w:rPr>
          <w:rFonts w:ascii="NeoSansPro-Bold" w:hAnsi="NeoSansPro-Bold" w:cs="NeoSansPro-Bold"/>
          <w:bCs/>
          <w:color w:val="333333"/>
          <w:sz w:val="20"/>
          <w:szCs w:val="20"/>
        </w:rPr>
      </w:pPr>
      <w:r>
        <w:rPr>
          <w:rFonts w:cs="NeoSansPro-Bold" w:ascii="NeoSansPro-Bold" w:hAnsi="NeoSansPro-Bold"/>
          <w:bCs/>
          <w:color w:val="333333"/>
          <w:sz w:val="20"/>
          <w:szCs w:val="20"/>
        </w:rPr>
        <w:t xml:space="preserve">naďalej zvyšovať predaj hydiny na zahraničných trhoch, </w:t>
      </w:r>
    </w:p>
    <w:p>
      <w:pPr>
        <w:pStyle w:val="Normal"/>
        <w:numPr>
          <w:ilvl w:val="0"/>
          <w:numId w:val="4"/>
        </w:numPr>
        <w:spacing w:lineRule="auto" w:line="360"/>
        <w:jc w:val="both"/>
        <w:rPr>
          <w:rFonts w:ascii="NeoSansPro-Bold" w:hAnsi="NeoSansPro-Bold" w:cs="NeoSansPro-Bold"/>
          <w:bCs/>
          <w:color w:val="333333"/>
          <w:sz w:val="20"/>
          <w:szCs w:val="20"/>
        </w:rPr>
      </w:pPr>
      <w:r>
        <w:rPr>
          <w:rFonts w:cs="NeoSansPro-Bold" w:ascii="NeoSansPro-Bold" w:hAnsi="NeoSansPro-Bold"/>
          <w:bCs/>
          <w:color w:val="333333"/>
          <w:sz w:val="20"/>
          <w:szCs w:val="20"/>
        </w:rPr>
        <w:t>aktívne vytvárať nové akvizície a rozvíjať nové dodávateľsko-odberateľské vzťahy.</w:t>
      </w:r>
    </w:p>
    <w:p>
      <w:pPr>
        <w:pStyle w:val="Normal"/>
        <w:spacing w:lineRule="auto" w:line="276"/>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spacing w:lineRule="auto" w:line="360"/>
        <w:jc w:val="both"/>
        <w:rPr>
          <w:rFonts w:ascii="NeoSansPro-Bold" w:hAnsi="NeoSansPro-Bold" w:cs="NeoSansPro-Bold"/>
          <w:bCs/>
          <w:color w:val="333333"/>
          <w:sz w:val="20"/>
          <w:szCs w:val="20"/>
        </w:rPr>
      </w:pPr>
      <w:r>
        <w:rPr>
          <w:rFonts w:cs="NeoSansPro-Bold" w:ascii="NeoSansPro-Bold" w:hAnsi="NeoSansPro-Bold"/>
          <w:bCs/>
          <w:color w:val="333333"/>
          <w:sz w:val="20"/>
          <w:szCs w:val="20"/>
        </w:rPr>
        <w:tab/>
        <w:t>V roku 2020 svoju výrobnú činnosť zameriame na porážku jatočných kurčiat v službe. Našim cieľom je zvýšiť množstvo porážaných slovenských kurčiat minimálne o 10% v porovnaní s minulým obdobím. Keďže sú známe naše problémy s Daňovým úradom z minulosti, iná cesta ani nie je možná pre blokáciu firemných účtov. V priebehu roka sme dostali niekoľko rozhodnutí Najvyššieho súdu o odkladných účinkoch a veríme v pozitívny výsledok rozhodnutia Európskeho súdneho dvora, ktoré by mali prichádzať v druhej polovici roka 2021. Zároveň v roku 2020 dochádza k výraznej modernizácií baliacich a chladiarenských zariadení, aby sme zvýšili kvalitu a konkurencieschopnosť našich produktov. Celú našu výrobnú činnosť však výrazne ovplyvňuje prebiehajúca pandemická kríza, ktorá nám výrazne komplikuje odbyt našich produktov. Napriek akejkoľvek absencie pomoci zo strany štátu ju zatiaľ zvládame a výroba beží v maximálnej možnej miere.</w:t>
      </w:r>
    </w:p>
    <w:p>
      <w:pPr>
        <w:pStyle w:val="Normal"/>
        <w:spacing w:lineRule="auto" w:line="360"/>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
          <w:b/>
          <w:bCs/>
          <w:color w:val="FF0000"/>
          <w:sz w:val="32"/>
          <w:szCs w:val="32"/>
        </w:rPr>
      </w:pPr>
      <w:r>
        <w:rPr>
          <w:rFonts w:cs="NeoSansPro-Bold" w:ascii="NeoSansPro-Bold" w:hAnsi="NeoSansPro-Bold"/>
          <w:b/>
          <w:bCs/>
          <w:color w:val="333333"/>
          <w:sz w:val="32"/>
          <w:szCs w:val="32"/>
        </w:rPr>
        <w:t xml:space="preserve">6. </w:t>
        <w:tab/>
      </w:r>
      <w:r>
        <w:rPr>
          <w:rFonts w:cs="NeoSansPro-Bold" w:ascii="NeoSansPro-Bold" w:hAnsi="NeoSansPro-Bold"/>
          <w:b/>
          <w:bCs/>
          <w:sz w:val="32"/>
          <w:szCs w:val="32"/>
        </w:rPr>
        <w:t>NÁKLADY NA ČINNOSŤ V OBLASTI VÝSKUMU A VÝVOJA</w:t>
      </w:r>
    </w:p>
    <w:p>
      <w:pPr>
        <w:pStyle w:val="Normal"/>
        <w:spacing w:lineRule="auto" w:line="360"/>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spacing w:lineRule="auto" w:line="360"/>
        <w:jc w:val="both"/>
        <w:rPr>
          <w:rFonts w:ascii="NeoSansPro-Bold" w:hAnsi="NeoSansPro-Bold" w:cs="NeoSansPro-Bold"/>
          <w:bCs/>
          <w:color w:val="333333"/>
          <w:sz w:val="20"/>
          <w:szCs w:val="20"/>
        </w:rPr>
      </w:pPr>
      <w:r>
        <w:rPr>
          <w:rFonts w:cs="NeoSansPro-Bold" w:ascii="NeoSansPro-Bold" w:hAnsi="NeoSansPro-Bold"/>
          <w:bCs/>
          <w:color w:val="333333"/>
          <w:sz w:val="20"/>
          <w:szCs w:val="20"/>
        </w:rPr>
        <w:t>Spoločnosť Hydina Slovensko s.r.o. v roku 2019 nemala žiadne náklady na vývoj a výskum.</w:t>
      </w:r>
    </w:p>
    <w:p>
      <w:pPr>
        <w:pStyle w:val="Normal"/>
        <w:spacing w:lineRule="auto" w:line="360"/>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spacing w:lineRule="auto" w:line="360"/>
        <w:jc w:val="both"/>
        <w:rPr>
          <w:rFonts w:ascii="NeoSansPro-Bold" w:hAnsi="NeoSansPro-Bold" w:cs="NeoSansPro-Bold"/>
          <w:b/>
          <w:b/>
          <w:bCs/>
          <w:sz w:val="32"/>
          <w:szCs w:val="32"/>
        </w:rPr>
      </w:pPr>
      <w:r>
        <w:rPr>
          <w:rFonts w:cs="NeoSansPro-Bold" w:ascii="NeoSansPro-Bold" w:hAnsi="NeoSansPro-Bold"/>
          <w:b/>
          <w:bCs/>
          <w:sz w:val="32"/>
          <w:szCs w:val="32"/>
        </w:rPr>
        <w:t xml:space="preserve">7.  </w:t>
        <w:tab/>
        <w:t>VLASTNÉ AKCIE, OBCHODNÉ PODIELY </w:t>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t>Spoločnosť  nevlastní  žiaden akcie, a ani  obchodné  podiely,  taktiež  neobchoduje  s cennými  papiermi.</w:t>
      </w:r>
    </w:p>
    <w:p>
      <w:pPr>
        <w:pStyle w:val="Normal"/>
        <w:jc w:val="both"/>
        <w:rPr>
          <w:rFonts w:ascii="NeoSansPro-Bold" w:hAnsi="NeoSansPro-Bold" w:cs="NeoSansPro-Bold"/>
          <w:b/>
          <w:b/>
          <w:bCs/>
          <w:sz w:val="32"/>
          <w:szCs w:val="32"/>
        </w:rPr>
      </w:pPr>
      <w:r>
        <w:rPr>
          <w:rFonts w:cs="NeoSansPro-Bold" w:ascii="NeoSansPro-Bold" w:hAnsi="NeoSansPro-Bold"/>
          <w:b/>
          <w:bCs/>
          <w:sz w:val="32"/>
          <w:szCs w:val="32"/>
        </w:rPr>
      </w:r>
    </w:p>
    <w:p>
      <w:pPr>
        <w:pStyle w:val="Normal"/>
        <w:jc w:val="both"/>
        <w:rPr>
          <w:rFonts w:ascii="NeoSansPro-Bold" w:hAnsi="NeoSansPro-Bold" w:cs="NeoSansPro-Bold"/>
          <w:b/>
          <w:b/>
          <w:bCs/>
          <w:sz w:val="32"/>
          <w:szCs w:val="32"/>
        </w:rPr>
      </w:pPr>
      <w:r>
        <w:rPr>
          <w:rFonts w:cs="NeoSansPro-Bold" w:ascii="NeoSansPro-Bold" w:hAnsi="NeoSansPro-Bold"/>
          <w:b/>
          <w:bCs/>
          <w:sz w:val="32"/>
          <w:szCs w:val="32"/>
        </w:rPr>
        <w:t xml:space="preserve">8. </w:t>
        <w:tab/>
        <w:t>ORGANIZAČNÁ ZLOŽKA V ZAHRANIČÍ</w:t>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
          <w:b/>
          <w:bCs/>
          <w:sz w:val="32"/>
          <w:szCs w:val="32"/>
        </w:rPr>
      </w:pPr>
      <w:r>
        <w:rPr>
          <w:rFonts w:cs="NeoSansPro-Bold" w:ascii="NeoSansPro-Bold" w:hAnsi="NeoSansPro-Bold"/>
          <w:bCs/>
          <w:color w:val="333333"/>
          <w:sz w:val="20"/>
          <w:szCs w:val="20"/>
        </w:rPr>
        <w:t>Spoločnosť  nemá organizačnú zložku v zahraničí.</w:t>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b/>
          <w:b/>
          <w:sz w:val="32"/>
          <w:szCs w:val="32"/>
        </w:rPr>
      </w:pPr>
      <w:r>
        <w:rPr>
          <w:b/>
          <w:sz w:val="32"/>
          <w:szCs w:val="32"/>
        </w:rPr>
        <w:t xml:space="preserve">9. </w:t>
        <w:tab/>
        <w:t>ZÁVER</w:t>
      </w:r>
    </w:p>
    <w:p>
      <w:pPr>
        <w:pStyle w:val="Normal"/>
        <w:rPr>
          <w:rFonts w:ascii="NeoSansPro-Bold" w:hAnsi="NeoSansPro-Bold" w:cs="NeoSansPro-Bold"/>
          <w:bCs/>
          <w:color w:val="333333"/>
          <w:sz w:val="32"/>
          <w:szCs w:val="32"/>
        </w:rPr>
      </w:pPr>
      <w:r>
        <w:rPr>
          <w:rFonts w:cs="NeoSansPro-Bold" w:ascii="NeoSansPro-Bold" w:hAnsi="NeoSansPro-Bold"/>
          <w:bCs/>
          <w:color w:val="333333"/>
          <w:sz w:val="32"/>
          <w:szCs w:val="32"/>
        </w:rPr>
      </w:r>
    </w:p>
    <w:p>
      <w:pPr>
        <w:pStyle w:val="Normal"/>
        <w:ind w:left="360" w:hanging="0"/>
        <w:rPr>
          <w:rFonts w:ascii="NeoSansPro-Bold" w:hAnsi="NeoSansPro-Bold" w:cs="NeoSansPro-Bold"/>
          <w:bCs/>
          <w:color w:val="333333"/>
          <w:sz w:val="32"/>
          <w:szCs w:val="32"/>
        </w:rPr>
      </w:pPr>
      <w:r>
        <w:rPr>
          <w:rFonts w:cs="NeoSansPro-Bold" w:ascii="NeoSansPro-Bold" w:hAnsi="NeoSansPro-Bold"/>
          <w:bCs/>
          <w:color w:val="333333"/>
          <w:sz w:val="32"/>
          <w:szCs w:val="32"/>
        </w:rPr>
        <w:t>9.1.     Zhodnotenie činnosti</w:t>
      </w:r>
    </w:p>
    <w:p>
      <w:pPr>
        <w:pStyle w:val="Normal"/>
        <w:rPr/>
      </w:pPr>
      <w:r>
        <w:rPr/>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Činnosť spoločnosti sa v roku 2019 riadila podnikateľským zámerom schváleným Valným zhromaždením, ktorého plnenie bolo mesačne sledované a vyhodnocované. Za rok 2019 spoločnosť dosiahla čistý obrat vo výške 38 025 588,- € s priemerným prepočítaným počtom zamestnancov 309, čo predstavuje pokles obratu v porovnaní s rokom 2018 o 41,13 %</w:t>
      </w:r>
      <w:r>
        <w:rPr>
          <w:rFonts w:cs="NeoSansPro-Bold" w:ascii="NeoSansPro-Bold" w:hAnsi="NeoSansPro-Bold"/>
          <w:bCs/>
          <w:color w:val="FF0000"/>
          <w:sz w:val="20"/>
          <w:szCs w:val="20"/>
        </w:rPr>
        <w:t>.</w:t>
      </w:r>
      <w:r>
        <w:rPr>
          <w:rFonts w:cs="NeoSansPro-Bold" w:ascii="NeoSansPro-Bold" w:hAnsi="NeoSansPro-Bold"/>
          <w:bCs/>
          <w:color w:val="333333"/>
          <w:sz w:val="20"/>
          <w:szCs w:val="20"/>
        </w:rPr>
        <w:t xml:space="preserve"> Pridaná hodnota bola vytvorená vo výške                  6 535 550,- €, čo predstavuje jej zníženie v porovnaní s predchádzajúcim rokom, a to o 26,79 %.  V priebehu celého roku 2019 spoločnosť úspešne odolávala vplyvu vzrastajúcej nepriaznivej situácii v potravinárstve a úspešne sa vyrovnávala s platobnou neschopnosťou. Bol zabezpečený pravidelný prísun prostriedkov na úhrady odberateľských faktúr.</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 xml:space="preserve">Vývoj spoločnosti bol aj tento rok poznačený nepriaznivým vplyvom, ktorý vyplynul z minulých rokov. </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 xml:space="preserve">Hospodársky výsledok roku 2019 značne ovplyvnili viaceré faktory a situácie, ktoré s udiali v danom roku. Rozhodnutie spoločnosti ukončiť výrobu vlastných mrazených a chladených výrobkov a zamerať sa len na poskytovanie služieb týkajúcich sa tejto oblasti malo za následok výrazné zníženie zásob spoločnosti ku koncu roka, a to celkovo zníženie o 1 112 905,- €. Pokles investícií vo výške 4 941 260,- € mal tiež svoj podiel na nepriaznivom hospodárskom výsledku spoločnosti.. Zaúčtovaním rezervy na dodatočné dorúbenie DPH vo výške 1 487 763,- € a dodatočné dorúbeníe DPH  z ukončených daňových kontrol minulých rokov vo výške 1 980 536,- €, spoločnosť vyprodukovala stratu pred zdanením vo výške – 2 647 019,- €, daňová povinnosť je vo výške 232 680,- € a hospodársky výsledok po zdanení predstavuje stratu vo výške                                – 2 874 390,- €. Týmto činom sa spoločnosť dostáva do situácie, ktorú bude musieť v najbližšom období vyriešiť vzhľadom na mínusové vlastné imanie, ktoré dosiahlo hodnotu – 2 001 012,- €. Pre porovnanie - predchádzajúci rok spoločnosť dosiahla zisk pred zdanením vo výške 1 094 805,- €, čo po zdanení predstavuje zisk vo výške 283 889,- €. </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Spoločnosť v tomto roku nečerpala žiadne dotácie a investovala len minimálne finančné prostriedky.</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t>Všetky kroky, ktoré spoločnosť v roku 2019 podnikla, podnikla v snahe zabezpečiť stabilitu, konkurencieschopnosti spoločnosti a schopnosti spoločnosti nepretržite pokračovať vo svojej činnosti.</w:t>
      </w:r>
    </w:p>
    <w:p>
      <w:pPr>
        <w:pStyle w:val="Normal"/>
        <w:spacing w:lineRule="auto" w:line="360"/>
        <w:ind w:firstLine="708"/>
        <w:jc w:val="both"/>
        <w:rPr/>
      </w:pPr>
      <w:r>
        <w:rPr>
          <w:rFonts w:cs="NeoSansPro-Bold" w:ascii="NeoSansPro-Bold" w:hAnsi="NeoSansPro-Bold"/>
          <w:bCs/>
          <w:color w:val="333333"/>
          <w:sz w:val="20"/>
          <w:szCs w:val="20"/>
        </w:rPr>
        <w:t>Koncom roka 2019 sa prvýkrát objavili správy z Číny o koronavíruse. V prvých mesiacoch roku 2020 sa vírus rozšíril do celého sveta a jeho negatívny vplyv nadobudol veľké rozmery. Aj keď v čase zverejnenia tejto účtovnej závierky vedenie účtovnej jednotky nezaznamenalo zreteľný pokles predaja, nakoľko sa však situácia stále mení, preto nemožno predvídať budúce účinky/dopady. Manažment bude pokračovať v monitorovaní potenciálneho dopadu a podnikne všetky možné kroky na zmiernenie akýchkoľvek negatívnych účinkov na spoločnosť a jej zamestnancov</w:t>
      </w:r>
      <w:r>
        <w:rPr/>
        <w:t>.</w:t>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spacing w:lineRule="auto" w:line="360"/>
        <w:ind w:firstLine="708"/>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ind w:left="360" w:hanging="0"/>
        <w:rPr>
          <w:rFonts w:ascii="NeoSansPro-Bold" w:hAnsi="NeoSansPro-Bold" w:cs="NeoSansPro-Bold"/>
          <w:bCs/>
          <w:color w:val="333333"/>
          <w:sz w:val="32"/>
          <w:szCs w:val="32"/>
        </w:rPr>
      </w:pPr>
      <w:r>
        <w:rPr>
          <w:rFonts w:cs="NeoSansPro-Bold" w:ascii="NeoSansPro-Bold" w:hAnsi="NeoSansPro-Bold"/>
          <w:bCs/>
          <w:color w:val="333333"/>
          <w:sz w:val="32"/>
          <w:szCs w:val="32"/>
        </w:rPr>
        <w:t>9.2.     Návrh na rozdelenie výsledku hospodárenia</w:t>
      </w:r>
    </w:p>
    <w:p>
      <w:pPr>
        <w:pStyle w:val="Normal"/>
        <w:ind w:left="360" w:hanging="0"/>
        <w:rPr>
          <w:rFonts w:ascii="NeoSansPro-Bold" w:hAnsi="NeoSansPro-Bold" w:cs="NeoSansPro-Bold"/>
          <w:bCs/>
          <w:color w:val="333333"/>
          <w:sz w:val="32"/>
          <w:szCs w:val="32"/>
        </w:rPr>
      </w:pPr>
      <w:r>
        <w:rPr>
          <w:rFonts w:cs="NeoSansPro-Bold" w:ascii="NeoSansPro-Bold" w:hAnsi="NeoSansPro-Bold"/>
          <w:bCs/>
          <w:color w:val="333333"/>
          <w:sz w:val="32"/>
          <w:szCs w:val="32"/>
        </w:rPr>
      </w:r>
      <w:bookmarkStart w:id="6" w:name="_MON_1427807587"/>
      <w:bookmarkStart w:id="7" w:name="_MON_1427797759"/>
      <w:bookmarkStart w:id="8" w:name="_MON_1427797736"/>
      <w:bookmarkStart w:id="9" w:name="_MON_1427797731"/>
      <w:bookmarkStart w:id="10" w:name="_MON_1427797708"/>
      <w:bookmarkStart w:id="11" w:name="_MON_1427797560"/>
      <w:bookmarkStart w:id="12" w:name="_MON_1459022026"/>
      <w:bookmarkStart w:id="13" w:name="_MON_1459021795"/>
      <w:bookmarkStart w:id="14" w:name="_MON_1459021474"/>
      <w:bookmarkStart w:id="15" w:name="_MON_1427807700"/>
      <w:bookmarkStart w:id="16" w:name="_MON_1427807605"/>
      <w:bookmarkStart w:id="17" w:name="_MON_1427807587"/>
      <w:bookmarkStart w:id="18" w:name="_MON_1427797759"/>
      <w:bookmarkStart w:id="19" w:name="_MON_1427797736"/>
      <w:bookmarkStart w:id="20" w:name="_MON_1427797731"/>
      <w:bookmarkStart w:id="21" w:name="_MON_1427797708"/>
      <w:bookmarkStart w:id="22" w:name="_MON_1427797560"/>
      <w:bookmarkStart w:id="23" w:name="_MON_1459022026"/>
      <w:bookmarkStart w:id="24" w:name="_MON_1459021795"/>
      <w:bookmarkStart w:id="25" w:name="_MON_1459021474"/>
      <w:bookmarkStart w:id="26" w:name="_MON_1427807700"/>
      <w:bookmarkStart w:id="27" w:name="_MON_1427807605"/>
      <w:bookmarkEnd w:id="17"/>
      <w:bookmarkEnd w:id="18"/>
      <w:bookmarkEnd w:id="19"/>
      <w:bookmarkEnd w:id="20"/>
      <w:bookmarkEnd w:id="21"/>
      <w:bookmarkEnd w:id="22"/>
      <w:bookmarkEnd w:id="23"/>
      <w:bookmarkEnd w:id="24"/>
      <w:bookmarkEnd w:id="25"/>
      <w:bookmarkEnd w:id="26"/>
      <w:bookmarkEnd w:id="27"/>
    </w:p>
    <w:p>
      <w:pPr>
        <w:pStyle w:val="Normal"/>
        <w:jc w:val="both"/>
        <w:rPr>
          <w:rFonts w:ascii="FrutigerCE-Roman" w:hAnsi="FrutigerCE-Roman" w:cs="FrutigerCE-Roman"/>
          <w:b/>
          <w:b/>
          <w:color w:val="000000"/>
        </w:rPr>
      </w:pPr>
      <w:r>
        <w:rPr/>
        <w:object>
          <v:shape id="ole_rId15" style="width:504.85pt;height:123.05pt" o:ole="">
            <v:imagedata r:id="rId16" o:title=""/>
          </v:shape>
          <o:OLEObject Type="Embed" ProgID="Excel.Sheet.8" ShapeID="ole_rId15" DrawAspect="Content" ObjectID="_1052350183" r:id="rId15"/>
        </w:object>
      </w:r>
    </w:p>
    <w:p>
      <w:pPr>
        <w:pStyle w:val="Normal"/>
        <w:ind w:right="-284" w:hanging="0"/>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spacing w:lineRule="auto" w:line="360"/>
        <w:ind w:right="-284" w:hanging="0"/>
        <w:jc w:val="both"/>
        <w:rPr>
          <w:rFonts w:ascii="NeoSansPro-Bold" w:hAnsi="NeoSansPro-Bold" w:cs="NeoSansPro-Bold"/>
          <w:bCs/>
          <w:color w:val="333333"/>
          <w:sz w:val="20"/>
          <w:szCs w:val="20"/>
        </w:rPr>
      </w:pPr>
      <w:r>
        <w:rPr>
          <w:rFonts w:cs="NeoSansPro-Bold" w:ascii="NeoSansPro-Bold" w:hAnsi="NeoSansPro-Bold"/>
          <w:bCs/>
          <w:color w:val="333333"/>
          <w:sz w:val="20"/>
          <w:szCs w:val="20"/>
        </w:rPr>
        <w:t xml:space="preserve">Valné zhromaždenie rozhodne o výsledku hospodárenia za účtovné obdobie roku 2019 v hodnote                                    - 2 874 390,35 €. </w:t>
      </w:r>
    </w:p>
    <w:p>
      <w:pPr>
        <w:pStyle w:val="Normal"/>
        <w:spacing w:lineRule="auto" w:line="360"/>
        <w:ind w:right="-284" w:hanging="0"/>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spacing w:lineRule="auto" w:line="360"/>
        <w:ind w:right="-284" w:hanging="0"/>
        <w:jc w:val="both"/>
        <w:rPr>
          <w:rFonts w:ascii="NeoSansPro-Bold" w:hAnsi="NeoSansPro-Bold" w:cs="NeoSansPro-Bold"/>
          <w:bCs/>
          <w:color w:val="333333"/>
          <w:sz w:val="20"/>
          <w:szCs w:val="20"/>
        </w:rPr>
      </w:pPr>
      <w:r>
        <w:rPr>
          <w:rFonts w:cs="NeoSansPro-Bold" w:ascii="NeoSansPro-Bold" w:hAnsi="NeoSansPro-Bold"/>
          <w:bCs/>
          <w:color w:val="333333"/>
          <w:sz w:val="20"/>
          <w:szCs w:val="20"/>
        </w:rPr>
        <w:t>Návrh Valnému zhromaždeniu je nasledovný:</w:t>
      </w:r>
    </w:p>
    <w:p>
      <w:pPr>
        <w:pStyle w:val="Normal"/>
        <w:numPr>
          <w:ilvl w:val="0"/>
          <w:numId w:val="3"/>
        </w:numPr>
        <w:spacing w:lineRule="auto" w:line="360"/>
        <w:jc w:val="both"/>
        <w:rPr>
          <w:rFonts w:ascii="NeoSansPro-Bold" w:hAnsi="NeoSansPro-Bold" w:cs="NeoSansPro-Bold"/>
          <w:bCs/>
          <w:color w:val="333333"/>
          <w:sz w:val="20"/>
          <w:szCs w:val="20"/>
        </w:rPr>
      </w:pPr>
      <w:r>
        <w:rPr>
          <w:rFonts w:cs="NeoSansPro-Bold" w:ascii="NeoSansPro-Bold" w:hAnsi="NeoSansPro-Bold"/>
          <w:bCs/>
          <w:color w:val="333333"/>
          <w:sz w:val="20"/>
          <w:szCs w:val="20"/>
        </w:rPr>
        <w:t>prídel do rezervného fondu v sume 0,- EUR</w:t>
      </w:r>
    </w:p>
    <w:p>
      <w:pPr>
        <w:pStyle w:val="Normal"/>
        <w:numPr>
          <w:ilvl w:val="0"/>
          <w:numId w:val="3"/>
        </w:numPr>
        <w:spacing w:lineRule="auto" w:line="360"/>
        <w:jc w:val="both"/>
        <w:rPr>
          <w:rFonts w:ascii="NeoSansPro-Bold" w:hAnsi="NeoSansPro-Bold" w:cs="NeoSansPro-Bold"/>
          <w:bCs/>
          <w:color w:val="333333"/>
          <w:sz w:val="20"/>
          <w:szCs w:val="20"/>
        </w:rPr>
      </w:pPr>
      <w:r>
        <w:rPr>
          <w:rFonts w:cs="NeoSansPro-Bold" w:ascii="NeoSansPro-Bold" w:hAnsi="NeoSansPro-Bold"/>
          <w:bCs/>
          <w:color w:val="333333"/>
          <w:sz w:val="20"/>
          <w:szCs w:val="20"/>
        </w:rPr>
        <w:t>prevod na účet neuhradenej straty minulých období v sume:  - 2 874 390,35 EUR</w:t>
      </w:r>
    </w:p>
    <w:p>
      <w:pPr>
        <w:pStyle w:val="Normal"/>
        <w:numPr>
          <w:ilvl w:val="0"/>
          <w:numId w:val="3"/>
        </w:numPr>
        <w:spacing w:lineRule="auto" w:line="360"/>
        <w:jc w:val="both"/>
        <w:rPr>
          <w:rFonts w:ascii="NeoSansPro-Bold" w:hAnsi="NeoSansPro-Bold" w:cs="NeoSansPro-Bold"/>
          <w:bCs/>
          <w:color w:val="333333"/>
          <w:sz w:val="20"/>
          <w:szCs w:val="20"/>
        </w:rPr>
      </w:pPr>
      <w:r>
        <w:rPr>
          <w:rFonts w:cs="NeoSansPro-Bold" w:ascii="NeoSansPro-Bold" w:hAnsi="NeoSansPro-Bold"/>
          <w:bCs/>
          <w:color w:val="333333"/>
          <w:sz w:val="20"/>
          <w:szCs w:val="20"/>
        </w:rPr>
        <w:t>prevod na účet neuhradená strata minulých období v sume: 0,-  EUR</w:t>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t>Valné zhromaždenie sa uznesie v termíne po 30.10.2020.</w:t>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bookmarkStart w:id="28" w:name="_GoBack"/>
      <w:bookmarkStart w:id="29" w:name="_GoBack"/>
      <w:bookmarkEnd w:id="29"/>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jc w:val="both"/>
        <w:rPr>
          <w:rFonts w:ascii="NeoSansPro-Bold" w:hAnsi="NeoSansPro-Bold" w:cs="NeoSansPro-Bold"/>
          <w:bCs/>
          <w:color w:val="333333"/>
          <w:sz w:val="20"/>
          <w:szCs w:val="20"/>
        </w:rPr>
      </w:pPr>
      <w:r>
        <w:rPr>
          <w:rFonts w:cs="NeoSansPro-Bold" w:ascii="NeoSansPro-Bold" w:hAnsi="NeoSansPro-Bold"/>
          <w:bCs/>
          <w:color w:val="333333"/>
          <w:sz w:val="20"/>
          <w:szCs w:val="20"/>
        </w:rPr>
      </w:r>
    </w:p>
    <w:p>
      <w:pPr>
        <w:pStyle w:val="Normal"/>
        <w:rPr>
          <w:b/>
          <w:b/>
          <w:sz w:val="32"/>
          <w:szCs w:val="32"/>
        </w:rPr>
      </w:pPr>
      <w:r>
        <w:rPr>
          <w:b/>
          <w:sz w:val="32"/>
          <w:szCs w:val="32"/>
        </w:rPr>
        <w:t xml:space="preserve">10. </w:t>
        <w:tab/>
        <w:t>ÚČTOVNÁ ZÁVIERKA ZA ROK 2019</w:t>
      </w:r>
    </w:p>
    <w:p>
      <w:pPr>
        <w:pStyle w:val="Normal"/>
        <w:rPr>
          <w:rFonts w:ascii="FrutigerCE-Roman" w:hAnsi="FrutigerCE-Roman" w:cs="FrutigerCE-Roman"/>
          <w:b/>
          <w:b/>
          <w:color w:val="000000"/>
          <w:sz w:val="32"/>
          <w:szCs w:val="32"/>
        </w:rPr>
      </w:pPr>
      <w:r>
        <w:rPr>
          <w:rFonts w:cs="FrutigerCE-Roman" w:ascii="FrutigerCE-Roman" w:hAnsi="FrutigerCE-Roman"/>
          <w:b/>
          <w:color w:val="000000"/>
          <w:sz w:val="32"/>
          <w:szCs w:val="32"/>
        </w:rPr>
      </w:r>
    </w:p>
    <w:p>
      <w:pPr>
        <w:pStyle w:val="Normal"/>
        <w:rPr>
          <w:rFonts w:ascii="NeoSansPro-Bold" w:hAnsi="NeoSansPro-Bold" w:cs="NeoSansPro-Bold"/>
          <w:b/>
          <w:b/>
          <w:bCs/>
          <w:color w:val="333333"/>
          <w:sz w:val="28"/>
          <w:szCs w:val="28"/>
        </w:rPr>
      </w:pPr>
      <w:r>
        <w:rPr>
          <w:rFonts w:cs="NeoSansPro-Bold" w:ascii="NeoSansPro-Bold" w:hAnsi="NeoSansPro-Bold"/>
          <w:b/>
          <w:bCs/>
          <w:color w:val="333333"/>
          <w:sz w:val="28"/>
          <w:szCs w:val="28"/>
        </w:rPr>
      </w:r>
    </w:p>
    <w:p>
      <w:pPr>
        <w:pStyle w:val="Normal"/>
        <w:ind w:firstLine="708"/>
        <w:rPr>
          <w:rFonts w:ascii="NeoSansPro-Bold" w:hAnsi="NeoSansPro-Bold" w:cs="NeoSansPro-Bold"/>
          <w:b/>
          <w:b/>
          <w:bCs/>
          <w:color w:val="333333"/>
          <w:sz w:val="28"/>
          <w:szCs w:val="28"/>
        </w:rPr>
      </w:pPr>
      <w:r>
        <w:rPr>
          <w:rFonts w:cs="NeoSansPro-Bold" w:ascii="NeoSansPro-Bold" w:hAnsi="NeoSansPro-Bold"/>
          <w:b/>
          <w:bCs/>
          <w:color w:val="333333"/>
          <w:sz w:val="28"/>
          <w:szCs w:val="28"/>
        </w:rPr>
        <w:t>Účtovná závierka k 31.12.2019</w:t>
      </w:r>
    </w:p>
    <w:p>
      <w:pPr>
        <w:pStyle w:val="Normal"/>
        <w:rPr>
          <w:rFonts w:ascii="NeoSansPro-Bold" w:hAnsi="NeoSansPro-Bold" w:cs="NeoSansPro-Bold"/>
          <w:b/>
          <w:b/>
          <w:bCs/>
          <w:color w:val="333333"/>
          <w:sz w:val="28"/>
          <w:szCs w:val="28"/>
        </w:rPr>
      </w:pPr>
      <w:r>
        <w:rPr>
          <w:rFonts w:cs="NeoSansPro-Bold" w:ascii="NeoSansPro-Bold" w:hAnsi="NeoSansPro-Bold"/>
          <w:b/>
          <w:bCs/>
          <w:color w:val="333333"/>
          <w:sz w:val="28"/>
          <w:szCs w:val="28"/>
        </w:rPr>
      </w:r>
    </w:p>
    <w:p>
      <w:pPr>
        <w:pStyle w:val="Normal"/>
        <w:ind w:firstLine="708"/>
        <w:rPr>
          <w:rFonts w:ascii="NeoSansPro-Bold" w:hAnsi="NeoSansPro-Bold" w:cs="NeoSansPro-Bold"/>
          <w:b/>
          <w:b/>
          <w:bCs/>
          <w:color w:val="333333"/>
          <w:sz w:val="28"/>
          <w:szCs w:val="28"/>
        </w:rPr>
      </w:pPr>
      <w:r>
        <w:rPr>
          <w:rFonts w:cs="NeoSansPro-Bold" w:ascii="NeoSansPro-Bold" w:hAnsi="NeoSansPro-Bold"/>
          <w:b/>
          <w:bCs/>
          <w:color w:val="333333"/>
          <w:sz w:val="28"/>
          <w:szCs w:val="28"/>
        </w:rPr>
        <w:t>Poznámky k účtovnej závierke k 31.12.2019</w:t>
      </w:r>
    </w:p>
    <w:p>
      <w:pPr>
        <w:pStyle w:val="Normal"/>
        <w:rPr>
          <w:rFonts w:ascii="NeoSansPro-Bold" w:hAnsi="NeoSansPro-Bold" w:cs="NeoSansPro-Bold"/>
          <w:b/>
          <w:b/>
          <w:bCs/>
          <w:color w:val="333333"/>
          <w:sz w:val="28"/>
          <w:szCs w:val="28"/>
        </w:rPr>
      </w:pPr>
      <w:r>
        <w:rPr>
          <w:rFonts w:cs="NeoSansPro-Bold" w:ascii="NeoSansPro-Bold" w:hAnsi="NeoSansPro-Bold"/>
          <w:b/>
          <w:bCs/>
          <w:color w:val="333333"/>
          <w:sz w:val="28"/>
          <w:szCs w:val="28"/>
        </w:rPr>
      </w:r>
    </w:p>
    <w:p>
      <w:pPr>
        <w:pStyle w:val="Normal"/>
        <w:ind w:firstLine="708"/>
        <w:rPr>
          <w:rFonts w:ascii="NeoSansPro-Bold" w:hAnsi="NeoSansPro-Bold" w:cs="NeoSansPro-Bold"/>
          <w:b/>
          <w:b/>
          <w:bCs/>
          <w:color w:val="333333"/>
          <w:sz w:val="28"/>
          <w:szCs w:val="28"/>
        </w:rPr>
      </w:pPr>
      <w:r>
        <w:rPr>
          <w:rFonts w:cs="NeoSansPro-Bold" w:ascii="NeoSansPro-Bold" w:hAnsi="NeoSansPro-Bold"/>
          <w:b/>
          <w:bCs/>
          <w:color w:val="333333"/>
          <w:sz w:val="28"/>
          <w:szCs w:val="28"/>
        </w:rPr>
        <w:t>Výkaz o peňažných tokoch za rok 2019</w:t>
      </w:r>
    </w:p>
    <w:p>
      <w:pPr>
        <w:pStyle w:val="Normal"/>
        <w:rPr>
          <w:rFonts w:ascii="NeoSansPro-Bold" w:hAnsi="NeoSansPro-Bold" w:cs="NeoSansPro-Bold"/>
          <w:b/>
          <w:b/>
          <w:bCs/>
          <w:color w:val="333333"/>
          <w:sz w:val="28"/>
          <w:szCs w:val="28"/>
        </w:rPr>
      </w:pPr>
      <w:r>
        <w:rPr>
          <w:rFonts w:cs="NeoSansPro-Bold" w:ascii="NeoSansPro-Bold" w:hAnsi="NeoSansPro-Bold"/>
          <w:b/>
          <w:bCs/>
          <w:color w:val="333333"/>
          <w:sz w:val="28"/>
          <w:szCs w:val="28"/>
        </w:rPr>
      </w:r>
    </w:p>
    <w:p>
      <w:pPr>
        <w:pStyle w:val="Normal"/>
        <w:ind w:firstLine="708"/>
        <w:rPr>
          <w:rFonts w:ascii="NeoSansPro-Bold" w:hAnsi="NeoSansPro-Bold" w:cs="NeoSansPro-Bold"/>
          <w:b/>
          <w:b/>
          <w:bCs/>
          <w:color w:val="333333"/>
          <w:sz w:val="28"/>
          <w:szCs w:val="28"/>
        </w:rPr>
      </w:pPr>
      <w:r>
        <w:rPr>
          <w:rFonts w:cs="NeoSansPro-Bold" w:ascii="NeoSansPro-Bold" w:hAnsi="NeoSansPro-Bold"/>
          <w:b/>
          <w:bCs/>
          <w:color w:val="333333"/>
          <w:sz w:val="28"/>
          <w:szCs w:val="28"/>
        </w:rPr>
        <w:t xml:space="preserve">Správa nezávislého audítora </w:t>
      </w:r>
    </w:p>
    <w:p>
      <w:pPr>
        <w:pStyle w:val="Normal"/>
        <w:rPr>
          <w:rFonts w:ascii="NeoSansPro-Bold" w:hAnsi="NeoSansPro-Bold" w:cs="NeoSansPro-Bold"/>
          <w:b/>
          <w:b/>
          <w:bCs/>
          <w:color w:val="333333"/>
          <w:sz w:val="28"/>
          <w:szCs w:val="28"/>
        </w:rPr>
      </w:pPr>
      <w:r>
        <w:rPr>
          <w:rFonts w:cs="NeoSansPro-Bold" w:ascii="NeoSansPro-Bold" w:hAnsi="NeoSansPro-Bold"/>
          <w:b/>
          <w:bCs/>
          <w:color w:val="333333"/>
          <w:sz w:val="28"/>
          <w:szCs w:val="28"/>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sectPr>
      <w:headerReference w:type="default" r:id="rId17"/>
      <w:type w:val="nextPage"/>
      <w:pgSz w:w="11906" w:h="16838"/>
      <w:pgMar w:left="1417" w:right="991" w:header="708" w:top="1417" w:footer="0" w:bottom="1417"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Arial">
    <w:charset w:val="ee"/>
    <w:family w:val="roman"/>
    <w:pitch w:val="variable"/>
  </w:font>
  <w:font w:name="Tahoma">
    <w:charset w:val="ee"/>
    <w:family w:val="roman"/>
    <w:pitch w:val="variable"/>
  </w:font>
  <w:font w:name="Liberation Sans">
    <w:altName w:val="Arial"/>
    <w:charset w:val="ee"/>
    <w:family w:val="roman"/>
    <w:pitch w:val="variable"/>
  </w:font>
  <w:font w:name="Arial Narrow">
    <w:charset w:val="ee"/>
    <w:family w:val="roman"/>
    <w:pitch w:val="variable"/>
  </w:font>
  <w:font w:name="Times New Roman">
    <w:charset w:val="ee"/>
    <w:family w:val="roman"/>
    <w:pitch w:val="variable"/>
  </w:font>
  <w:font w:name="NeoSansPro-Bold">
    <w:charset w:val="ee"/>
    <w:family w:val="roman"/>
    <w:pitch w:val="variable"/>
  </w:font>
  <w:font w:name="FrutigerCE-Roman">
    <w:charset w:val="ee"/>
    <w:family w:val="roman"/>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lavika"/>
      <w:rPr/>
    </w:pPr>
    <w:r>
      <w:rPr/>
    </w:r>
  </w:p>
  <w:p>
    <w:pPr>
      <w:pStyle w:val="Normal"/>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720" w:hanging="360"/>
      </w:pPr>
      <w:rPr>
        <w:rFonts w:cs="Times New Roman"/>
      </w:rPr>
    </w:lvl>
    <w:lvl w:ilvl="1">
      <w:start w:val="1"/>
      <w:numFmt w:val="decimal"/>
      <w:lvlText w:val="%1.%2."/>
      <w:lvlJc w:val="left"/>
      <w:pPr>
        <w:tabs>
          <w:tab w:val="num" w:pos="0"/>
        </w:tabs>
        <w:ind w:left="1080" w:hanging="720"/>
      </w:pPr>
      <w:rPr>
        <w:rFonts w:cs="Times New Roman"/>
      </w:rPr>
    </w:lvl>
    <w:lvl w:ilvl="2">
      <w:start w:val="1"/>
      <w:numFmt w:val="decimal"/>
      <w:lvlText w:val="%1.%2.%3."/>
      <w:lvlJc w:val="left"/>
      <w:pPr>
        <w:tabs>
          <w:tab w:val="num" w:pos="0"/>
        </w:tabs>
        <w:ind w:left="1080" w:hanging="720"/>
      </w:pPr>
      <w:rPr>
        <w:rFonts w:cs="Times New Roman"/>
      </w:rPr>
    </w:lvl>
    <w:lvl w:ilvl="3">
      <w:start w:val="1"/>
      <w:numFmt w:val="decimal"/>
      <w:lvlText w:val="%1.%2.%3.%4."/>
      <w:lvlJc w:val="left"/>
      <w:pPr>
        <w:tabs>
          <w:tab w:val="num" w:pos="0"/>
        </w:tabs>
        <w:ind w:left="1440" w:hanging="1080"/>
      </w:pPr>
      <w:rPr>
        <w:rFonts w:cs="Times New Roman"/>
      </w:rPr>
    </w:lvl>
    <w:lvl w:ilvl="4">
      <w:start w:val="1"/>
      <w:numFmt w:val="decimal"/>
      <w:lvlText w:val="%1.%2.%3.%4.%5."/>
      <w:lvlJc w:val="left"/>
      <w:pPr>
        <w:tabs>
          <w:tab w:val="num" w:pos="0"/>
        </w:tabs>
        <w:ind w:left="1440" w:hanging="1080"/>
      </w:pPr>
      <w:rPr>
        <w:rFonts w:cs="Times New Roman"/>
      </w:rPr>
    </w:lvl>
    <w:lvl w:ilvl="5">
      <w:start w:val="1"/>
      <w:numFmt w:val="decimal"/>
      <w:lvlText w:val="%1.%2.%3.%4.%5.%6."/>
      <w:lvlJc w:val="left"/>
      <w:pPr>
        <w:tabs>
          <w:tab w:val="num" w:pos="0"/>
        </w:tabs>
        <w:ind w:left="1800" w:hanging="1440"/>
      </w:pPr>
      <w:rPr>
        <w:rFonts w:cs="Times New Roman"/>
      </w:rPr>
    </w:lvl>
    <w:lvl w:ilvl="6">
      <w:start w:val="1"/>
      <w:numFmt w:val="decimal"/>
      <w:lvlText w:val="%1.%2.%3.%4.%5.%6.%7."/>
      <w:lvlJc w:val="left"/>
      <w:pPr>
        <w:tabs>
          <w:tab w:val="num" w:pos="0"/>
        </w:tabs>
        <w:ind w:left="1800" w:hanging="1440"/>
      </w:pPr>
      <w:rPr>
        <w:rFonts w:cs="Times New Roman"/>
      </w:rPr>
    </w:lvl>
    <w:lvl w:ilvl="7">
      <w:start w:val="1"/>
      <w:numFmt w:val="decimal"/>
      <w:lvlText w:val="%1.%2.%3.%4.%5.%6.%7.%8."/>
      <w:lvlJc w:val="left"/>
      <w:pPr>
        <w:tabs>
          <w:tab w:val="num" w:pos="0"/>
        </w:tabs>
        <w:ind w:left="2160" w:hanging="1800"/>
      </w:pPr>
      <w:rPr>
        <w:rFonts w:cs="Times New Roman"/>
      </w:rPr>
    </w:lvl>
    <w:lvl w:ilvl="8">
      <w:start w:val="1"/>
      <w:numFmt w:val="decimal"/>
      <w:lvlText w:val="%1.%2.%3.%4.%5.%6.%7.%8.%9."/>
      <w:lvlJc w:val="left"/>
      <w:pPr>
        <w:tabs>
          <w:tab w:val="num" w:pos="0"/>
        </w:tabs>
        <w:ind w:left="2520" w:hanging="2160"/>
      </w:pPr>
      <w:rPr>
        <w:rFonts w:cs="Times New Roman"/>
      </w:rPr>
    </w:lvl>
  </w:abstractNum>
  <w:abstractNum w:abstractNumId="2">
    <w:lvl w:ilvl="0">
      <w:start w:val="1"/>
      <w:numFmt w:val="decimal"/>
      <w:lvlText w:val="%1."/>
      <w:lvlJc w:val="left"/>
      <w:pPr>
        <w:tabs>
          <w:tab w:val="num" w:pos="0"/>
        </w:tabs>
        <w:ind w:left="1440" w:hanging="360"/>
      </w:pPr>
      <w:rPr>
        <w:rFonts w:cs="Times New Roman"/>
      </w:rPr>
    </w:lvl>
    <w:lvl w:ilvl="1">
      <w:start w:val="1"/>
      <w:numFmt w:val="decimal"/>
      <w:lvlText w:val="%1.%2."/>
      <w:lvlJc w:val="left"/>
      <w:pPr>
        <w:tabs>
          <w:tab w:val="num" w:pos="0"/>
        </w:tabs>
        <w:ind w:left="1146" w:hanging="720"/>
      </w:pPr>
      <w:rPr>
        <w:rFonts w:cs="Times New Roman"/>
      </w:rPr>
    </w:lvl>
    <w:lvl w:ilvl="2">
      <w:start w:val="1"/>
      <w:numFmt w:val="decimal"/>
      <w:lvlText w:val="%1.%2.%3."/>
      <w:lvlJc w:val="left"/>
      <w:pPr>
        <w:tabs>
          <w:tab w:val="num" w:pos="0"/>
        </w:tabs>
        <w:ind w:left="2160" w:hanging="1080"/>
      </w:pPr>
      <w:rPr>
        <w:rFonts w:cs="Times New Roman"/>
      </w:rPr>
    </w:lvl>
    <w:lvl w:ilvl="3">
      <w:start w:val="1"/>
      <w:numFmt w:val="decimal"/>
      <w:lvlText w:val="%1.%2.%3.%4."/>
      <w:lvlJc w:val="left"/>
      <w:pPr>
        <w:tabs>
          <w:tab w:val="num" w:pos="0"/>
        </w:tabs>
        <w:ind w:left="2160" w:hanging="1080"/>
      </w:pPr>
      <w:rPr>
        <w:rFonts w:cs="Times New Roman"/>
      </w:rPr>
    </w:lvl>
    <w:lvl w:ilvl="4">
      <w:start w:val="1"/>
      <w:numFmt w:val="decimal"/>
      <w:lvlText w:val="%1.%2.%3.%4.%5."/>
      <w:lvlJc w:val="left"/>
      <w:pPr>
        <w:tabs>
          <w:tab w:val="num" w:pos="0"/>
        </w:tabs>
        <w:ind w:left="2520" w:hanging="1440"/>
      </w:pPr>
      <w:rPr>
        <w:rFonts w:cs="Times New Roman"/>
      </w:rPr>
    </w:lvl>
    <w:lvl w:ilvl="5">
      <w:start w:val="1"/>
      <w:numFmt w:val="decimal"/>
      <w:lvlText w:val="%1.%2.%3.%4.%5.%6."/>
      <w:lvlJc w:val="left"/>
      <w:pPr>
        <w:tabs>
          <w:tab w:val="num" w:pos="0"/>
        </w:tabs>
        <w:ind w:left="2880" w:hanging="1800"/>
      </w:pPr>
      <w:rPr>
        <w:rFonts w:cs="Times New Roman"/>
      </w:rPr>
    </w:lvl>
    <w:lvl w:ilvl="6">
      <w:start w:val="1"/>
      <w:numFmt w:val="decimal"/>
      <w:lvlText w:val="%1.%2.%3.%4.%5.%6.%7."/>
      <w:lvlJc w:val="left"/>
      <w:pPr>
        <w:tabs>
          <w:tab w:val="num" w:pos="0"/>
        </w:tabs>
        <w:ind w:left="3240" w:hanging="2160"/>
      </w:pPr>
      <w:rPr>
        <w:rFonts w:cs="Times New Roman"/>
      </w:rPr>
    </w:lvl>
    <w:lvl w:ilvl="7">
      <w:start w:val="1"/>
      <w:numFmt w:val="decimal"/>
      <w:lvlText w:val="%1.%2.%3.%4.%5.%6.%7.%8."/>
      <w:lvlJc w:val="left"/>
      <w:pPr>
        <w:tabs>
          <w:tab w:val="num" w:pos="0"/>
        </w:tabs>
        <w:ind w:left="3240" w:hanging="2160"/>
      </w:pPr>
      <w:rPr>
        <w:rFonts w:cs="Times New Roman"/>
      </w:rPr>
    </w:lvl>
    <w:lvl w:ilvl="8">
      <w:start w:val="1"/>
      <w:numFmt w:val="decimal"/>
      <w:lvlText w:val="%1.%2.%3.%4.%5.%6.%7.%8.%9."/>
      <w:lvlJc w:val="left"/>
      <w:pPr>
        <w:tabs>
          <w:tab w:val="num" w:pos="0"/>
        </w:tabs>
        <w:ind w:left="3600" w:hanging="2520"/>
      </w:pPr>
      <w:rPr>
        <w:rFonts w:cs="Times New Roman"/>
      </w:rPr>
    </w:lvl>
  </w:abstractNum>
  <w:abstractNum w:abstractNumId="3">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
    <w:lvl w:ilvl="0">
      <w:start w:val="1"/>
      <w:numFmt w:val="bullet"/>
      <w:lvlText w:val=""/>
      <w:lvlJc w:val="left"/>
      <w:pPr>
        <w:tabs>
          <w:tab w:val="num" w:pos="0"/>
        </w:tabs>
        <w:ind w:left="1428" w:hanging="360"/>
      </w:pPr>
      <w:rPr>
        <w:rFonts w:ascii="Symbol" w:hAnsi="Symbol" w:cs="Symbol" w:hint="default"/>
      </w:rPr>
    </w:lvl>
    <w:lvl w:ilvl="1">
      <w:start w:val="1"/>
      <w:numFmt w:val="bullet"/>
      <w:lvlText w:val="o"/>
      <w:lvlJc w:val="left"/>
      <w:pPr>
        <w:tabs>
          <w:tab w:val="num" w:pos="0"/>
        </w:tabs>
        <w:ind w:left="2148" w:hanging="360"/>
      </w:pPr>
      <w:rPr>
        <w:rFonts w:ascii="Courier New" w:hAnsi="Courier New" w:cs="Courier New" w:hint="default"/>
      </w:rPr>
    </w:lvl>
    <w:lvl w:ilvl="2">
      <w:start w:val="1"/>
      <w:numFmt w:val="bullet"/>
      <w:lvlText w:val=""/>
      <w:lvlJc w:val="left"/>
      <w:pPr>
        <w:tabs>
          <w:tab w:val="num" w:pos="0"/>
        </w:tabs>
        <w:ind w:left="2868" w:hanging="360"/>
      </w:pPr>
      <w:rPr>
        <w:rFonts w:ascii="Wingdings" w:hAnsi="Wingdings" w:cs="Wingdings" w:hint="default"/>
      </w:rPr>
    </w:lvl>
    <w:lvl w:ilvl="3">
      <w:start w:val="1"/>
      <w:numFmt w:val="bullet"/>
      <w:lvlText w:val=""/>
      <w:lvlJc w:val="left"/>
      <w:pPr>
        <w:tabs>
          <w:tab w:val="num" w:pos="0"/>
        </w:tabs>
        <w:ind w:left="3588" w:hanging="360"/>
      </w:pPr>
      <w:rPr>
        <w:rFonts w:ascii="Symbol" w:hAnsi="Symbol" w:cs="Symbol" w:hint="default"/>
      </w:rPr>
    </w:lvl>
    <w:lvl w:ilvl="4">
      <w:start w:val="1"/>
      <w:numFmt w:val="bullet"/>
      <w:lvlText w:val="o"/>
      <w:lvlJc w:val="left"/>
      <w:pPr>
        <w:tabs>
          <w:tab w:val="num" w:pos="0"/>
        </w:tabs>
        <w:ind w:left="4308" w:hanging="360"/>
      </w:pPr>
      <w:rPr>
        <w:rFonts w:ascii="Courier New" w:hAnsi="Courier New" w:cs="Courier New" w:hint="default"/>
      </w:rPr>
    </w:lvl>
    <w:lvl w:ilvl="5">
      <w:start w:val="1"/>
      <w:numFmt w:val="bullet"/>
      <w:lvlText w:val=""/>
      <w:lvlJc w:val="left"/>
      <w:pPr>
        <w:tabs>
          <w:tab w:val="num" w:pos="0"/>
        </w:tabs>
        <w:ind w:left="5028" w:hanging="360"/>
      </w:pPr>
      <w:rPr>
        <w:rFonts w:ascii="Wingdings" w:hAnsi="Wingdings" w:cs="Wingdings" w:hint="default"/>
      </w:rPr>
    </w:lvl>
    <w:lvl w:ilvl="6">
      <w:start w:val="1"/>
      <w:numFmt w:val="bullet"/>
      <w:lvlText w:val=""/>
      <w:lvlJc w:val="left"/>
      <w:pPr>
        <w:tabs>
          <w:tab w:val="num" w:pos="0"/>
        </w:tabs>
        <w:ind w:left="5748" w:hanging="360"/>
      </w:pPr>
      <w:rPr>
        <w:rFonts w:ascii="Symbol" w:hAnsi="Symbol" w:cs="Symbol" w:hint="default"/>
      </w:rPr>
    </w:lvl>
    <w:lvl w:ilvl="7">
      <w:start w:val="1"/>
      <w:numFmt w:val="bullet"/>
      <w:lvlText w:val="o"/>
      <w:lvlJc w:val="left"/>
      <w:pPr>
        <w:tabs>
          <w:tab w:val="num" w:pos="0"/>
        </w:tabs>
        <w:ind w:left="6468" w:hanging="360"/>
      </w:pPr>
      <w:rPr>
        <w:rFonts w:ascii="Courier New" w:hAnsi="Courier New" w:cs="Courier New" w:hint="default"/>
      </w:rPr>
    </w:lvl>
    <w:lvl w:ilvl="8">
      <w:start w:val="1"/>
      <w:numFmt w:val="bullet"/>
      <w:lvlText w:val=""/>
      <w:lvlJc w:val="left"/>
      <w:pPr>
        <w:tabs>
          <w:tab w:val="num" w:pos="0"/>
        </w:tabs>
        <w:ind w:left="7188" w:hanging="360"/>
      </w:pPr>
      <w:rPr>
        <w:rFonts w:ascii="Wingdings" w:hAnsi="Wingdings" w:cs="Wingdings" w:hint="default"/>
      </w:rPr>
    </w:lvl>
  </w:abstractNum>
  <w:abstractNum w:abstractNumId="6">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w="http://schemas.openxmlformats.org/wordprocessingml/2006/main">
  <w:zoom w:percent="74"/>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hyphenationZone w:val="425"/>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sk-SK" w:eastAsia="sk-SK" w:bidi="ar-SA"/>
      </w:rPr>
    </w:rPrDefault>
    <w:pPrDefault>
      <w:pPr>
        <w:suppressAutoHyphens w:val="true"/>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semiHidden="1" w:unhideWhenUsed="1" w:qFormat="1"/>
    <w:lsdException w:name="heading 3" w:locked="1" w:uiPriority="0" w:semiHidden="1" w:unhideWhenUsed="1" w:qFormat="1"/>
    <w:lsdException w:name="heading 4" w:locked="1" w:uiPriority="0" w:semiHidden="1" w:unhideWhenUsed="1" w:qFormat="1"/>
    <w:lsdException w:name="heading 5" w:locked="1" w:uiPriority="0" w:semiHidden="1" w:unhideWhenUsed="1" w:qFormat="1"/>
    <w:lsdException w:name="heading 6" w:locked="1" w:uiPriority="0" w:semiHidden="1" w:unhideWhenUsed="1" w:qFormat="1"/>
    <w:lsdException w:name="heading 7" w:locked="1" w:uiPriority="0" w:semiHidden="1" w:unhideWhenUsed="1" w:qFormat="1"/>
    <w:lsdException w:name="heading 8" w:locked="1" w:uiPriority="0" w:semiHidden="1" w:unhideWhenUsed="1" w:qFormat="1"/>
    <w:lsdException w:name="heading 9" w:locked="1" w:uiPriority="0"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0402da"/>
    <w:pPr>
      <w:widowControl/>
      <w:suppressAutoHyphens w:val="true"/>
      <w:bidi w:val="0"/>
      <w:spacing w:before="0" w:after="0"/>
      <w:jc w:val="left"/>
    </w:pPr>
    <w:rPr>
      <w:rFonts w:ascii="Arial" w:hAnsi="Arial" w:eastAsia="Times New Roman" w:cs="Arial"/>
      <w:color w:val="auto"/>
      <w:kern w:val="0"/>
      <w:sz w:val="24"/>
      <w:szCs w:val="24"/>
      <w:lang w:val="sk-SK" w:eastAsia="sk-SK" w:bidi="ar-SA"/>
    </w:rPr>
  </w:style>
  <w:style w:type="character" w:styleId="DefaultParagraphFont" w:default="1">
    <w:name w:val="Default Paragraph Font"/>
    <w:uiPriority w:val="1"/>
    <w:semiHidden/>
    <w:unhideWhenUsed/>
    <w:qFormat/>
    <w:rPr/>
  </w:style>
  <w:style w:type="character" w:styleId="TextbublinyChar" w:customStyle="1">
    <w:name w:val="Text bubliny Char"/>
    <w:link w:val="Textbubliny"/>
    <w:uiPriority w:val="99"/>
    <w:semiHidden/>
    <w:qFormat/>
    <w:locked/>
    <w:rsid w:val="00343552"/>
    <w:rPr>
      <w:rFonts w:ascii="Tahoma" w:hAnsi="Tahoma" w:cs="Tahoma"/>
      <w:sz w:val="16"/>
      <w:szCs w:val="16"/>
      <w:lang w:eastAsia="sk-SK"/>
    </w:rPr>
  </w:style>
  <w:style w:type="character" w:styleId="HlavikaChar" w:customStyle="1">
    <w:name w:val="Hlavička Char"/>
    <w:link w:val="Hlavika"/>
    <w:uiPriority w:val="99"/>
    <w:qFormat/>
    <w:locked/>
    <w:rsid w:val="00a8405d"/>
    <w:rPr>
      <w:rFonts w:ascii="Arial" w:hAnsi="Arial" w:cs="Arial"/>
      <w:sz w:val="24"/>
      <w:szCs w:val="24"/>
      <w:lang w:eastAsia="sk-SK"/>
    </w:rPr>
  </w:style>
  <w:style w:type="character" w:styleId="PtaChar" w:customStyle="1">
    <w:name w:val="Päta Char"/>
    <w:link w:val="Pta"/>
    <w:uiPriority w:val="99"/>
    <w:qFormat/>
    <w:locked/>
    <w:rsid w:val="00a8405d"/>
    <w:rPr>
      <w:rFonts w:ascii="Arial" w:hAnsi="Arial" w:cs="Arial"/>
      <w:sz w:val="24"/>
      <w:szCs w:val="24"/>
      <w:lang w:eastAsia="sk-SK"/>
    </w:rPr>
  </w:style>
  <w:style w:type="character" w:styleId="Appleconvertedspace" w:customStyle="1">
    <w:name w:val="apple-converted-space"/>
    <w:qFormat/>
    <w:rsid w:val="00fc592a"/>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99"/>
    <w:qFormat/>
    <w:rsid w:val="000402da"/>
    <w:pPr>
      <w:spacing w:before="0" w:after="0"/>
      <w:ind w:left="720" w:hanging="0"/>
      <w:contextualSpacing/>
    </w:pPr>
    <w:rPr/>
  </w:style>
  <w:style w:type="paragraph" w:styleId="TopHeader" w:customStyle="1">
    <w:name w:val="Top Header"/>
    <w:basedOn w:val="Normal"/>
    <w:uiPriority w:val="99"/>
    <w:qFormat/>
    <w:rsid w:val="000402da"/>
    <w:pPr>
      <w:jc w:val="center"/>
    </w:pPr>
    <w:rPr>
      <w:rFonts w:ascii="Arial Narrow" w:hAnsi="Arial Narrow" w:cs="Arial Narrow"/>
      <w:b/>
      <w:bCs/>
      <w:sz w:val="22"/>
      <w:szCs w:val="22"/>
      <w:lang w:eastAsia="en-US"/>
    </w:rPr>
  </w:style>
  <w:style w:type="paragraph" w:styleId="BalloonText">
    <w:name w:val="Balloon Text"/>
    <w:basedOn w:val="Normal"/>
    <w:link w:val="TextbublinyChar"/>
    <w:uiPriority w:val="99"/>
    <w:semiHidden/>
    <w:qFormat/>
    <w:rsid w:val="00343552"/>
    <w:pPr/>
    <w:rPr>
      <w:rFonts w:ascii="Tahoma" w:hAnsi="Tahoma" w:cs="Tahoma"/>
      <w:sz w:val="16"/>
      <w:szCs w:val="16"/>
    </w:rPr>
  </w:style>
  <w:style w:type="paragraph" w:styleId="Hlavikaapta">
    <w:name w:val="Hlavička a päta"/>
    <w:basedOn w:val="Normal"/>
    <w:qFormat/>
    <w:pPr/>
    <w:rPr/>
  </w:style>
  <w:style w:type="paragraph" w:styleId="Hlavika">
    <w:name w:val="Header"/>
    <w:basedOn w:val="Normal"/>
    <w:link w:val="HlavikaChar"/>
    <w:uiPriority w:val="99"/>
    <w:rsid w:val="00a8405d"/>
    <w:pPr>
      <w:tabs>
        <w:tab w:val="clear" w:pos="708"/>
        <w:tab w:val="center" w:pos="4536" w:leader="none"/>
        <w:tab w:val="right" w:pos="9072" w:leader="none"/>
      </w:tabs>
    </w:pPr>
    <w:rPr/>
  </w:style>
  <w:style w:type="paragraph" w:styleId="Pta">
    <w:name w:val="Footer"/>
    <w:basedOn w:val="Normal"/>
    <w:link w:val="PtaChar"/>
    <w:uiPriority w:val="99"/>
    <w:rsid w:val="00a8405d"/>
    <w:pPr>
      <w:tabs>
        <w:tab w:val="clear" w:pos="708"/>
        <w:tab w:val="center" w:pos="4536" w:leader="none"/>
        <w:tab w:val="right" w:pos="9072" w:leader="none"/>
      </w:tabs>
    </w:pPr>
    <w:rPr/>
  </w:style>
  <w:style w:type="paragraph" w:styleId="Caption">
    <w:name w:val="caption"/>
    <w:basedOn w:val="Normal"/>
    <w:next w:val="Normal"/>
    <w:uiPriority w:val="99"/>
    <w:qFormat/>
    <w:rsid w:val="002d72bd"/>
    <w:pPr>
      <w:spacing w:before="0" w:after="200"/>
    </w:pPr>
    <w:rPr>
      <w:b/>
      <w:bCs/>
      <w:color w:val="5B9BD5"/>
      <w:sz w:val="18"/>
      <w:szCs w:val="18"/>
    </w:rPr>
  </w:style>
  <w:style w:type="paragraph" w:styleId="NormalWeb">
    <w:name w:val="Normal (Web)"/>
    <w:basedOn w:val="Normal"/>
    <w:uiPriority w:val="99"/>
    <w:semiHidden/>
    <w:unhideWhenUsed/>
    <w:qFormat/>
    <w:rsid w:val="00625b66"/>
    <w:pPr>
      <w:spacing w:beforeAutospacing="1" w:afterAutospacing="1"/>
    </w:pPr>
    <w:rPr>
      <w:rFonts w:ascii="Times New Roman" w:hAnsi="Times New Roman" w:cs="Times New Roman"/>
    </w:rPr>
  </w:style>
  <w:style w:type="paragraph" w:styleId="Obsahrmca">
    <w:name w:val="Obsah rámca"/>
    <w:basedOn w:val="Normal"/>
    <w:qFormat/>
    <w:pPr/>
    <w:rPr/>
  </w:style>
  <w:style w:type="numbering" w:styleId="NoList" w:default="1">
    <w:name w:val="No List"/>
    <w:uiPriority w:val="99"/>
    <w:semiHidden/>
    <w:unhideWhenUsed/>
    <w:qFormat/>
  </w:style>
  <w:style w:type="table" w:default="1" w:styleId="Normlnatabuka">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package" Target="embeddings/oleObject1.xlsx"/><Relationship Id="rId4" Type="http://schemas.openxmlformats.org/officeDocument/2006/relationships/image" Target="media/image2.emf"/><Relationship Id="rId5" Type="http://schemas.openxmlformats.org/officeDocument/2006/relationships/chart" Target="charts/chart1.xml"/><Relationship Id="rId6" Type="http://schemas.openxmlformats.org/officeDocument/2006/relationships/chart" Target="charts/chart2.xml"/><Relationship Id="rId7" Type="http://schemas.openxmlformats.org/officeDocument/2006/relationships/package" Target="embeddings/oleObject2.xlsx"/><Relationship Id="rId8" Type="http://schemas.openxmlformats.org/officeDocument/2006/relationships/image" Target="media/image5.emf"/><Relationship Id="rId9" Type="http://schemas.openxmlformats.org/officeDocument/2006/relationships/package" Target="embeddings/oleObject3.xlsx"/><Relationship Id="rId10" Type="http://schemas.openxmlformats.org/officeDocument/2006/relationships/image" Target="media/image6.emf"/><Relationship Id="rId11" Type="http://schemas.openxmlformats.org/officeDocument/2006/relationships/chart" Target="charts/chart3.xml"/><Relationship Id="rId12" Type="http://schemas.openxmlformats.org/officeDocument/2006/relationships/chart" Target="charts/chart4.xml"/><Relationship Id="rId13" Type="http://schemas.openxmlformats.org/officeDocument/2006/relationships/chart" Target="charts/chart5.xml"/><Relationship Id="rId14" Type="http://schemas.openxmlformats.org/officeDocument/2006/relationships/chart" Target="charts/chart6.xml"/><Relationship Id="rId15" Type="http://schemas.openxmlformats.org/officeDocument/2006/relationships/oleObject" Target="embeddings/oleObject4.xls"/><Relationship Id="rId16" Type="http://schemas.openxmlformats.org/officeDocument/2006/relationships/image" Target="media/image7.wmf"/><Relationship Id="rId17" Type="http://schemas.openxmlformats.org/officeDocument/2006/relationships/header" Target="header1.xml"/><Relationship Id="rId18" Type="http://schemas.openxmlformats.org/officeDocument/2006/relationships/numbering" Target="numbering.xml"/><Relationship Id="rId19" Type="http://schemas.openxmlformats.org/officeDocument/2006/relationships/fontTable" Target="fontTable.xml"/><Relationship Id="rId20" Type="http://schemas.openxmlformats.org/officeDocument/2006/relationships/settings" Target="settings.xml"/><Relationship Id="rId21" Type="http://schemas.openxmlformats.org/officeDocument/2006/relationships/theme" Target="theme/theme1.xml"/><Relationship Id="rId22" Type="http://schemas.openxmlformats.org/officeDocument/2006/relationships/customXml" Target="../customXml/item1.xml"/>
</Relationships>
</file>

<file path=word/charts/_rels/chart1.xml.rels><?xml version="1.0" encoding="UTF-8"?>
<Relationships xmlns="http://schemas.openxmlformats.org/package/2006/relationships"><Relationship Id="rId1" Type="http://schemas.openxmlformats.org/officeDocument/2006/relationships/image" Target="../media/image3.jpeg"/><Relationship Id="rId2" Type="http://schemas.openxmlformats.org/officeDocument/2006/relationships/image" Target="../media/image4.jpeg"/><Relationship Id="rId3" Type="http://schemas.openxmlformats.org/officeDocument/2006/relationships/package" Target="../embeddings/H_rok_programu_Microsoft_Excel1.xlsx"/>
</Relationships>
</file>

<file path=word/charts/_rels/chart2.xml.rels><?xml version="1.0" encoding="UTF-8"?>
<Relationships xmlns="http://schemas.openxmlformats.org/package/2006/relationships"><Relationship Id="rId1" Type="http://schemas.openxmlformats.org/officeDocument/2006/relationships/package" Target="../embeddings/H_rok_programu_Microsoft_Excel2.xlsx"/>
</Relationships>
</file>

<file path=word/charts/_rels/chart3.xml.rels><?xml version="1.0" encoding="UTF-8"?>
<Relationships xmlns="http://schemas.openxmlformats.org/package/2006/relationships"><Relationship Id="rId1" Type="http://schemas.openxmlformats.org/officeDocument/2006/relationships/package" Target="../embeddings/H_rok_programu_Microsoft_Excel5.xlsx"/>
</Relationships>
</file>

<file path=word/charts/_rels/chart4.xml.rels><?xml version="1.0" encoding="UTF-8"?>
<Relationships xmlns="http://schemas.openxmlformats.org/package/2006/relationships"><Relationship Id="rId1" Type="http://schemas.openxmlformats.org/officeDocument/2006/relationships/package" Target="../embeddings/H_rok_programu_Microsoft_Excel6.xlsx"/>
</Relationships>
</file>

<file path=word/charts/_rels/chart5.xml.rels><?xml version="1.0" encoding="UTF-8"?>
<Relationships xmlns="http://schemas.openxmlformats.org/package/2006/relationships"><Relationship Id="rId1" Type="http://schemas.openxmlformats.org/officeDocument/2006/relationships/package" Target="../embeddings/H_rok_programu_Microsoft_Excel7.xlsx"/>
</Relationships>
</file>

<file path=word/charts/_rels/chart6.xml.rels><?xml version="1.0" encoding="UTF-8"?>
<Relationships xmlns="http://schemas.openxmlformats.org/package/2006/relationships"><Relationship Id="rId1" Type="http://schemas.openxmlformats.org/officeDocument/2006/relationships/package" Target="../embeddings/H_rok_programu_Microsoft_Excel8.xlsx"/>
</Relationships>
</file>

<file path=word/charts/chart1.xml><?xml version="1.0" encoding="utf-8"?>
<c:chartSpace xmlns:c="http://schemas.openxmlformats.org/drawingml/2006/chart" xmlns:a="http://schemas.openxmlformats.org/drawingml/2006/main" xmlns:r="http://schemas.openxmlformats.org/officeDocument/2006/relationships">
  <c:lang val="en-US"/>
  <c:roundedCorners val="0"/>
  <c:chart>
    <c:title>
      <c:tx>
        <c:rich>
          <a:bodyPr rot="0"/>
          <a:lstStyle/>
          <a:p>
            <a:pPr>
              <a:defRPr b="1" lang="sk-SK" sz="1100" spc="-1" strike="noStrike">
                <a:solidFill>
                  <a:srgbClr val="000000"/>
                </a:solidFill>
                <a:latin typeface="Calibri"/>
              </a:defRPr>
            </a:pPr>
            <a:r>
              <a:rPr b="1" lang="sk-SK" sz="1100" spc="-1" strike="noStrike">
                <a:solidFill>
                  <a:srgbClr val="000000"/>
                </a:solidFill>
                <a:latin typeface="Calibri"/>
              </a:rPr>
              <a:t>Porovnanie nákladov a výnosov</a:t>
            </a:r>
          </a:p>
        </c:rich>
      </c:tx>
      <c:overlay val="0"/>
      <c:spPr>
        <a:noFill/>
        <a:ln w="0">
          <a:noFill/>
        </a:ln>
      </c:spPr>
    </c:title>
    <c:autoTitleDeleted val="0"/>
    <c:view3D>
      <c:rotX val="15"/>
      <c:rotY val="20"/>
      <c:rAngAx val="1"/>
      <c:perspective val="30"/>
    </c:view3D>
    <c:floor>
      <c:spPr>
        <a:noFill/>
        <a:ln w="6480">
          <a:solidFill>
            <a:srgbClr val="8b8b8b"/>
          </a:solidFill>
          <a:round/>
        </a:ln>
      </c:spPr>
    </c:floor>
    <c:sideWall>
      <c:spPr>
        <a:blipFill rotWithShape="0">
          <a:blip r:embed="rId1"/>
          <a:stretch>
            <a:fillRect/>
          </a:stretch>
        </a:blipFill>
        <a:ln w="6480">
          <a:solidFill>
            <a:srgbClr val="8b8b8b"/>
          </a:solidFill>
          <a:round/>
        </a:ln>
      </c:spPr>
    </c:sideWall>
    <c:backWall>
      <c:spPr>
        <a:blipFill rotWithShape="0">
          <a:blip r:embed="rId2"/>
          <a:stretch>
            <a:fillRect/>
          </a:stretch>
        </a:blipFill>
        <a:ln w="6480">
          <a:solidFill>
            <a:srgbClr val="8b8b8b"/>
          </a:solidFill>
          <a:round/>
        </a:ln>
      </c:spPr>
    </c:backWall>
    <c:plotArea>
      <c:layout>
        <c:manualLayout>
          <c:layoutTarget val="inner"/>
          <c:xMode val="edge"/>
          <c:yMode val="edge"/>
          <c:x val="0.2525"/>
          <c:y val="0.157444444444444"/>
          <c:w val="0.6558125"/>
          <c:h val="0.679222222222222"/>
        </c:manualLayout>
      </c:layout>
      <c:bar3DChart>
        <c:barDir val="col"/>
        <c:grouping val="standard"/>
        <c:varyColors val="0"/>
        <c:ser>
          <c:idx val="0"/>
          <c:order val="0"/>
          <c:tx>
            <c:strRef>
              <c:f>label 0</c:f>
              <c:strCache>
                <c:ptCount val="1"/>
                <c:pt idx="0">
                  <c:v>Náklady</c:v>
                </c:pt>
              </c:strCache>
            </c:strRef>
          </c:tx>
          <c:spPr>
            <a:solidFill>
              <a:srgbClr val="5b9bd5"/>
            </a:solidFill>
            <a:ln w="0">
              <a:noFill/>
            </a:ln>
          </c:spPr>
          <c:invertIfNegative val="0"/>
          <c:dLbls>
            <c:txPr>
              <a:bodyPr wrap="none"/>
              <a:lstStyle/>
              <a:p>
                <a:pPr>
                  <a:defRPr b="0" sz="1000" spc="-1" strike="noStrike">
                    <a:solidFill>
                      <a:srgbClr val="000000"/>
                    </a:solidFill>
                    <a:latin typeface="Calibri"/>
                  </a:defRPr>
                </a:pPr>
              </a:p>
            </c:txPr>
            <c:showLegendKey val="0"/>
            <c:showVal val="0"/>
            <c:showCatName val="0"/>
            <c:showSerName val="0"/>
            <c:showPercent val="0"/>
            <c:separator>; </c:separator>
            <c:showLeaderLines val="0"/>
            <c:extLst>
              <c:ext xmlns:c15="http://schemas.microsoft.com/office/drawing/2012/chart" uri="{CE6537A1-D6FC-4f65-9D91-7224C49458BB}">
                <c15:showLeaderLines val="1"/>
              </c:ext>
            </c:extLst>
          </c:dLbls>
          <c:cat>
            <c:strRef>
              <c:f>categories</c:f>
              <c:strCache>
                <c:ptCount val="9"/>
                <c:pt idx="0">
                  <c:v>2011</c:v>
                </c:pt>
                <c:pt idx="1">
                  <c:v>2012</c:v>
                </c:pt>
                <c:pt idx="2">
                  <c:v>2013</c:v>
                </c:pt>
                <c:pt idx="3">
                  <c:v>2014</c:v>
                </c:pt>
                <c:pt idx="4">
                  <c:v>2015</c:v>
                </c:pt>
                <c:pt idx="5">
                  <c:v>2016</c:v>
                </c:pt>
                <c:pt idx="6">
                  <c:v>2017</c:v>
                </c:pt>
                <c:pt idx="7">
                  <c:v>2018</c:v>
                </c:pt>
                <c:pt idx="8">
                  <c:v>2019</c:v>
                </c:pt>
              </c:strCache>
            </c:strRef>
          </c:cat>
          <c:val>
            <c:numRef>
              <c:f>0</c:f>
              <c:numCache>
                <c:formatCode>General</c:formatCode>
                <c:ptCount val="9"/>
                <c:pt idx="0">
                  <c:v>79122464</c:v>
                </c:pt>
                <c:pt idx="1">
                  <c:v>87737463</c:v>
                </c:pt>
                <c:pt idx="2">
                  <c:v>58995596</c:v>
                </c:pt>
                <c:pt idx="3">
                  <c:v>87134470</c:v>
                </c:pt>
                <c:pt idx="4">
                  <c:v>79679323</c:v>
                </c:pt>
                <c:pt idx="5">
                  <c:v>74806592</c:v>
                </c:pt>
                <c:pt idx="6">
                  <c:v>98920138</c:v>
                </c:pt>
                <c:pt idx="7">
                  <c:v>67298273</c:v>
                </c:pt>
                <c:pt idx="8">
                  <c:v>45433283</c:v>
                </c:pt>
              </c:numCache>
            </c:numRef>
          </c:val>
        </c:ser>
        <c:ser>
          <c:idx val="1"/>
          <c:order val="1"/>
          <c:tx>
            <c:strRef>
              <c:f>label 1</c:f>
              <c:strCache>
                <c:ptCount val="1"/>
                <c:pt idx="0">
                  <c:v>Výnosy</c:v>
                </c:pt>
              </c:strCache>
            </c:strRef>
          </c:tx>
          <c:spPr>
            <a:solidFill>
              <a:srgbClr val="ed7d31"/>
            </a:solidFill>
            <a:ln w="0">
              <a:noFill/>
            </a:ln>
          </c:spPr>
          <c:invertIfNegative val="0"/>
          <c:dLbls>
            <c:txPr>
              <a:bodyPr wrap="none"/>
              <a:lstStyle/>
              <a:p>
                <a:pPr>
                  <a:defRPr b="0" sz="1000" spc="-1" strike="noStrike">
                    <a:solidFill>
                      <a:srgbClr val="000000"/>
                    </a:solidFill>
                    <a:latin typeface="Calibri"/>
                  </a:defRPr>
                </a:pPr>
              </a:p>
            </c:txPr>
            <c:showLegendKey val="0"/>
            <c:showVal val="0"/>
            <c:showCatName val="0"/>
            <c:showSerName val="0"/>
            <c:showPercent val="0"/>
            <c:separator>; </c:separator>
            <c:showLeaderLines val="0"/>
            <c:extLst>
              <c:ext xmlns:c15="http://schemas.microsoft.com/office/drawing/2012/chart" uri="{CE6537A1-D6FC-4f65-9D91-7224C49458BB}">
                <c15:showLeaderLines val="1"/>
              </c:ext>
            </c:extLst>
          </c:dLbls>
          <c:cat>
            <c:strRef>
              <c:f>categories</c:f>
              <c:strCache>
                <c:ptCount val="9"/>
                <c:pt idx="0">
                  <c:v>2011</c:v>
                </c:pt>
                <c:pt idx="1">
                  <c:v>2012</c:v>
                </c:pt>
                <c:pt idx="2">
                  <c:v>2013</c:v>
                </c:pt>
                <c:pt idx="3">
                  <c:v>2014</c:v>
                </c:pt>
                <c:pt idx="4">
                  <c:v>2015</c:v>
                </c:pt>
                <c:pt idx="5">
                  <c:v>2016</c:v>
                </c:pt>
                <c:pt idx="6">
                  <c:v>2017</c:v>
                </c:pt>
                <c:pt idx="7">
                  <c:v>2018</c:v>
                </c:pt>
                <c:pt idx="8">
                  <c:v>2019</c:v>
                </c:pt>
              </c:strCache>
            </c:strRef>
          </c:cat>
          <c:val>
            <c:numRef>
              <c:f>1</c:f>
              <c:numCache>
                <c:formatCode>General</c:formatCode>
                <c:ptCount val="9"/>
                <c:pt idx="0">
                  <c:v>79355201</c:v>
                </c:pt>
                <c:pt idx="1">
                  <c:v>88305661</c:v>
                </c:pt>
                <c:pt idx="2">
                  <c:v>59204505</c:v>
                </c:pt>
                <c:pt idx="3">
                  <c:v>87320262</c:v>
                </c:pt>
                <c:pt idx="4">
                  <c:v>79908061</c:v>
                </c:pt>
                <c:pt idx="5">
                  <c:v>74869488</c:v>
                </c:pt>
                <c:pt idx="6">
                  <c:v>95004231</c:v>
                </c:pt>
                <c:pt idx="7">
                  <c:v>68393077</c:v>
                </c:pt>
                <c:pt idx="8">
                  <c:v>42786264</c:v>
                </c:pt>
              </c:numCache>
            </c:numRef>
          </c:val>
        </c:ser>
        <c:gapWidth val="132"/>
        <c:shape val="box"/>
        <c:axId val="57346659"/>
        <c:axId val="97652011"/>
      </c:bar3DChart>
      <c:catAx>
        <c:axId val="57346659"/>
        <c:scaling>
          <c:orientation val="minMax"/>
        </c:scaling>
        <c:delete val="0"/>
        <c:axPos val="b"/>
        <c:numFmt formatCode="General" sourceLinked="0"/>
        <c:majorTickMark val="none"/>
        <c:minorTickMark val="none"/>
        <c:tickLblPos val="nextTo"/>
        <c:spPr>
          <a:ln w="6480">
            <a:solidFill>
              <a:srgbClr val="8b8b8b"/>
            </a:solidFill>
            <a:round/>
          </a:ln>
        </c:spPr>
        <c:txPr>
          <a:bodyPr/>
          <a:lstStyle/>
          <a:p>
            <a:pPr>
              <a:defRPr b="0" sz="1000" spc="-1" strike="noStrike">
                <a:solidFill>
                  <a:srgbClr val="000000"/>
                </a:solidFill>
                <a:latin typeface="Calibri"/>
              </a:defRPr>
            </a:pPr>
          </a:p>
        </c:txPr>
        <c:crossAx val="97652011"/>
        <c:crosses val="autoZero"/>
        <c:auto val="1"/>
        <c:lblAlgn val="ctr"/>
        <c:lblOffset val="100"/>
        <c:noMultiLvlLbl val="0"/>
      </c:catAx>
      <c:valAx>
        <c:axId val="97652011"/>
        <c:scaling>
          <c:orientation val="minMax"/>
        </c:scaling>
        <c:delete val="0"/>
        <c:axPos val="l"/>
        <c:numFmt formatCode="General" sourceLinked="0"/>
        <c:majorTickMark val="none"/>
        <c:minorTickMark val="none"/>
        <c:tickLblPos val="nextTo"/>
        <c:spPr>
          <a:ln w="6480">
            <a:solidFill>
              <a:srgbClr val="8b8b8b"/>
            </a:solidFill>
            <a:round/>
          </a:ln>
        </c:spPr>
        <c:txPr>
          <a:bodyPr/>
          <a:lstStyle/>
          <a:p>
            <a:pPr>
              <a:defRPr b="0" sz="1000" spc="-1" strike="noStrike">
                <a:solidFill>
                  <a:srgbClr val="000000"/>
                </a:solidFill>
                <a:latin typeface="Calibri"/>
              </a:defRPr>
            </a:pPr>
          </a:p>
        </c:txPr>
        <c:crossAx val="57346659"/>
        <c:crosses val="autoZero"/>
        <c:crossBetween val="between"/>
      </c:valAx>
    </c:plotArea>
    <c:legend>
      <c:legendPos val="t"/>
      <c:overlay val="0"/>
      <c:spPr>
        <a:noFill/>
        <a:ln w="0">
          <a:noFill/>
        </a:ln>
      </c:spPr>
      <c:txPr>
        <a:bodyPr/>
        <a:lstStyle/>
        <a:p>
          <a:pPr>
            <a:defRPr b="0" sz="1000" spc="-1" strike="noStrike">
              <a:solidFill>
                <a:srgbClr val="000000"/>
              </a:solidFill>
              <a:latin typeface="Calibri"/>
            </a:defRPr>
          </a:pPr>
        </a:p>
      </c:txPr>
    </c:legend>
    <c:plotVisOnly val="1"/>
    <c:dispBlanksAs val="gap"/>
  </c:chart>
  <c:spPr>
    <a:solidFill>
      <a:srgbClr val="ffffff"/>
    </a:solidFill>
    <a:ln w="9360">
      <a:solidFill>
        <a:srgbClr val="d9d9d9"/>
      </a:solidFill>
      <a:round/>
    </a:ln>
  </c:spPr>
  <c:externalData r:id="rId3"/>
</c:chartSpace>
</file>

<file path=word/charts/chart2.xml><?xml version="1.0" encoding="utf-8"?>
<c:chartSpace xmlns:c="http://schemas.openxmlformats.org/drawingml/2006/chart" xmlns:a="http://schemas.openxmlformats.org/drawingml/2006/main" xmlns:r="http://schemas.openxmlformats.org/officeDocument/2006/relationships">
  <c:lang val="en-US"/>
  <c:roundedCorners val="0"/>
  <c:chart>
    <c:title>
      <c:tx>
        <c:rich>
          <a:bodyPr rot="0"/>
          <a:lstStyle/>
          <a:p>
            <a:pPr>
              <a:defRPr b="0" lang="sk-SK" sz="1400" spc="-1" strike="noStrike">
                <a:solidFill>
                  <a:srgbClr val="595959"/>
                </a:solidFill>
                <a:latin typeface="Calibri"/>
              </a:defRPr>
            </a:pPr>
            <a:r>
              <a:rPr b="0" lang="sk-SK" sz="1400" spc="-1" strike="noStrike">
                <a:solidFill>
                  <a:srgbClr val="595959"/>
                </a:solidFill>
                <a:latin typeface="Calibri"/>
              </a:rPr>
              <a:t>Porovnanie zisku po zdanení</a:t>
            </a:r>
          </a:p>
        </c:rich>
      </c:tx>
      <c:layout>
        <c:manualLayout>
          <c:xMode val="edge"/>
          <c:yMode val="edge"/>
          <c:x val="0.132605304212168"/>
          <c:y val="0.150388050959145"/>
        </c:manualLayout>
      </c:layout>
      <c:overlay val="0"/>
      <c:spPr>
        <a:noFill/>
        <a:ln w="0">
          <a:noFill/>
        </a:ln>
      </c:spPr>
    </c:title>
    <c:autoTitleDeleted val="0"/>
    <c:view3D>
      <c:rotX val="15"/>
      <c:rotY val="20"/>
      <c:rAngAx val="1"/>
      <c:perspective val="30"/>
    </c:view3D>
    <c:floor>
      <c:spPr>
        <a:noFill/>
        <a:ln w="6480">
          <a:noFill/>
        </a:ln>
      </c:spPr>
    </c:floor>
    <c:sideWall>
      <c:spPr>
        <a:noFill/>
        <a:ln w="6480">
          <a:noFill/>
        </a:ln>
      </c:spPr>
    </c:sideWall>
    <c:backWall>
      <c:spPr>
        <a:noFill/>
        <a:ln w="6480">
          <a:noFill/>
        </a:ln>
      </c:spPr>
    </c:backWall>
    <c:plotArea>
      <c:layout>
        <c:manualLayout>
          <c:layoutTarget val="inner"/>
          <c:xMode val="edge"/>
          <c:yMode val="edge"/>
          <c:x val="0.2700625"/>
          <c:y val="0.157888888888889"/>
          <c:w val="0.70175"/>
          <c:h val="0.802555555555556"/>
        </c:manualLayout>
      </c:layout>
      <c:line3DChart>
        <c:grouping val="standard"/>
        <c:varyColors val="0"/>
        <c:ser>
          <c:idx val="0"/>
          <c:order val="0"/>
          <c:tx>
            <c:strRef>
              <c:f>label 0</c:f>
              <c:strCache>
                <c:ptCount val="1"/>
                <c:pt idx="0">
                  <c:v>HV</c:v>
                </c:pt>
              </c:strCache>
            </c:strRef>
          </c:tx>
          <c:spPr>
            <a:solidFill>
              <a:srgbClr val="5b9bd5"/>
            </a:solidFill>
            <a:ln w="0">
              <a:noFill/>
            </a:ln>
          </c:spPr>
          <c:marker>
            <c:symbol val="none"/>
          </c:marker>
          <c:dLbls>
            <c:txPr>
              <a:bodyPr wrap="none"/>
              <a:lstStyle/>
              <a:p>
                <a:pPr>
                  <a:defRPr b="0" sz="1000" spc="-1" strike="noStrike">
                    <a:solidFill>
                      <a:srgbClr val="000000"/>
                    </a:solidFill>
                    <a:latin typeface="Calibri"/>
                  </a:defRPr>
                </a:pPr>
              </a:p>
            </c:txPr>
            <c:showLegendKey val="0"/>
            <c:showVal val="0"/>
            <c:showCatName val="0"/>
            <c:showSerName val="0"/>
            <c:showPercent val="0"/>
            <c:separator>; </c:separator>
            <c:showLeaderLines val="0"/>
            <c:extLst>
              <c:ext xmlns:c15="http://schemas.microsoft.com/office/drawing/2012/chart" uri="{CE6537A1-D6FC-4f65-9D91-7224C49458BB}">
                <c15:showLeaderLines val="1"/>
              </c:ext>
            </c:extLst>
          </c:dLbls>
          <c:cat>
            <c:strRef>
              <c:f>categories</c:f>
              <c:strCache>
                <c:ptCount val="9"/>
                <c:pt idx="0">
                  <c:v>2011</c:v>
                </c:pt>
                <c:pt idx="1">
                  <c:v>2012</c:v>
                </c:pt>
                <c:pt idx="2">
                  <c:v>2013</c:v>
                </c:pt>
                <c:pt idx="3">
                  <c:v>2014</c:v>
                </c:pt>
                <c:pt idx="4">
                  <c:v>2015</c:v>
                </c:pt>
                <c:pt idx="5">
                  <c:v>2016</c:v>
                </c:pt>
                <c:pt idx="6">
                  <c:v>2017</c:v>
                </c:pt>
                <c:pt idx="7">
                  <c:v>2018</c:v>
                </c:pt>
                <c:pt idx="8">
                  <c:v>2019</c:v>
                </c:pt>
              </c:strCache>
            </c:strRef>
          </c:cat>
          <c:val>
            <c:numRef>
              <c:f>0</c:f>
              <c:numCache>
                <c:formatCode>General</c:formatCode>
                <c:ptCount val="9"/>
                <c:pt idx="0">
                  <c:v>148649</c:v>
                </c:pt>
                <c:pt idx="1">
                  <c:v>452742</c:v>
                </c:pt>
                <c:pt idx="2">
                  <c:v>232738</c:v>
                </c:pt>
                <c:pt idx="3">
                  <c:v>185792</c:v>
                </c:pt>
                <c:pt idx="4">
                  <c:v>228738</c:v>
                </c:pt>
                <c:pt idx="5">
                  <c:v>-234217</c:v>
                </c:pt>
                <c:pt idx="6">
                  <c:v>-3915907</c:v>
                </c:pt>
                <c:pt idx="7">
                  <c:v>283889</c:v>
                </c:pt>
                <c:pt idx="8">
                  <c:v>-2874390</c:v>
                </c:pt>
              </c:numCache>
            </c:numRef>
          </c:val>
          <c:smooth val="0"/>
        </c:ser>
        <c:axId val="3854512"/>
        <c:axId val="9801058"/>
        <c:axId val="29401778"/>
      </c:line3DChart>
      <c:catAx>
        <c:axId val="3854512"/>
        <c:scaling>
          <c:orientation val="minMax"/>
        </c:scaling>
        <c:delete val="0"/>
        <c:axPos val="b"/>
        <c:numFmt formatCode="General" sourceLinked="0"/>
        <c:majorTickMark val="out"/>
        <c:minorTickMark val="none"/>
        <c:tickLblPos val="nextTo"/>
        <c:spPr>
          <a:ln w="9360">
            <a:solidFill>
              <a:srgbClr val="d9d9d9"/>
            </a:solidFill>
            <a:round/>
          </a:ln>
        </c:spPr>
        <c:txPr>
          <a:bodyPr/>
          <a:lstStyle/>
          <a:p>
            <a:pPr>
              <a:defRPr b="0" sz="900" spc="-1" strike="noStrike">
                <a:solidFill>
                  <a:srgbClr val="595959"/>
                </a:solidFill>
                <a:latin typeface="Calibri"/>
              </a:defRPr>
            </a:pPr>
          </a:p>
        </c:txPr>
        <c:crossAx val="9801058"/>
        <c:crosses val="autoZero"/>
        <c:auto val="1"/>
        <c:lblAlgn val="ctr"/>
        <c:lblOffset val="100"/>
        <c:noMultiLvlLbl val="0"/>
      </c:catAx>
      <c:valAx>
        <c:axId val="9801058"/>
        <c:scaling>
          <c:orientation val="minMax"/>
        </c:scaling>
        <c:delete val="0"/>
        <c:axPos val="l"/>
        <c:majorGridlines>
          <c:spPr>
            <a:ln w="9360">
              <a:solidFill>
                <a:srgbClr val="d9d9d9"/>
              </a:solidFill>
              <a:round/>
            </a:ln>
          </c:spPr>
        </c:majorGridlines>
        <c:numFmt formatCode="General" sourceLinked="0"/>
        <c:majorTickMark val="none"/>
        <c:minorTickMark val="none"/>
        <c:tickLblPos val="nextTo"/>
        <c:spPr>
          <a:ln w="6480">
            <a:noFill/>
          </a:ln>
        </c:spPr>
        <c:txPr>
          <a:bodyPr/>
          <a:lstStyle/>
          <a:p>
            <a:pPr>
              <a:defRPr b="0" sz="900" spc="-1" strike="noStrike">
                <a:solidFill>
                  <a:srgbClr val="595959"/>
                </a:solidFill>
                <a:latin typeface="Calibri"/>
              </a:defRPr>
            </a:pPr>
          </a:p>
        </c:txPr>
        <c:crossAx val="3854512"/>
        <c:crosses val="autoZero"/>
        <c:crossBetween val="between"/>
      </c:valAx>
      <c:catAx>
        <c:axId val="29401778"/>
        <c:scaling>
          <c:orientation val="minMax"/>
        </c:scaling>
        <c:delete val="0"/>
        <c:axPos val="b"/>
        <c:numFmt formatCode="General" sourceLinked="1"/>
        <c:majorTickMark val="out"/>
        <c:minorTickMark val="none"/>
        <c:tickLblPos val="nextTo"/>
        <c:spPr>
          <a:ln w="9360">
            <a:solidFill>
              <a:srgbClr val="d9d9d9"/>
            </a:solidFill>
            <a:round/>
          </a:ln>
        </c:spPr>
        <c:txPr>
          <a:bodyPr/>
          <a:lstStyle/>
          <a:p>
            <a:pPr>
              <a:defRPr b="0" sz="900" spc="-1" strike="noStrike">
                <a:solidFill>
                  <a:srgbClr val="595959"/>
                </a:solidFill>
                <a:latin typeface="Calibri"/>
              </a:defRPr>
            </a:pPr>
          </a:p>
        </c:txPr>
        <c:crossAx val="9801058"/>
        <c:crosses val="autoZero"/>
        <c:auto val="1"/>
        <c:lblAlgn val="ctr"/>
        <c:lblOffset val="100"/>
        <c:noMultiLvlLbl val="0"/>
      </c:catAx>
    </c:plotArea>
    <c:plotVisOnly val="1"/>
    <c:dispBlanksAs val="gap"/>
  </c:chart>
  <c:spPr>
    <a:solidFill>
      <a:srgbClr val="ffffff"/>
    </a:solidFill>
    <a:ln w="9360">
      <a:solidFill>
        <a:srgbClr val="d9d9d9"/>
      </a:solidFill>
      <a:round/>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n-US"/>
  <c:roundedCorners val="0"/>
  <c:chart>
    <c:autoTitleDeleted val="1"/>
    <c:view3D>
      <c:rotX val="15"/>
      <c:rotY val="20"/>
      <c:rAngAx val="0"/>
      <c:perspective val="30"/>
    </c:view3D>
    <c:floor>
      <c:spPr>
        <a:noFill/>
        <a:ln w="6480">
          <a:solidFill>
            <a:srgbClr val="8b8b8b"/>
          </a:solidFill>
          <a:round/>
        </a:ln>
      </c:spPr>
    </c:floor>
    <c:sideWall>
      <c:spPr>
        <a:noFill/>
        <a:ln w="6480">
          <a:solidFill>
            <a:srgbClr val="8b8b8b"/>
          </a:solidFill>
          <a:round/>
        </a:ln>
      </c:spPr>
    </c:sideWall>
    <c:backWall>
      <c:spPr>
        <a:noFill/>
        <a:ln w="6480">
          <a:solidFill>
            <a:srgbClr val="8b8b8b"/>
          </a:solidFill>
          <a:round/>
        </a:ln>
      </c:spPr>
    </c:backWall>
    <c:plotArea>
      <c:layout>
        <c:manualLayout>
          <c:layoutTarget val="inner"/>
          <c:xMode val="edge"/>
          <c:yMode val="edge"/>
          <c:x val="0.1940625"/>
          <c:y val="0.094"/>
          <c:w val="0.4930625"/>
          <c:h val="0.727111111111111"/>
        </c:manualLayout>
      </c:layout>
      <c:bar3DChart>
        <c:barDir val="col"/>
        <c:grouping val="standard"/>
        <c:varyColors val="0"/>
        <c:ser>
          <c:idx val="0"/>
          <c:order val="0"/>
          <c:tx>
            <c:strRef>
              <c:f>label 0</c:f>
              <c:strCache>
                <c:ptCount val="1"/>
                <c:pt idx="0">
                  <c:v>Pohľadávky</c:v>
                </c:pt>
              </c:strCache>
            </c:strRef>
          </c:tx>
          <c:spPr>
            <a:solidFill>
              <a:srgbClr val="5b9bd5"/>
            </a:solidFill>
            <a:ln w="0">
              <a:noFill/>
            </a:ln>
          </c:spPr>
          <c:invertIfNegative val="0"/>
          <c:dLbls>
            <c:txPr>
              <a:bodyPr wrap="none"/>
              <a:lstStyle/>
              <a:p>
                <a:pPr>
                  <a:defRPr b="0" sz="1000" spc="-1" strike="noStrike">
                    <a:solidFill>
                      <a:srgbClr val="000000"/>
                    </a:solidFill>
                    <a:latin typeface="Calibri"/>
                  </a:defRPr>
                </a:pPr>
              </a:p>
            </c:txPr>
            <c:showLegendKey val="0"/>
            <c:showVal val="0"/>
            <c:showCatName val="0"/>
            <c:showSerName val="0"/>
            <c:showPercent val="0"/>
            <c:separator>; </c:separator>
            <c:showLeaderLines val="0"/>
            <c:extLst>
              <c:ext xmlns:c15="http://schemas.microsoft.com/office/drawing/2012/chart" uri="{CE6537A1-D6FC-4f65-9D91-7224C49458BB}">
                <c15:showLeaderLines val="1"/>
              </c:ext>
            </c:extLst>
          </c:dLbls>
          <c:cat>
            <c:strRef>
              <c:f>categories</c:f>
              <c:strCache>
                <c:ptCount val="6"/>
                <c:pt idx="0">
                  <c:v>2014</c:v>
                </c:pt>
                <c:pt idx="1">
                  <c:v>2015</c:v>
                </c:pt>
                <c:pt idx="2">
                  <c:v>2016</c:v>
                </c:pt>
                <c:pt idx="3">
                  <c:v>2017</c:v>
                </c:pt>
                <c:pt idx="4">
                  <c:v>2018</c:v>
                </c:pt>
                <c:pt idx="5">
                  <c:v>2019</c:v>
                </c:pt>
              </c:strCache>
            </c:strRef>
          </c:cat>
          <c:val>
            <c:numRef>
              <c:f>0</c:f>
              <c:numCache>
                <c:formatCode>General</c:formatCode>
                <c:ptCount val="6"/>
                <c:pt idx="0">
                  <c:v>8523753</c:v>
                </c:pt>
                <c:pt idx="1">
                  <c:v>10866814</c:v>
                </c:pt>
                <c:pt idx="2">
                  <c:v>9116363</c:v>
                </c:pt>
                <c:pt idx="3">
                  <c:v>11425984</c:v>
                </c:pt>
                <c:pt idx="4">
                  <c:v>10694790</c:v>
                </c:pt>
                <c:pt idx="5">
                  <c:v>13281800</c:v>
                </c:pt>
              </c:numCache>
            </c:numRef>
          </c:val>
        </c:ser>
        <c:ser>
          <c:idx val="1"/>
          <c:order val="1"/>
          <c:tx>
            <c:strRef>
              <c:f>label 1</c:f>
              <c:strCache>
                <c:ptCount val="1"/>
                <c:pt idx="0">
                  <c:v>Záväzky</c:v>
                </c:pt>
              </c:strCache>
            </c:strRef>
          </c:tx>
          <c:spPr>
            <a:solidFill>
              <a:srgbClr val="ed7d31"/>
            </a:solidFill>
            <a:ln w="0">
              <a:noFill/>
            </a:ln>
          </c:spPr>
          <c:invertIfNegative val="0"/>
          <c:dLbls>
            <c:txPr>
              <a:bodyPr wrap="none"/>
              <a:lstStyle/>
              <a:p>
                <a:pPr>
                  <a:defRPr b="0" sz="1000" spc="-1" strike="noStrike">
                    <a:solidFill>
                      <a:srgbClr val="000000"/>
                    </a:solidFill>
                    <a:latin typeface="Calibri"/>
                  </a:defRPr>
                </a:pPr>
              </a:p>
            </c:txPr>
            <c:showLegendKey val="0"/>
            <c:showVal val="0"/>
            <c:showCatName val="0"/>
            <c:showSerName val="0"/>
            <c:showPercent val="0"/>
            <c:separator>; </c:separator>
            <c:showLeaderLines val="0"/>
            <c:extLst>
              <c:ext xmlns:c15="http://schemas.microsoft.com/office/drawing/2012/chart" uri="{CE6537A1-D6FC-4f65-9D91-7224C49458BB}">
                <c15:showLeaderLines val="1"/>
              </c:ext>
            </c:extLst>
          </c:dLbls>
          <c:cat>
            <c:strRef>
              <c:f>categories</c:f>
              <c:strCache>
                <c:ptCount val="6"/>
                <c:pt idx="0">
                  <c:v>2014</c:v>
                </c:pt>
                <c:pt idx="1">
                  <c:v>2015</c:v>
                </c:pt>
                <c:pt idx="2">
                  <c:v>2016</c:v>
                </c:pt>
                <c:pt idx="3">
                  <c:v>2017</c:v>
                </c:pt>
                <c:pt idx="4">
                  <c:v>2018</c:v>
                </c:pt>
                <c:pt idx="5">
                  <c:v>2019</c:v>
                </c:pt>
              </c:strCache>
            </c:strRef>
          </c:cat>
          <c:val>
            <c:numRef>
              <c:f>1</c:f>
              <c:numCache>
                <c:formatCode>General</c:formatCode>
                <c:ptCount val="6"/>
                <c:pt idx="0">
                  <c:v>16232347</c:v>
                </c:pt>
                <c:pt idx="1">
                  <c:v>15793204</c:v>
                </c:pt>
                <c:pt idx="2">
                  <c:v>16425905</c:v>
                </c:pt>
                <c:pt idx="3">
                  <c:v>20792479</c:v>
                </c:pt>
                <c:pt idx="4">
                  <c:v>22147767</c:v>
                </c:pt>
                <c:pt idx="5">
                  <c:v>20097903</c:v>
                </c:pt>
              </c:numCache>
            </c:numRef>
          </c:val>
        </c:ser>
        <c:gapWidth val="150"/>
        <c:shape val="box"/>
        <c:axId val="85593290"/>
        <c:axId val="49072793"/>
      </c:bar3DChart>
      <c:catAx>
        <c:axId val="85593290"/>
        <c:scaling>
          <c:orientation val="minMax"/>
        </c:scaling>
        <c:delete val="0"/>
        <c:axPos val="b"/>
        <c:numFmt formatCode="General" sourceLinked="0"/>
        <c:majorTickMark val="out"/>
        <c:minorTickMark val="none"/>
        <c:tickLblPos val="nextTo"/>
        <c:spPr>
          <a:ln w="6480">
            <a:solidFill>
              <a:srgbClr val="8b8b8b"/>
            </a:solidFill>
            <a:round/>
          </a:ln>
        </c:spPr>
        <c:txPr>
          <a:bodyPr/>
          <a:lstStyle/>
          <a:p>
            <a:pPr>
              <a:defRPr b="0" sz="1000" spc="-1" strike="noStrike">
                <a:solidFill>
                  <a:srgbClr val="000000"/>
                </a:solidFill>
                <a:latin typeface="Calibri"/>
              </a:defRPr>
            </a:pPr>
          </a:p>
        </c:txPr>
        <c:crossAx val="49072793"/>
        <c:crosses val="autoZero"/>
        <c:auto val="1"/>
        <c:lblAlgn val="ctr"/>
        <c:lblOffset val="100"/>
        <c:noMultiLvlLbl val="0"/>
      </c:catAx>
      <c:valAx>
        <c:axId val="49072793"/>
        <c:scaling>
          <c:orientation val="minMax"/>
        </c:scaling>
        <c:delete val="0"/>
        <c:axPos val="l"/>
        <c:majorGridlines>
          <c:spPr>
            <a:ln w="6480">
              <a:solidFill>
                <a:srgbClr val="8b8b8b"/>
              </a:solidFill>
              <a:round/>
            </a:ln>
          </c:spPr>
        </c:majorGridlines>
        <c:numFmt formatCode="#,##0" sourceLinked="0"/>
        <c:majorTickMark val="out"/>
        <c:minorTickMark val="none"/>
        <c:tickLblPos val="nextTo"/>
        <c:spPr>
          <a:ln w="6480">
            <a:solidFill>
              <a:srgbClr val="8b8b8b"/>
            </a:solidFill>
            <a:round/>
          </a:ln>
        </c:spPr>
        <c:txPr>
          <a:bodyPr/>
          <a:lstStyle/>
          <a:p>
            <a:pPr>
              <a:defRPr b="0" sz="1000" spc="-1" strike="noStrike">
                <a:solidFill>
                  <a:srgbClr val="000000"/>
                </a:solidFill>
                <a:latin typeface="Calibri"/>
              </a:defRPr>
            </a:pPr>
          </a:p>
        </c:txPr>
        <c:crossAx val="85593290"/>
        <c:crosses val="autoZero"/>
        <c:crossBetween val="between"/>
      </c:valAx>
    </c:plotArea>
    <c:legend>
      <c:legendPos val="r"/>
      <c:layout>
        <c:manualLayout>
          <c:xMode val="edge"/>
          <c:yMode val="edge"/>
          <c:x val="0.6920625"/>
          <c:y val="0.374"/>
          <c:w val="0.307894243390212"/>
          <c:h val="0.266251805756195"/>
        </c:manualLayout>
      </c:layout>
      <c:overlay val="0"/>
      <c:spPr>
        <a:noFill/>
        <a:ln w="0">
          <a:noFill/>
        </a:ln>
      </c:spPr>
      <c:txPr>
        <a:bodyPr/>
        <a:lstStyle/>
        <a:p>
          <a:pPr>
            <a:defRPr b="0" sz="1000" spc="-1" strike="noStrike">
              <a:solidFill>
                <a:srgbClr val="000000"/>
              </a:solidFill>
              <a:latin typeface="Calibri"/>
            </a:defRPr>
          </a:pPr>
        </a:p>
      </c:txPr>
    </c:legend>
    <c:plotVisOnly val="1"/>
    <c:dispBlanksAs val="gap"/>
  </c:chart>
  <c:spPr>
    <a:solidFill>
      <a:srgbClr val="ffffff"/>
    </a:solidFill>
    <a:ln w="9360">
      <a:solidFill>
        <a:srgbClr val="d9d9d9"/>
      </a:solidFill>
      <a:round/>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n-US"/>
  <c:roundedCorners val="0"/>
  <c:chart>
    <c:autoTitleDeleted val="1"/>
    <c:view3D>
      <c:rotX val="15"/>
      <c:rotY val="20"/>
      <c:rAngAx val="0"/>
      <c:perspective val="30"/>
    </c:view3D>
    <c:floor>
      <c:spPr>
        <a:noFill/>
        <a:ln w="6480">
          <a:solidFill>
            <a:srgbClr val="8b8b8b"/>
          </a:solidFill>
          <a:round/>
        </a:ln>
      </c:spPr>
    </c:floor>
    <c:sideWall>
      <c:spPr>
        <a:noFill/>
        <a:ln w="6480">
          <a:solidFill>
            <a:srgbClr val="8b8b8b"/>
          </a:solidFill>
          <a:round/>
        </a:ln>
      </c:spPr>
    </c:sideWall>
    <c:backWall>
      <c:spPr>
        <a:noFill/>
        <a:ln w="6480">
          <a:solidFill>
            <a:srgbClr val="8b8b8b"/>
          </a:solidFill>
          <a:round/>
        </a:ln>
      </c:spPr>
    </c:backWall>
    <c:plotArea>
      <c:layout>
        <c:manualLayout>
          <c:layoutTarget val="inner"/>
          <c:xMode val="edge"/>
          <c:yMode val="edge"/>
          <c:x val="0.161125"/>
          <c:y val="0.215333333333333"/>
          <c:w val="0.486375"/>
          <c:h val="0.636333333333333"/>
        </c:manualLayout>
      </c:layout>
      <c:bar3DChart>
        <c:barDir val="col"/>
        <c:grouping val="standard"/>
        <c:varyColors val="0"/>
        <c:ser>
          <c:idx val="0"/>
          <c:order val="0"/>
          <c:tx>
            <c:strRef>
              <c:f>label 0</c:f>
              <c:strCache>
                <c:ptCount val="1"/>
                <c:pt idx="0">
                  <c:v>Dlhodobý majetok</c:v>
                </c:pt>
              </c:strCache>
            </c:strRef>
          </c:tx>
          <c:spPr>
            <a:solidFill>
              <a:srgbClr val="5b9bd5"/>
            </a:solidFill>
            <a:ln w="0">
              <a:noFill/>
            </a:ln>
          </c:spPr>
          <c:invertIfNegative val="0"/>
          <c:dLbls>
            <c:txPr>
              <a:bodyPr wrap="none"/>
              <a:lstStyle/>
              <a:p>
                <a:pPr>
                  <a:defRPr b="0" sz="1000" spc="-1" strike="noStrike">
                    <a:solidFill>
                      <a:srgbClr val="000000"/>
                    </a:solidFill>
                    <a:latin typeface="Calibri"/>
                  </a:defRPr>
                </a:pPr>
              </a:p>
            </c:txPr>
            <c:showLegendKey val="0"/>
            <c:showVal val="0"/>
            <c:showCatName val="0"/>
            <c:showSerName val="0"/>
            <c:showPercent val="0"/>
            <c:separator>; </c:separator>
            <c:showLeaderLines val="0"/>
            <c:extLst>
              <c:ext xmlns:c15="http://schemas.microsoft.com/office/drawing/2012/chart" uri="{CE6537A1-D6FC-4f65-9D91-7224C49458BB}">
                <c15:showLeaderLines val="1"/>
              </c:ext>
            </c:extLst>
          </c:dLbls>
          <c:cat>
            <c:strRef>
              <c:f>categories</c:f>
              <c:strCache>
                <c:ptCount val="6"/>
                <c:pt idx="0">
                  <c:v>2014</c:v>
                </c:pt>
                <c:pt idx="1">
                  <c:v>2015</c:v>
                </c:pt>
                <c:pt idx="2">
                  <c:v>2016</c:v>
                </c:pt>
                <c:pt idx="3">
                  <c:v>2017</c:v>
                </c:pt>
                <c:pt idx="4">
                  <c:v>2018</c:v>
                </c:pt>
                <c:pt idx="5">
                  <c:v>2019</c:v>
                </c:pt>
              </c:strCache>
            </c:strRef>
          </c:cat>
          <c:val>
            <c:numRef>
              <c:f>0</c:f>
              <c:numCache>
                <c:formatCode>General</c:formatCode>
                <c:ptCount val="6"/>
                <c:pt idx="0">
                  <c:v>6856775</c:v>
                </c:pt>
                <c:pt idx="1">
                  <c:v>9323697</c:v>
                </c:pt>
                <c:pt idx="2">
                  <c:v>8928081</c:v>
                </c:pt>
                <c:pt idx="3">
                  <c:v>8297926</c:v>
                </c:pt>
                <c:pt idx="4">
                  <c:v>8893898</c:v>
                </c:pt>
                <c:pt idx="5">
                  <c:v>3952638</c:v>
                </c:pt>
              </c:numCache>
            </c:numRef>
          </c:val>
        </c:ser>
        <c:ser>
          <c:idx val="1"/>
          <c:order val="1"/>
          <c:tx>
            <c:strRef>
              <c:f>label 1</c:f>
              <c:strCache>
                <c:ptCount val="1"/>
                <c:pt idx="0">
                  <c:v>Obežný majetok</c:v>
                </c:pt>
              </c:strCache>
            </c:strRef>
          </c:tx>
          <c:spPr>
            <a:solidFill>
              <a:srgbClr val="ed7d31"/>
            </a:solidFill>
            <a:ln w="0">
              <a:noFill/>
            </a:ln>
          </c:spPr>
          <c:invertIfNegative val="0"/>
          <c:dLbls>
            <c:txPr>
              <a:bodyPr wrap="none"/>
              <a:lstStyle/>
              <a:p>
                <a:pPr>
                  <a:defRPr b="0" sz="1000" spc="-1" strike="noStrike">
                    <a:solidFill>
                      <a:srgbClr val="000000"/>
                    </a:solidFill>
                    <a:latin typeface="Calibri"/>
                  </a:defRPr>
                </a:pPr>
              </a:p>
            </c:txPr>
            <c:showLegendKey val="0"/>
            <c:showVal val="0"/>
            <c:showCatName val="0"/>
            <c:showSerName val="0"/>
            <c:showPercent val="0"/>
            <c:separator>; </c:separator>
            <c:showLeaderLines val="0"/>
            <c:extLst>
              <c:ext xmlns:c15="http://schemas.microsoft.com/office/drawing/2012/chart" uri="{CE6537A1-D6FC-4f65-9D91-7224C49458BB}">
                <c15:showLeaderLines val="1"/>
              </c:ext>
            </c:extLst>
          </c:dLbls>
          <c:cat>
            <c:strRef>
              <c:f>categories</c:f>
              <c:strCache>
                <c:ptCount val="6"/>
                <c:pt idx="0">
                  <c:v>2014</c:v>
                </c:pt>
                <c:pt idx="1">
                  <c:v>2015</c:v>
                </c:pt>
                <c:pt idx="2">
                  <c:v>2016</c:v>
                </c:pt>
                <c:pt idx="3">
                  <c:v>2017</c:v>
                </c:pt>
                <c:pt idx="4">
                  <c:v>2018</c:v>
                </c:pt>
                <c:pt idx="5">
                  <c:v>2019</c:v>
                </c:pt>
              </c:strCache>
            </c:strRef>
          </c:cat>
          <c:val>
            <c:numRef>
              <c:f>1</c:f>
              <c:numCache>
                <c:formatCode>General</c:formatCode>
                <c:ptCount val="6"/>
                <c:pt idx="0">
                  <c:v>12956201</c:v>
                </c:pt>
                <c:pt idx="1">
                  <c:v>12367300</c:v>
                </c:pt>
                <c:pt idx="2">
                  <c:v>11681344</c:v>
                </c:pt>
                <c:pt idx="3">
                  <c:v>13072758</c:v>
                </c:pt>
                <c:pt idx="4">
                  <c:v>13796105</c:v>
                </c:pt>
                <c:pt idx="5">
                  <c:v>13850329</c:v>
                </c:pt>
              </c:numCache>
            </c:numRef>
          </c:val>
        </c:ser>
        <c:gapWidth val="150"/>
        <c:shape val="box"/>
        <c:axId val="71531849"/>
        <c:axId val="48123558"/>
      </c:bar3DChart>
      <c:catAx>
        <c:axId val="71531849"/>
        <c:scaling>
          <c:orientation val="minMax"/>
        </c:scaling>
        <c:delete val="0"/>
        <c:axPos val="b"/>
        <c:numFmt formatCode="General" sourceLinked="0"/>
        <c:majorTickMark val="out"/>
        <c:minorTickMark val="none"/>
        <c:tickLblPos val="nextTo"/>
        <c:spPr>
          <a:ln w="6480">
            <a:solidFill>
              <a:srgbClr val="8b8b8b"/>
            </a:solidFill>
            <a:round/>
          </a:ln>
        </c:spPr>
        <c:txPr>
          <a:bodyPr/>
          <a:lstStyle/>
          <a:p>
            <a:pPr>
              <a:defRPr b="0" sz="1000" spc="-1" strike="noStrike">
                <a:solidFill>
                  <a:srgbClr val="000000"/>
                </a:solidFill>
                <a:latin typeface="Calibri"/>
              </a:defRPr>
            </a:pPr>
          </a:p>
        </c:txPr>
        <c:crossAx val="48123558"/>
        <c:crosses val="autoZero"/>
        <c:auto val="1"/>
        <c:lblAlgn val="ctr"/>
        <c:lblOffset val="100"/>
        <c:noMultiLvlLbl val="0"/>
      </c:catAx>
      <c:valAx>
        <c:axId val="48123558"/>
        <c:scaling>
          <c:orientation val="minMax"/>
        </c:scaling>
        <c:delete val="0"/>
        <c:axPos val="l"/>
        <c:majorGridlines>
          <c:spPr>
            <a:ln w="6480">
              <a:solidFill>
                <a:srgbClr val="8b8b8b"/>
              </a:solidFill>
              <a:round/>
            </a:ln>
          </c:spPr>
        </c:majorGridlines>
        <c:numFmt formatCode="#,##0" sourceLinked="0"/>
        <c:majorTickMark val="out"/>
        <c:minorTickMark val="none"/>
        <c:tickLblPos val="nextTo"/>
        <c:spPr>
          <a:ln w="6480">
            <a:solidFill>
              <a:srgbClr val="8b8b8b"/>
            </a:solidFill>
            <a:round/>
          </a:ln>
        </c:spPr>
        <c:txPr>
          <a:bodyPr/>
          <a:lstStyle/>
          <a:p>
            <a:pPr>
              <a:defRPr b="0" sz="1000" spc="-1" strike="noStrike">
                <a:solidFill>
                  <a:srgbClr val="000000"/>
                </a:solidFill>
                <a:latin typeface="Calibri"/>
              </a:defRPr>
            </a:pPr>
          </a:p>
        </c:txPr>
        <c:crossAx val="71531849"/>
        <c:crosses val="autoZero"/>
        <c:crossBetween val="between"/>
      </c:valAx>
    </c:plotArea>
    <c:legend>
      <c:legendPos val="r"/>
      <c:layout>
        <c:manualLayout>
          <c:xMode val="edge"/>
          <c:yMode val="edge"/>
          <c:x val="0.705"/>
          <c:y val="0.392222222222222"/>
          <c:w val="0.274767172948309"/>
          <c:h val="0.375486165129459"/>
        </c:manualLayout>
      </c:layout>
      <c:overlay val="0"/>
      <c:spPr>
        <a:noFill/>
        <a:ln w="0">
          <a:noFill/>
        </a:ln>
      </c:spPr>
      <c:txPr>
        <a:bodyPr/>
        <a:lstStyle/>
        <a:p>
          <a:pPr>
            <a:defRPr b="0" sz="1000" spc="-1" strike="noStrike">
              <a:solidFill>
                <a:srgbClr val="000000"/>
              </a:solidFill>
              <a:latin typeface="Calibri"/>
            </a:defRPr>
          </a:pPr>
        </a:p>
      </c:txPr>
    </c:legend>
    <c:plotVisOnly val="1"/>
    <c:dispBlanksAs val="gap"/>
  </c:chart>
  <c:spPr>
    <a:solidFill>
      <a:srgbClr val="ffffff"/>
    </a:solidFill>
    <a:ln w="9360">
      <a:solidFill>
        <a:srgbClr val="d9d9d9"/>
      </a:solidFill>
      <a:round/>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n-US"/>
  <c:roundedCorners val="0"/>
  <c:chart>
    <c:title>
      <c:tx>
        <c:rich>
          <a:bodyPr rot="0"/>
          <a:lstStyle/>
          <a:p>
            <a:pPr>
              <a:defRPr b="1" lang="en-US" sz="1800" spc="-1" strike="noStrike">
                <a:solidFill>
                  <a:srgbClr val="000000"/>
                </a:solidFill>
                <a:latin typeface="Calibri"/>
              </a:defRPr>
            </a:pPr>
            <a:r>
              <a:rPr b="1" lang="en-US" sz="1800" spc="-1" strike="noStrike">
                <a:solidFill>
                  <a:srgbClr val="000000"/>
                </a:solidFill>
                <a:latin typeface="Calibri"/>
              </a:rPr>
              <a:t>Počet zamestnancov podľa stredísk v roku 2019</a:t>
            </a:r>
          </a:p>
        </c:rich>
      </c:tx>
      <c:overlay val="0"/>
      <c:spPr>
        <a:noFill/>
        <a:ln w="20880">
          <a:noFill/>
        </a:ln>
      </c:spPr>
    </c:title>
    <c:autoTitleDeleted val="0"/>
    <c:plotArea>
      <c:pieChart>
        <c:varyColors val="1"/>
        <c:ser>
          <c:idx val="0"/>
          <c:order val="0"/>
          <c:tx>
            <c:strRef>
              <c:f>label 0</c:f>
              <c:strCache>
                <c:ptCount val="1"/>
                <c:pt idx="0">
                  <c:v>Počet zamestnancov podľa stredísk</c:v>
                </c:pt>
              </c:strCache>
            </c:strRef>
          </c:tx>
          <c:spPr>
            <a:solidFill>
              <a:srgbClr val="5b9bd5"/>
            </a:solidFill>
            <a:ln w="0">
              <a:noFill/>
            </a:ln>
          </c:spPr>
          <c:explosion val="0"/>
          <c:dPt>
            <c:idx val="0"/>
            <c:spPr>
              <a:solidFill>
                <a:srgbClr val="518abd"/>
              </a:solidFill>
              <a:ln w="0">
                <a:noFill/>
              </a:ln>
            </c:spPr>
          </c:dPt>
          <c:dPt>
            <c:idx val="1"/>
            <c:spPr>
              <a:solidFill>
                <a:srgbClr val="d36f2b"/>
              </a:solidFill>
              <a:ln w="0">
                <a:noFill/>
              </a:ln>
            </c:spPr>
          </c:dPt>
          <c:dPt>
            <c:idx val="2"/>
            <c:spPr>
              <a:solidFill>
                <a:srgbClr val="929292"/>
              </a:solidFill>
              <a:ln w="0">
                <a:noFill/>
              </a:ln>
            </c:spPr>
          </c:dPt>
          <c:dPt>
            <c:idx val="3"/>
            <c:spPr>
              <a:solidFill>
                <a:srgbClr val="e3ab00"/>
              </a:solidFill>
              <a:ln w="0">
                <a:noFill/>
              </a:ln>
            </c:spPr>
          </c:dPt>
          <c:dPt>
            <c:idx val="4"/>
            <c:spPr>
              <a:solidFill>
                <a:srgbClr val="3c65ae"/>
              </a:solidFill>
              <a:ln w="0">
                <a:noFill/>
              </a:ln>
            </c:spPr>
          </c:dPt>
          <c:dPt>
            <c:idx val="5"/>
            <c:spPr>
              <a:solidFill>
                <a:srgbClr val="639a3f"/>
              </a:solidFill>
              <a:ln w="0">
                <a:noFill/>
              </a:ln>
            </c:spPr>
          </c:dPt>
          <c:dPt>
            <c:idx val="6"/>
            <c:spPr>
              <a:solidFill>
                <a:srgbClr val="98b8df"/>
              </a:solidFill>
              <a:ln w="0">
                <a:noFill/>
              </a:ln>
            </c:spPr>
          </c:dPt>
          <c:dPt>
            <c:idx val="7"/>
            <c:spPr>
              <a:solidFill>
                <a:srgbClr val="f1a78b"/>
              </a:solidFill>
              <a:ln w="0">
                <a:noFill/>
              </a:ln>
            </c:spPr>
          </c:dPt>
          <c:dLbls>
            <c:dLbl>
              <c:idx val="0"/>
              <c:txPr>
                <a:bodyPr wrap="none"/>
                <a:lstStyle/>
                <a:p>
                  <a:pPr>
                    <a:defRPr b="0" sz="1000" spc="-1" strike="noStrike">
                      <a:solidFill>
                        <a:srgbClr val="000000"/>
                      </a:solidFill>
                      <a:latin typeface="Calibri"/>
                    </a:defRPr>
                  </a:pPr>
                </a:p>
              </c:txPr>
              <c:dLblPos val="bestFit"/>
              <c:showLegendKey val="0"/>
              <c:showVal val="0"/>
              <c:showCatName val="0"/>
              <c:showSerName val="0"/>
              <c:showPercent val="0"/>
              <c:separator>; </c:separator>
            </c:dLbl>
            <c:dLbl>
              <c:idx val="1"/>
              <c:txPr>
                <a:bodyPr wrap="none"/>
                <a:lstStyle/>
                <a:p>
                  <a:pPr>
                    <a:defRPr b="0" sz="1000" spc="-1" strike="noStrike">
                      <a:solidFill>
                        <a:srgbClr val="000000"/>
                      </a:solidFill>
                      <a:latin typeface="Calibri"/>
                    </a:defRPr>
                  </a:pPr>
                </a:p>
              </c:txPr>
              <c:dLblPos val="bestFit"/>
              <c:showLegendKey val="0"/>
              <c:showVal val="0"/>
              <c:showCatName val="0"/>
              <c:showSerName val="0"/>
              <c:showPercent val="0"/>
              <c:separator>; </c:separator>
            </c:dLbl>
            <c:dLbl>
              <c:idx val="2"/>
              <c:txPr>
                <a:bodyPr wrap="none"/>
                <a:lstStyle/>
                <a:p>
                  <a:pPr>
                    <a:defRPr b="0" sz="1000" spc="-1" strike="noStrike">
                      <a:solidFill>
                        <a:srgbClr val="000000"/>
                      </a:solidFill>
                      <a:latin typeface="Calibri"/>
                    </a:defRPr>
                  </a:pPr>
                </a:p>
              </c:txPr>
              <c:dLblPos val="bestFit"/>
              <c:showLegendKey val="0"/>
              <c:showVal val="0"/>
              <c:showCatName val="0"/>
              <c:showSerName val="0"/>
              <c:showPercent val="0"/>
              <c:separator>; </c:separator>
            </c:dLbl>
            <c:dLbl>
              <c:idx val="3"/>
              <c:txPr>
                <a:bodyPr wrap="none"/>
                <a:lstStyle/>
                <a:p>
                  <a:pPr>
                    <a:defRPr b="0" sz="1000" spc="-1" strike="noStrike">
                      <a:solidFill>
                        <a:srgbClr val="000000"/>
                      </a:solidFill>
                      <a:latin typeface="Calibri"/>
                    </a:defRPr>
                  </a:pPr>
                </a:p>
              </c:txPr>
              <c:dLblPos val="bestFit"/>
              <c:showLegendKey val="0"/>
              <c:showVal val="0"/>
              <c:showCatName val="0"/>
              <c:showSerName val="0"/>
              <c:showPercent val="0"/>
              <c:separator>; </c:separator>
            </c:dLbl>
            <c:dLbl>
              <c:idx val="4"/>
              <c:txPr>
                <a:bodyPr wrap="none"/>
                <a:lstStyle/>
                <a:p>
                  <a:pPr>
                    <a:defRPr b="0" sz="1000" spc="-1" strike="noStrike">
                      <a:solidFill>
                        <a:srgbClr val="000000"/>
                      </a:solidFill>
                      <a:latin typeface="Calibri"/>
                    </a:defRPr>
                  </a:pPr>
                </a:p>
              </c:txPr>
              <c:dLblPos val="bestFit"/>
              <c:showLegendKey val="0"/>
              <c:showVal val="0"/>
              <c:showCatName val="0"/>
              <c:showSerName val="0"/>
              <c:showPercent val="0"/>
              <c:separator>; </c:separator>
            </c:dLbl>
            <c:dLbl>
              <c:idx val="5"/>
              <c:txPr>
                <a:bodyPr wrap="none"/>
                <a:lstStyle/>
                <a:p>
                  <a:pPr>
                    <a:defRPr b="0" sz="1000" spc="-1" strike="noStrike">
                      <a:solidFill>
                        <a:srgbClr val="000000"/>
                      </a:solidFill>
                      <a:latin typeface="Calibri"/>
                    </a:defRPr>
                  </a:pPr>
                </a:p>
              </c:txPr>
              <c:dLblPos val="bestFit"/>
              <c:showLegendKey val="0"/>
              <c:showVal val="0"/>
              <c:showCatName val="0"/>
              <c:showSerName val="0"/>
              <c:showPercent val="0"/>
              <c:separator>; </c:separator>
            </c:dLbl>
            <c:dLbl>
              <c:idx val="6"/>
              <c:txPr>
                <a:bodyPr wrap="none"/>
                <a:lstStyle/>
                <a:p>
                  <a:pPr>
                    <a:defRPr b="0" sz="1000" spc="-1" strike="noStrike">
                      <a:solidFill>
                        <a:srgbClr val="000000"/>
                      </a:solidFill>
                      <a:latin typeface="Calibri"/>
                    </a:defRPr>
                  </a:pPr>
                </a:p>
              </c:txPr>
              <c:dLblPos val="bestFit"/>
              <c:showLegendKey val="0"/>
              <c:showVal val="0"/>
              <c:showCatName val="0"/>
              <c:showSerName val="0"/>
              <c:showPercent val="0"/>
              <c:separator>; </c:separator>
            </c:dLbl>
            <c:dLbl>
              <c:idx val="7"/>
              <c:txPr>
                <a:bodyPr wrap="none"/>
                <a:lstStyle/>
                <a:p>
                  <a:pPr>
                    <a:defRPr b="0" sz="1000" spc="-1" strike="noStrike">
                      <a:solidFill>
                        <a:srgbClr val="000000"/>
                      </a:solidFill>
                      <a:latin typeface="Calibri"/>
                    </a:defRPr>
                  </a:pPr>
                </a:p>
              </c:txPr>
              <c:dLblPos val="bestFit"/>
              <c:showLegendKey val="0"/>
              <c:showVal val="0"/>
              <c:showCatName val="0"/>
              <c:showSerName val="0"/>
              <c:showPercent val="0"/>
              <c:separator>; </c:separator>
            </c:dLbl>
            <c:txPr>
              <a:bodyPr wrap="none"/>
              <a:lstStyle/>
              <a:p>
                <a:pPr>
                  <a:defRPr b="0" sz="1000" spc="-1" strike="noStrike">
                    <a:solidFill>
                      <a:srgbClr val="000000"/>
                    </a:solidFill>
                    <a:latin typeface="Calibri"/>
                  </a:defRPr>
                </a:pPr>
              </a:p>
            </c:txPr>
            <c:dLblPos val="bestFit"/>
            <c:showLegendKey val="0"/>
            <c:showVal val="0"/>
            <c:showCatName val="0"/>
            <c:showSerName val="0"/>
            <c:showPercent val="0"/>
            <c:separator>; </c:separator>
            <c:showLeaderLines val="0"/>
          </c:dLbls>
          <c:cat>
            <c:strRef>
              <c:f>categories</c:f>
              <c:strCache>
                <c:ptCount val="8"/>
                <c:pt idx="0">
                  <c:v>porážka</c:v>
                </c:pt>
                <c:pt idx="1">
                  <c:v>strojovňa</c:v>
                </c:pt>
                <c:pt idx="2">
                  <c:v>údržba</c:v>
                </c:pt>
                <c:pt idx="3">
                  <c:v>práčovňa</c:v>
                </c:pt>
                <c:pt idx="4">
                  <c:v>správa</c:v>
                </c:pt>
                <c:pt idx="5">
                  <c:v>odbyt </c:v>
                </c:pt>
                <c:pt idx="6">
                  <c:v>laboratórium</c:v>
                </c:pt>
                <c:pt idx="7">
                  <c:v>Zvolen</c:v>
                </c:pt>
              </c:strCache>
            </c:strRef>
          </c:cat>
          <c:val>
            <c:numRef>
              <c:f>0</c:f>
              <c:numCache>
                <c:formatCode>General</c:formatCode>
                <c:ptCount val="8"/>
                <c:pt idx="0">
                  <c:v>250</c:v>
                </c:pt>
                <c:pt idx="1">
                  <c:v>9</c:v>
                </c:pt>
                <c:pt idx="2">
                  <c:v>14</c:v>
                </c:pt>
                <c:pt idx="3">
                  <c:v>2</c:v>
                </c:pt>
                <c:pt idx="4">
                  <c:v>11</c:v>
                </c:pt>
                <c:pt idx="5">
                  <c:v>12</c:v>
                </c:pt>
                <c:pt idx="6">
                  <c:v>1</c:v>
                </c:pt>
                <c:pt idx="7">
                  <c:v>2</c:v>
                </c:pt>
              </c:numCache>
            </c:numRef>
          </c:val>
        </c:ser>
        <c:firstSliceAng val="0"/>
      </c:pieChart>
      <c:spPr>
        <a:noFill/>
        <a:ln w="20880">
          <a:noFill/>
        </a:ln>
      </c:spPr>
    </c:plotArea>
    <c:legend>
      <c:legendPos val="r"/>
      <c:overlay val="0"/>
      <c:spPr>
        <a:noFill/>
        <a:ln w="0">
          <a:noFill/>
        </a:ln>
      </c:spPr>
      <c:txPr>
        <a:bodyPr/>
        <a:lstStyle/>
        <a:p>
          <a:pPr>
            <a:defRPr b="0" sz="1000" spc="-1" strike="noStrike">
              <a:solidFill>
                <a:srgbClr val="000000"/>
              </a:solidFill>
              <a:latin typeface="Calibri"/>
            </a:defRPr>
          </a:pPr>
        </a:p>
      </c:txPr>
    </c:legend>
    <c:plotVisOnly val="1"/>
    <c:dispBlanksAs val="zero"/>
  </c:chart>
  <c:spPr>
    <a:solidFill>
      <a:srgbClr val="ffffff"/>
    </a:solidFill>
    <a:ln w="9360">
      <a:solidFill>
        <a:srgbClr val="d9d9d9"/>
      </a:solidFill>
      <a:round/>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n-US"/>
  <c:roundedCorners val="0"/>
  <c:chart>
    <c:title>
      <c:tx>
        <c:rich>
          <a:bodyPr rot="0"/>
          <a:lstStyle/>
          <a:p>
            <a:pPr>
              <a:defRPr b="1" lang="en-US" sz="1800" spc="-1" strike="noStrike">
                <a:solidFill>
                  <a:srgbClr val="000000"/>
                </a:solidFill>
                <a:latin typeface="Calibri"/>
              </a:defRPr>
            </a:pPr>
            <a:r>
              <a:rPr b="1" lang="en-US" sz="1800" spc="-1" strike="noStrike">
                <a:solidFill>
                  <a:srgbClr val="000000"/>
                </a:solidFill>
                <a:latin typeface="Calibri"/>
              </a:rPr>
              <a:t>Počet zamestnancov podľa stredísk v roku 2018</a:t>
            </a:r>
          </a:p>
        </c:rich>
      </c:tx>
      <c:overlay val="0"/>
      <c:spPr>
        <a:noFill/>
        <a:ln w="20880">
          <a:noFill/>
        </a:ln>
      </c:spPr>
    </c:title>
    <c:autoTitleDeleted val="0"/>
    <c:plotArea>
      <c:pieChart>
        <c:varyColors val="1"/>
        <c:ser>
          <c:idx val="0"/>
          <c:order val="0"/>
          <c:tx>
            <c:strRef>
              <c:f>label 0</c:f>
              <c:strCache>
                <c:ptCount val="1"/>
                <c:pt idx="0">
                  <c:v>Počet zamestnancov podľa stredísk</c:v>
                </c:pt>
              </c:strCache>
            </c:strRef>
          </c:tx>
          <c:spPr>
            <a:solidFill>
              <a:srgbClr val="5b9bd5"/>
            </a:solidFill>
            <a:ln w="0">
              <a:noFill/>
            </a:ln>
          </c:spPr>
          <c:explosion val="0"/>
          <c:dPt>
            <c:idx val="0"/>
            <c:spPr>
              <a:solidFill>
                <a:srgbClr val="518abd"/>
              </a:solidFill>
              <a:ln w="0">
                <a:noFill/>
              </a:ln>
            </c:spPr>
          </c:dPt>
          <c:dPt>
            <c:idx val="1"/>
            <c:spPr>
              <a:solidFill>
                <a:srgbClr val="d36f2b"/>
              </a:solidFill>
              <a:ln w="0">
                <a:noFill/>
              </a:ln>
            </c:spPr>
          </c:dPt>
          <c:dPt>
            <c:idx val="2"/>
            <c:spPr>
              <a:solidFill>
                <a:srgbClr val="929292"/>
              </a:solidFill>
              <a:ln w="0">
                <a:noFill/>
              </a:ln>
            </c:spPr>
          </c:dPt>
          <c:dPt>
            <c:idx val="3"/>
            <c:spPr>
              <a:solidFill>
                <a:srgbClr val="e3ab00"/>
              </a:solidFill>
              <a:ln w="0">
                <a:noFill/>
              </a:ln>
            </c:spPr>
          </c:dPt>
          <c:dPt>
            <c:idx val="4"/>
            <c:spPr>
              <a:solidFill>
                <a:srgbClr val="3c65ae"/>
              </a:solidFill>
              <a:ln w="0">
                <a:noFill/>
              </a:ln>
            </c:spPr>
          </c:dPt>
          <c:dPt>
            <c:idx val="5"/>
            <c:spPr>
              <a:solidFill>
                <a:srgbClr val="639a3f"/>
              </a:solidFill>
              <a:ln w="0">
                <a:noFill/>
              </a:ln>
            </c:spPr>
          </c:dPt>
          <c:dPt>
            <c:idx val="6"/>
            <c:spPr>
              <a:solidFill>
                <a:srgbClr val="98b8df"/>
              </a:solidFill>
              <a:ln w="0">
                <a:noFill/>
              </a:ln>
            </c:spPr>
          </c:dPt>
          <c:dPt>
            <c:idx val="7"/>
            <c:spPr>
              <a:solidFill>
                <a:srgbClr val="f1a78b"/>
              </a:solidFill>
              <a:ln w="0">
                <a:noFill/>
              </a:ln>
            </c:spPr>
          </c:dPt>
          <c:dLbls>
            <c:dLbl>
              <c:idx val="0"/>
              <c:txPr>
                <a:bodyPr wrap="none"/>
                <a:lstStyle/>
                <a:p>
                  <a:pPr>
                    <a:defRPr b="0" sz="1000" spc="-1" strike="noStrike">
                      <a:solidFill>
                        <a:srgbClr val="000000"/>
                      </a:solidFill>
                      <a:latin typeface="Calibri"/>
                    </a:defRPr>
                  </a:pPr>
                </a:p>
              </c:txPr>
              <c:dLblPos val="bestFit"/>
              <c:showLegendKey val="0"/>
              <c:showVal val="0"/>
              <c:showCatName val="0"/>
              <c:showSerName val="0"/>
              <c:showPercent val="0"/>
              <c:separator>; </c:separator>
            </c:dLbl>
            <c:dLbl>
              <c:idx val="1"/>
              <c:txPr>
                <a:bodyPr wrap="none"/>
                <a:lstStyle/>
                <a:p>
                  <a:pPr>
                    <a:defRPr b="0" sz="1000" spc="-1" strike="noStrike">
                      <a:solidFill>
                        <a:srgbClr val="000000"/>
                      </a:solidFill>
                      <a:latin typeface="Calibri"/>
                    </a:defRPr>
                  </a:pPr>
                </a:p>
              </c:txPr>
              <c:dLblPos val="bestFit"/>
              <c:showLegendKey val="0"/>
              <c:showVal val="0"/>
              <c:showCatName val="0"/>
              <c:showSerName val="0"/>
              <c:showPercent val="0"/>
              <c:separator>; </c:separator>
            </c:dLbl>
            <c:dLbl>
              <c:idx val="2"/>
              <c:txPr>
                <a:bodyPr wrap="none"/>
                <a:lstStyle/>
                <a:p>
                  <a:pPr>
                    <a:defRPr b="0" sz="1000" spc="-1" strike="noStrike">
                      <a:solidFill>
                        <a:srgbClr val="000000"/>
                      </a:solidFill>
                      <a:latin typeface="Calibri"/>
                    </a:defRPr>
                  </a:pPr>
                </a:p>
              </c:txPr>
              <c:dLblPos val="bestFit"/>
              <c:showLegendKey val="0"/>
              <c:showVal val="0"/>
              <c:showCatName val="0"/>
              <c:showSerName val="0"/>
              <c:showPercent val="0"/>
              <c:separator>; </c:separator>
            </c:dLbl>
            <c:dLbl>
              <c:idx val="3"/>
              <c:txPr>
                <a:bodyPr wrap="none"/>
                <a:lstStyle/>
                <a:p>
                  <a:pPr>
                    <a:defRPr b="0" sz="1000" spc="-1" strike="noStrike">
                      <a:solidFill>
                        <a:srgbClr val="000000"/>
                      </a:solidFill>
                      <a:latin typeface="Calibri"/>
                    </a:defRPr>
                  </a:pPr>
                </a:p>
              </c:txPr>
              <c:dLblPos val="bestFit"/>
              <c:showLegendKey val="0"/>
              <c:showVal val="0"/>
              <c:showCatName val="0"/>
              <c:showSerName val="0"/>
              <c:showPercent val="0"/>
              <c:separator>; </c:separator>
            </c:dLbl>
            <c:dLbl>
              <c:idx val="4"/>
              <c:txPr>
                <a:bodyPr wrap="none"/>
                <a:lstStyle/>
                <a:p>
                  <a:pPr>
                    <a:defRPr b="0" sz="1000" spc="-1" strike="noStrike">
                      <a:solidFill>
                        <a:srgbClr val="000000"/>
                      </a:solidFill>
                      <a:latin typeface="Calibri"/>
                    </a:defRPr>
                  </a:pPr>
                </a:p>
              </c:txPr>
              <c:dLblPos val="bestFit"/>
              <c:showLegendKey val="0"/>
              <c:showVal val="0"/>
              <c:showCatName val="0"/>
              <c:showSerName val="0"/>
              <c:showPercent val="0"/>
              <c:separator>; </c:separator>
            </c:dLbl>
            <c:dLbl>
              <c:idx val="5"/>
              <c:txPr>
                <a:bodyPr wrap="none"/>
                <a:lstStyle/>
                <a:p>
                  <a:pPr>
                    <a:defRPr b="0" sz="1000" spc="-1" strike="noStrike">
                      <a:solidFill>
                        <a:srgbClr val="000000"/>
                      </a:solidFill>
                      <a:latin typeface="Calibri"/>
                    </a:defRPr>
                  </a:pPr>
                </a:p>
              </c:txPr>
              <c:dLblPos val="bestFit"/>
              <c:showLegendKey val="0"/>
              <c:showVal val="0"/>
              <c:showCatName val="0"/>
              <c:showSerName val="0"/>
              <c:showPercent val="0"/>
              <c:separator>; </c:separator>
            </c:dLbl>
            <c:dLbl>
              <c:idx val="6"/>
              <c:txPr>
                <a:bodyPr wrap="none"/>
                <a:lstStyle/>
                <a:p>
                  <a:pPr>
                    <a:defRPr b="0" sz="1000" spc="-1" strike="noStrike">
                      <a:solidFill>
                        <a:srgbClr val="000000"/>
                      </a:solidFill>
                      <a:latin typeface="Calibri"/>
                    </a:defRPr>
                  </a:pPr>
                </a:p>
              </c:txPr>
              <c:dLblPos val="bestFit"/>
              <c:showLegendKey val="0"/>
              <c:showVal val="0"/>
              <c:showCatName val="0"/>
              <c:showSerName val="0"/>
              <c:showPercent val="0"/>
              <c:separator>; </c:separator>
            </c:dLbl>
            <c:dLbl>
              <c:idx val="7"/>
              <c:txPr>
                <a:bodyPr wrap="none"/>
                <a:lstStyle/>
                <a:p>
                  <a:pPr>
                    <a:defRPr b="0" sz="1000" spc="-1" strike="noStrike">
                      <a:solidFill>
                        <a:srgbClr val="000000"/>
                      </a:solidFill>
                      <a:latin typeface="Calibri"/>
                    </a:defRPr>
                  </a:pPr>
                </a:p>
              </c:txPr>
              <c:dLblPos val="bestFit"/>
              <c:showLegendKey val="0"/>
              <c:showVal val="0"/>
              <c:showCatName val="0"/>
              <c:showSerName val="0"/>
              <c:showPercent val="0"/>
              <c:separator>; </c:separator>
            </c:dLbl>
            <c:txPr>
              <a:bodyPr wrap="none"/>
              <a:lstStyle/>
              <a:p>
                <a:pPr>
                  <a:defRPr b="0" sz="1000" spc="-1" strike="noStrike">
                    <a:solidFill>
                      <a:srgbClr val="000000"/>
                    </a:solidFill>
                    <a:latin typeface="Calibri"/>
                  </a:defRPr>
                </a:pPr>
              </a:p>
            </c:txPr>
            <c:dLblPos val="bestFit"/>
            <c:showLegendKey val="0"/>
            <c:showVal val="0"/>
            <c:showCatName val="0"/>
            <c:showSerName val="0"/>
            <c:showPercent val="0"/>
            <c:separator>; </c:separator>
            <c:showLeaderLines val="0"/>
          </c:dLbls>
          <c:cat>
            <c:strRef>
              <c:f>categories</c:f>
              <c:strCache>
                <c:ptCount val="8"/>
                <c:pt idx="0">
                  <c:v>porážka</c:v>
                </c:pt>
                <c:pt idx="1">
                  <c:v>strojovňa</c:v>
                </c:pt>
                <c:pt idx="2">
                  <c:v>údržba</c:v>
                </c:pt>
                <c:pt idx="3">
                  <c:v>práčovňa</c:v>
                </c:pt>
                <c:pt idx="4">
                  <c:v>správa</c:v>
                </c:pt>
                <c:pt idx="5">
                  <c:v>odbyt kocka</c:v>
                </c:pt>
                <c:pt idx="6">
                  <c:v>laboratórium</c:v>
                </c:pt>
                <c:pt idx="7">
                  <c:v>Zvolen</c:v>
                </c:pt>
              </c:strCache>
            </c:strRef>
          </c:cat>
          <c:val>
            <c:numRef>
              <c:f>0</c:f>
              <c:numCache>
                <c:formatCode>General</c:formatCode>
                <c:ptCount val="8"/>
                <c:pt idx="0">
                  <c:v>248</c:v>
                </c:pt>
                <c:pt idx="1">
                  <c:v>8</c:v>
                </c:pt>
                <c:pt idx="2">
                  <c:v>14</c:v>
                </c:pt>
                <c:pt idx="3">
                  <c:v>2</c:v>
                </c:pt>
                <c:pt idx="4">
                  <c:v>14</c:v>
                </c:pt>
                <c:pt idx="5">
                  <c:v>11</c:v>
                </c:pt>
                <c:pt idx="6">
                  <c:v>1</c:v>
                </c:pt>
                <c:pt idx="7">
                  <c:v>6</c:v>
                </c:pt>
              </c:numCache>
            </c:numRef>
          </c:val>
        </c:ser>
        <c:firstSliceAng val="0"/>
      </c:pieChart>
      <c:spPr>
        <a:noFill/>
        <a:ln w="20880">
          <a:noFill/>
        </a:ln>
      </c:spPr>
    </c:plotArea>
    <c:legend>
      <c:legendPos val="r"/>
      <c:overlay val="0"/>
      <c:spPr>
        <a:noFill/>
        <a:ln w="0">
          <a:noFill/>
        </a:ln>
      </c:spPr>
      <c:txPr>
        <a:bodyPr/>
        <a:lstStyle/>
        <a:p>
          <a:pPr>
            <a:defRPr b="0" sz="1000" spc="-1" strike="noStrike">
              <a:solidFill>
                <a:srgbClr val="000000"/>
              </a:solidFill>
              <a:latin typeface="Calibri"/>
            </a:defRPr>
          </a:pPr>
        </a:p>
      </c:txPr>
    </c:legend>
    <c:plotVisOnly val="1"/>
    <c:dispBlanksAs val="zero"/>
  </c:chart>
  <c:spPr>
    <a:solidFill>
      <a:srgbClr val="ffffff"/>
    </a:solidFill>
    <a:ln w="9360">
      <a:solidFill>
        <a:srgbClr val="d9d9d9"/>
      </a:solidFill>
      <a:round/>
    </a:ln>
  </c:spPr>
  <c:externalData r:id="rId1"/>
</c:chartSpace>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F95148-25F7-4267-87D8-0573425134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Application>LibreOffice/7.0.0.3$Windows_X86_64 LibreOffice_project/8061b3e9204bef6b321a21033174034a5e2ea88e</Application>
  <Pages>19</Pages>
  <Words>3474</Words>
  <Characters>20327</Characters>
  <CharactersWithSpaces>24746</CharactersWithSpaces>
  <Paragraphs>231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2020-10-30T13:19:00Z</dcterms:created>
  <dc:creator>Kuchtová Silvia</dc:creator>
  <dc:description/>
  <dc:language>sk-SK</dc:language>
  <cp:lastModifiedBy/>
  <cp:lastPrinted>2018-06-26T11:30:00Z</cp:lastPrinted>
  <dcterms:modified xsi:type="dcterms:W3CDTF">2020-12-15T07:54:34Z</dcterms:modified>
  <cp:revision>8</cp:revision>
  <dc:subject/>
  <dc:title>Hydina SLOVENSKO, s</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