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426" w:hanging="426"/>
        <w:jc w:val="center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 - Všeobecné údaje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I.1</w:t>
        <w:tab/>
        <w:t xml:space="preserve">Názov právnickej osoby: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         Flexicomm s.r.o.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  <w:t xml:space="preserve">Sídlo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:    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i/>
          <w:color w:val="auto"/>
          <w:spacing w:val="0"/>
          <w:position w:val="0"/>
          <w:sz w:val="22"/>
          <w:shd w:fill="auto" w:val="clear"/>
        </w:rPr>
        <w:t xml:space="preserve">        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J. Kozá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čeka 2, 96001 Zvolen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i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I.2</w:t>
        <w:tab/>
        <w:t xml:space="preserve">Údaje o konsolidovanom celku, ak je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čtovná jednotka jeho súčasťou: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 danú oblas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nemá účtovná jednotka obsahovú náplň.</w:t>
      </w:r>
    </w:p>
    <w:p>
      <w:pPr>
        <w:spacing w:before="0" w:after="0" w:line="276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I.3</w:t>
        <w:tab/>
        <w:t xml:space="preserve">Informácie o po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čte zamestnancov: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4253"/>
        <w:gridCol w:w="2381"/>
        <w:gridCol w:w="2381"/>
      </w:tblGrid>
      <w:tr>
        <w:trPr>
          <w:trHeight w:val="1" w:hRule="atLeast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predchádzajúce</w:t>
            </w:r>
          </w:p>
          <w:p>
            <w:pPr>
              <w:spacing w:before="0" w:after="0" w:line="240"/>
              <w:ind w:right="0" w:left="426" w:hanging="426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378" w:hRule="auto"/>
          <w:jc w:val="left"/>
        </w:trPr>
        <w:tc>
          <w:tcPr>
            <w:tcW w:w="425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34" w:hanging="1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čítaný počet zamestnancov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4,6</w:t>
            </w:r>
          </w:p>
        </w:tc>
        <w:tc>
          <w:tcPr>
            <w:tcW w:w="23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426" w:hanging="426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4,9</w:t>
            </w: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 – Informácie o prijatých postupoch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1 Informácia o splnení predpokladu nepretržitého pokra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čovania činnosti účtovnej jednotky: 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 bude nepretržite pokračovať vo svojej činnosti: ano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     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2 Spôsob oce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ňovania jednotlivých zložiek majetku a záväzkov: </w:t>
      </w:r>
    </w:p>
    <w:tbl>
      <w:tblPr>
        <w:tblInd w:w="108" w:type="dxa"/>
      </w:tblPr>
      <w:tblGrid>
        <w:gridCol w:w="4621"/>
        <w:gridCol w:w="2065"/>
        <w:gridCol w:w="2268"/>
      </w:tblGrid>
      <w:tr>
        <w:trPr>
          <w:trHeight w:val="1" w:hRule="atLeast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majetku/záväzkov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Spôsob ocenenia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Náklady spojené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 obstaraním</w:t>
            </w: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nehmotný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hmotný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Dlhodobý 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obstarané kúpou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doprava</w:t>
            </w: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Zásoby vytvorené vlastnou 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činnosťou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ľadávky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Krátkodobý 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 majetok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Záväzky vrátane rezerv, dlhopisov,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čiek a úverov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Derivátové operácie</w:t>
            </w:r>
          </w:p>
        </w:tc>
        <w:tc>
          <w:tcPr>
            <w:tcW w:w="20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3 Spôsob zostavenia odpisového plánu dlhodobého majetku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Spôsob zostavenia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čtovného odpisového plánu pre dlhodobý hmotný majetok a dlhodobý nehmotný majetok, doba odpisovania a použité sadzby a odpisové metódy pri stanovení účtovných odpisov:</w:t>
      </w:r>
    </w:p>
    <w:tbl>
      <w:tblPr>
        <w:tblInd w:w="108" w:type="dxa"/>
      </w:tblPr>
      <w:tblGrid>
        <w:gridCol w:w="2157"/>
        <w:gridCol w:w="2273"/>
        <w:gridCol w:w="2260"/>
        <w:gridCol w:w="2264"/>
      </w:tblGrid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majetku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Doba odpisovania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Sadzba odpisov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Odpisová metóda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komunika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 zariadenie</w:t>
            </w: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 odpisová skupina</w:t>
            </w: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1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Odpisový plán 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čtovných odpisov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dlhodobého nehmotného majetku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 zostavený účtovnou jednotkou vychádza z predpokladanej doby použiteľnosti dlhodobého nehmotného majetku a/alebo iných objektívnych predpokladov (uviesť)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4  Zmeny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zásad a metód: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čtovné zásady a metódy boli účtovnou jednotkou konzistentne aplikované v rámci platného zákona o účtovníctve.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5 Dotácie poskytnuté na obstaranie majetku: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II. 6 Oprava významných a nevýznamných chýb minulých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čtovných období vykonaných v bežnom účtovnom období: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240" w:after="20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</w:p>
    <w:tbl>
      <w:tblPr>
        <w:tblInd w:w="108" w:type="dxa"/>
      </w:tblPr>
      <w:tblGrid>
        <w:gridCol w:w="2925"/>
        <w:gridCol w:w="3007"/>
        <w:gridCol w:w="3022"/>
      </w:tblGrid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Druh opravy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Suma</w:t>
            </w: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Popis chyby a vplyvu opravy na nerozdelený VH, resp. VH bežného ú. o.</w:t>
            </w:r>
          </w:p>
        </w:tc>
      </w:tr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Oprava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nevýznamných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 chýb minulých ú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čtovných období</w:t>
            </w:r>
          </w:p>
        </w:tc>
        <w:tc>
          <w:tcPr>
            <w:tcW w:w="30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Článok III – Informácie, ktoré vysvetľujú a dopĺňajú súvahu a výkaz ziskov a strát</w:t>
      </w:r>
    </w:p>
    <w:p>
      <w:pPr>
        <w:spacing w:before="0" w:after="0" w:line="240"/>
        <w:ind w:right="0" w:left="426" w:hanging="426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1 Informácie o sume a dôvodoch vzniku jednotlivých položiek nákladov alebo </w:t>
        <w:tab/>
        <w:t xml:space="preserve">výnosov, ktoré majú výnimo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 rozsah alebo výskyt: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  <w:t xml:space="preserve">III. 2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Informácie o záväzkoch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a) Záväzky so zostatkovou dobou splatnosti dlhšou ako pä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ť rokov:</w:t>
      </w:r>
    </w:p>
    <w:tbl>
      <w:tblPr/>
      <w:tblGrid>
        <w:gridCol w:w="3387"/>
        <w:gridCol w:w="2835"/>
        <w:gridCol w:w="2820"/>
      </w:tblGrid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položky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Bezprostredne predchádzajúce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27165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54124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22156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32926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až pä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5009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21198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Krátkodobé záväzky spolu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11876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8942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83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11876</w:t>
            </w:r>
          </w:p>
        </w:tc>
        <w:tc>
          <w:tcPr>
            <w:tcW w:w="282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8942</w:t>
            </w:r>
          </w:p>
        </w:tc>
      </w:tr>
      <w:tr>
        <w:trPr>
          <w:trHeight w:val="527" w:hRule="auto"/>
          <w:jc w:val="left"/>
        </w:trPr>
        <w:tc>
          <w:tcPr>
            <w:tcW w:w="338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4"/>
                <w:shd w:fill="auto" w:val="clear"/>
              </w:rPr>
              <w:t xml:space="preserve">Záväzky po lehote splatnosti</w:t>
            </w:r>
          </w:p>
        </w:tc>
        <w:tc>
          <w:tcPr>
            <w:tcW w:w="283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282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16</w:t>
            </w: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2 b) Hodnota záväzkov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čená záložným právom:</w:t>
      </w:r>
    </w:p>
    <w:tbl>
      <w:tblPr/>
      <w:tblGrid>
        <w:gridCol w:w="3387"/>
        <w:gridCol w:w="3119"/>
        <w:gridCol w:w="2536"/>
      </w:tblGrid>
      <w:tr>
        <w:trPr>
          <w:trHeight w:val="1" w:hRule="atLeast"/>
          <w:jc w:val="left"/>
        </w:trPr>
        <w:tc>
          <w:tcPr>
            <w:tcW w:w="3387" w:type="dxa"/>
            <w:vMerge w:val="restart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formy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 záväzku</w:t>
            </w:r>
          </w:p>
        </w:tc>
        <w:tc>
          <w:tcPr>
            <w:tcW w:w="5655" w:type="dxa"/>
            <w:gridSpan w:val="2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záväzku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čená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vMerge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Záložným právom</w:t>
            </w: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Inou formou zabezpe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left"/>
        </w:trPr>
        <w:tc>
          <w:tcPr>
            <w:tcW w:w="338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36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36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3 Informácie o vlastných akciách: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4 Informácia o tvorbe kapitálového fondu z príspevkov: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čtovná jednotka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nevytvorila</w:t>
      </w:r>
      <w:r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a), b), d) Informácie o orgánoch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tbl>
      <w:tblPr/>
      <w:tblGrid>
        <w:gridCol w:w="1699"/>
        <w:gridCol w:w="1393"/>
        <w:gridCol w:w="1192"/>
        <w:gridCol w:w="1013"/>
        <w:gridCol w:w="1393"/>
        <w:gridCol w:w="1255"/>
        <w:gridCol w:w="1097"/>
      </w:tblGrid>
      <w:tr>
        <w:trPr>
          <w:trHeight w:val="828" w:hRule="auto"/>
          <w:jc w:val="left"/>
        </w:trPr>
        <w:tc>
          <w:tcPr>
            <w:tcW w:w="1699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Druh príjmu, výhody</w:t>
            </w:r>
          </w:p>
        </w:tc>
        <w:tc>
          <w:tcPr>
            <w:tcW w:w="3598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príjmu, výhody sú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časných členov orgánov</w:t>
            </w:r>
          </w:p>
        </w:tc>
        <w:tc>
          <w:tcPr>
            <w:tcW w:w="3745" w:type="dxa"/>
            <w:gridSpan w:val="3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Hodnota príjmu, výhody bývalých 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členov orgánov</w:t>
            </w:r>
          </w:p>
        </w:tc>
      </w:tr>
      <w:tr>
        <w:trPr>
          <w:trHeight w:val="1" w:hRule="atLeast"/>
          <w:jc w:val="left"/>
        </w:trPr>
        <w:tc>
          <w:tcPr>
            <w:tcW w:w="1699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štatutárnych</w:t>
            </w: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dozorných</w:t>
            </w: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iných</w:t>
            </w:r>
          </w:p>
        </w:tc>
      </w:tr>
      <w:tr>
        <w:trPr>
          <w:trHeight w:val="705" w:hRule="auto"/>
          <w:jc w:val="left"/>
        </w:trPr>
        <w:tc>
          <w:tcPr>
            <w:tcW w:w="16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záruky alebo zabezpe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139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Poskytnuté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9" w:hRule="auto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Splatené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 (ku dňu ÚZ)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94" w:hRule="auto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Odpustené alebo odpísané pôži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čky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6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Finan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čné prostriedky a iné plnenie použité na súkromné účely na vyúčtovanie</w:t>
            </w: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13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55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7" w:type="dxa"/>
            <w:tcBorders>
              <w:top w:val="single" w:color="000000" w:sz="4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5 c) Hlavné podmienky, na základe ktorých boli záruky alebo iné zabezpe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čenia </w:t>
        <w:tab/>
        <w:t xml:space="preserve">poskytnuté (pri pôžičkách sa uvádzajú úrokové sadzby):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a) Informácie o celkovej sume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povinností, ktoré sa nevykazujú v súvahe:</w:t>
      </w:r>
    </w:p>
    <w:tbl>
      <w:tblPr/>
      <w:tblGrid>
        <w:gridCol w:w="3814"/>
        <w:gridCol w:w="2545"/>
        <w:gridCol w:w="2683"/>
      </w:tblGrid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dcérskej ÚJ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nájomcu z operatívneho prenájmu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uzatvorených úverov.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licen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čných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Povinnosti z koncesionárskych zmlúv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38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Ostatné</w:t>
            </w:r>
          </w:p>
        </w:tc>
        <w:tc>
          <w:tcPr>
            <w:tcW w:w="25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Opis významných finan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čných povinností: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b) Informácie o významných podmienených záväzkoch</w:t>
      </w:r>
    </w:p>
    <w:tbl>
      <w:tblPr/>
      <w:tblGrid>
        <w:gridCol w:w="3015"/>
        <w:gridCol w:w="3013"/>
        <w:gridCol w:w="3014"/>
      </w:tblGrid>
      <w:tr>
        <w:trPr>
          <w:trHeight w:val="1" w:hRule="atLeast"/>
          <w:jc w:val="left"/>
        </w:trPr>
        <w:tc>
          <w:tcPr>
            <w:tcW w:w="3015" w:type="dxa"/>
            <w:vMerge w:val="restart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podmieneného záväzku</w:t>
            </w:r>
          </w:p>
        </w:tc>
        <w:tc>
          <w:tcPr>
            <w:tcW w:w="6027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vMerge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426" w:hanging="426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celkom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vo</w:t>
            </w:r>
            <w:r>
              <w:rPr>
                <w:rFonts w:ascii="Cambria" w:hAnsi="Cambria" w:cs="Cambria" w:eastAsia="Cambri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dcérskej ÚJ                a ÚJ s podstatným vplyvom</w:t>
            </w: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súdnych rozhodnutí</w:t>
            </w:r>
          </w:p>
        </w:tc>
        <w:tc>
          <w:tcPr>
            <w:tcW w:w="301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 poskytnutých záruk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všeobecne záväzných právnych predpisov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Zo zmluvy o podriadenom záväzku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Z ru</w:t>
            </w: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čenia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Cambria" w:hAnsi="Cambria" w:cs="Cambria" w:eastAsia="Cambria"/>
                <w:color w:val="auto"/>
                <w:spacing w:val="0"/>
                <w:position w:val="0"/>
                <w:sz w:val="20"/>
                <w:shd w:fill="auto" w:val="clear"/>
              </w:rPr>
              <w:t xml:space="preserve">Iné podmienené záväzky</w:t>
            </w:r>
          </w:p>
        </w:tc>
        <w:tc>
          <w:tcPr>
            <w:tcW w:w="301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1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both"/>
        <w:rPr>
          <w:rFonts w:ascii="Cambria" w:hAnsi="Cambria" w:cs="Cambria" w:eastAsia="Cambria"/>
          <w:b/>
          <w:color w:val="000000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000000"/>
          <w:spacing w:val="0"/>
          <w:position w:val="0"/>
          <w:sz w:val="22"/>
          <w:shd w:fill="auto" w:val="clear"/>
        </w:rPr>
        <w:t xml:space="preserve">Opis významných podmienených záväzkov: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6 e) Opis významných povinností ú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čtovnej jednotky vyplývajúcich z dôchodkových </w:t>
        <w:tab/>
        <w:t xml:space="preserve">programov pre zamestnancov: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40"/>
        <w:ind w:right="0" w:left="0" w:firstLine="0"/>
        <w:jc w:val="both"/>
        <w:rPr>
          <w:rFonts w:ascii="Cambria" w:hAnsi="Cambria" w:cs="Cambria" w:eastAsia="Cambria"/>
          <w:color w:val="auto"/>
          <w:spacing w:val="0"/>
          <w:position w:val="0"/>
          <w:sz w:val="22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III. 7  Informácie o udelení výlu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</w:t>
        <w:tab/>
        <w:t xml:space="preserve">právo poskytovať služby vo verejnom záujme (uvádza sa aj náhrada za túto </w:t>
        <w:tab/>
        <w:t xml:space="preserve">činnosť v akejkoľvek forme):</w:t>
      </w:r>
    </w:p>
    <w:p>
      <w:pPr>
        <w:spacing w:before="0" w:after="200" w:line="240"/>
        <w:ind w:right="0" w:left="426" w:hanging="426"/>
        <w:jc w:val="both"/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Pre danú oblas</w:t>
      </w:r>
      <w:r>
        <w:rPr>
          <w:rFonts w:ascii="Cambria" w:hAnsi="Cambria" w:cs="Cambria" w:eastAsia="Cambria"/>
          <w:color w:val="auto"/>
          <w:spacing w:val="0"/>
          <w:position w:val="0"/>
          <w:sz w:val="20"/>
          <w:shd w:fill="auto" w:val="clear"/>
        </w:rPr>
        <w:t xml:space="preserve">ť nemá účtovná jednotka obsahovú náplň.</w:t>
      </w:r>
    </w:p>
    <w:p>
      <w:pPr>
        <w:spacing w:before="240" w:after="200" w:line="240"/>
        <w:ind w:right="-141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    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Vo Zvolene 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29.1.</w:t>
      </w:r>
      <w:r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  <w:t xml:space="preserve">2021</w:t>
      </w: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i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both"/>
        <w:rPr>
          <w:rFonts w:ascii="Cambria" w:hAnsi="Cambria" w:cs="Cambria" w:eastAsia="Cambria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240" w:after="200" w:line="240"/>
        <w:ind w:right="0" w:left="0" w:firstLine="0"/>
        <w:jc w:val="right"/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mbria" w:hAnsi="Cambria" w:cs="Cambria" w:eastAsia="Cambria"/>
          <w:b/>
          <w:i/>
          <w:color w:val="auto"/>
          <w:spacing w:val="0"/>
          <w:position w:val="0"/>
          <w:sz w:val="20"/>
          <w:shd w:fill="auto" w:val="clear"/>
        </w:rPr>
        <w:t xml:space="preserve">Koniec dokumentu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