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63A4" w:rsidRDefault="004063A4" w:rsidP="004063A4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36496499        DIČ 2021863591</w:t>
      </w:r>
    </w:p>
    <w:p w:rsidR="004063A4" w:rsidRPr="00E95BF5" w:rsidRDefault="004063A4" w:rsidP="004063A4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36496499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TRYMONT, spol. s r.o.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Scherfelova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1374/8, 058 01 Poprad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36496499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:14.08.2004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16248/P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063A4" w:rsidRPr="00E95BF5" w:rsidRDefault="004063A4" w:rsidP="004063A4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</w:t>
      </w:r>
      <w:r w:rsidR="00175F65">
        <w:rPr>
          <w:rFonts w:ascii="Times New Roman" w:eastAsia="Times New Roman" w:hAnsi="Times New Roman" w:cs="Times New Roman"/>
          <w:sz w:val="18"/>
          <w:szCs w:val="18"/>
          <w:lang w:eastAsia="sk-SK"/>
        </w:rPr>
        <w:t>20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-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spoločnosť nevlastní.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Hmotný majetok - spoločnosť nevlastní.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spoločnosť nenakupovala zásoby ani netvoril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vlastnou činnosťou.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e) Záväzky vrátane rezerv, dlhopisov, pôžičiek, úverov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 xml:space="preserve">Záväzky pri ich vzniku sa oceňujú menovitou hodnotou. Ak sa pri inventarizácii zistí, že suma záväzkov je iná ako ich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nevlastnila žiaden dlhodobý nehmotný ani hmotný majetok.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4063A4" w:rsidRPr="00E95BF5" w:rsidRDefault="004063A4" w:rsidP="004063A4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4063A4" w:rsidRPr="00E95BF5" w:rsidRDefault="004063A4" w:rsidP="004063A4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má záväzky so zostatkovou dobou splatnosti dlhšou ako päť rokov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4063A4" w:rsidRPr="00E95BF5" w:rsidRDefault="004063A4" w:rsidP="004063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375615" w:rsidRDefault="00375615"/>
    <w:sectPr w:rsidR="00375615" w:rsidSect="003756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4063A4"/>
    <w:rsid w:val="00175F65"/>
    <w:rsid w:val="00375615"/>
    <w:rsid w:val="00376268"/>
    <w:rsid w:val="004063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660</Words>
  <Characters>3766</Characters>
  <Application>Microsoft Office Word</Application>
  <DocSecurity>0</DocSecurity>
  <Lines>31</Lines>
  <Paragraphs>8</Paragraphs>
  <ScaleCrop>false</ScaleCrop>
  <Company/>
  <LinksUpToDate>false</LinksUpToDate>
  <CharactersWithSpaces>4418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2021-02-17T12:59:00Z</dcterms:created>
  <dcterms:modified xsi:type="dcterms:W3CDTF">2021-02-17T12:59:00Z</dcterms:modified>
</cp:coreProperties>
</file>