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355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ZNANEC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355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3553">
              <w:rPr>
                <w:rFonts w:ascii="Arial" w:hAnsi="Arial" w:cs="Arial"/>
              </w:rPr>
              <w:t>52530451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873553" w:rsidRDefault="0087355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Červený Kláštor 43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D35E1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D35E1">
        <w:rPr>
          <w:rFonts w:ascii="Arial" w:hAnsi="Arial" w:cs="Arial"/>
          <w:sz w:val="22"/>
          <w:szCs w:val="22"/>
        </w:rPr>
        <w:t>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D35E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D35E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D35E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47927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4792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479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47927">
        <w:rPr>
          <w:rFonts w:ascii="Arial" w:hAnsi="Arial" w:cs="Arial"/>
          <w:sz w:val="22"/>
          <w:szCs w:val="22"/>
        </w:rPr>
        <w:t>.</w:t>
      </w:r>
      <w:r w:rsidR="00BC005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4894" w:rsidRDefault="00804894" w:rsidP="008048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účtoch časového rozlíšenia sa neúčtuje</w:t>
      </w:r>
      <w:r w:rsidR="002D4489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ak ide o nevýznamný a stále sa opakujúci účtovný prípad, ktorý sa týka účtovania nákladov a výnosov medzi dvoma účtovnými obdobiami, pričom nejde o účtovný prípad týkajúci sa účtovania dotácií a emisných kvót.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C0052" w:rsidRPr="00BC0052" w:rsidRDefault="00BC0052" w:rsidP="00BC0052">
      <w:pPr>
        <w:pStyle w:val="Zkladntext"/>
        <w:rPr>
          <w:rFonts w:ascii="Arial" w:hAnsi="Arial" w:cs="Arial"/>
          <w:sz w:val="22"/>
          <w:szCs w:val="22"/>
        </w:rPr>
      </w:pPr>
      <w:r w:rsidRPr="00BC0052">
        <w:rPr>
          <w:rFonts w:ascii="Arial" w:hAnsi="Arial" w:cs="Arial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BC0052" w:rsidRPr="00BC0052" w:rsidRDefault="00BC0052" w:rsidP="00BC0052">
      <w:pPr>
        <w:pStyle w:val="Zkladntext"/>
        <w:rPr>
          <w:rFonts w:ascii="Arial" w:hAnsi="Arial" w:cs="Arial"/>
          <w:sz w:val="22"/>
          <w:szCs w:val="22"/>
        </w:rPr>
      </w:pPr>
      <w:r w:rsidRPr="00BC0052">
        <w:rPr>
          <w:rFonts w:ascii="Arial" w:hAnsi="Arial" w:cs="Arial"/>
          <w:sz w:val="22"/>
          <w:szCs w:val="22"/>
        </w:rPr>
        <w:t xml:space="preserve">Drobný dlhodobý nehmotný majetok, ktorého obstarávacia cena (resp. vlastné náklady) je 2 400 EUR a nižšia, sa odpisuje jednorazovo pri uvedení do používania. </w:t>
      </w:r>
    </w:p>
    <w:p w:rsidR="00BC0052" w:rsidRDefault="00BC0052" w:rsidP="00BC0052">
      <w:pPr>
        <w:pStyle w:val="Zkladntext"/>
      </w:pPr>
      <w:bookmarkStart w:id="0" w:name="_GoBack"/>
      <w:bookmarkEnd w:id="0"/>
    </w:p>
    <w:p w:rsidR="00BC0052" w:rsidRPr="00BC0052" w:rsidRDefault="00BC0052" w:rsidP="00BC0052">
      <w:pPr>
        <w:pStyle w:val="Zkladntext"/>
        <w:rPr>
          <w:rFonts w:ascii="Arial" w:hAnsi="Arial" w:cs="Arial"/>
          <w:sz w:val="22"/>
          <w:szCs w:val="22"/>
        </w:rPr>
      </w:pPr>
      <w:r w:rsidRPr="00BC0052">
        <w:rPr>
          <w:rFonts w:ascii="Arial" w:hAnsi="Arial" w:cs="Arial"/>
          <w:sz w:val="22"/>
          <w:szCs w:val="22"/>
        </w:rPr>
        <w:t xml:space="preserve">Drobný dlhodobý hmotný majetok, ktorého obstarávacia cena (resp. vlastné náklady) je 1 700 EUR a nižšia, sa odpisuje jednorazovo pri uvedení do používania. </w:t>
      </w:r>
    </w:p>
    <w:p w:rsidR="00BC0052" w:rsidRPr="00A55E63" w:rsidRDefault="00BC00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C0052" w:rsidRDefault="00BC0052" w:rsidP="00BC00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Všeobecné metódy a všeobecné účtovné zásady boli účtovnou jednotkou konzistentne aplikované.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04894">
        <w:rPr>
          <w:rFonts w:ascii="Arial" w:hAnsi="Arial" w:cs="Arial"/>
          <w:spacing w:val="-1"/>
          <w:sz w:val="22"/>
          <w:szCs w:val="22"/>
        </w:rPr>
        <w:t xml:space="preserve"> neeviduje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04894">
        <w:rPr>
          <w:rFonts w:ascii="Arial" w:hAnsi="Arial" w:cs="Arial"/>
          <w:sz w:val="22"/>
          <w:szCs w:val="22"/>
        </w:rPr>
        <w:t xml:space="preserve"> Spoločnosť nevykonala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80489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tbl>
      <w:tblPr>
        <w:tblW w:w="0" w:type="auto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8"/>
        <w:gridCol w:w="3730"/>
        <w:gridCol w:w="1548"/>
      </w:tblGrid>
      <w:tr w:rsidR="00804894" w:rsidRPr="005A503E" w:rsidTr="005A503E">
        <w:tc>
          <w:tcPr>
            <w:tcW w:w="4260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A503E">
              <w:rPr>
                <w:rFonts w:ascii="Arial" w:hAnsi="Arial" w:cs="Arial"/>
                <w:spacing w:val="-4"/>
                <w:sz w:val="20"/>
                <w:szCs w:val="20"/>
              </w:rPr>
              <w:t>Popis nákladov, výnosov výnimoč. rozsahu</w:t>
            </w:r>
          </w:p>
        </w:tc>
        <w:tc>
          <w:tcPr>
            <w:tcW w:w="3827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A503E">
              <w:rPr>
                <w:rFonts w:ascii="Arial" w:hAnsi="Arial" w:cs="Arial"/>
                <w:spacing w:val="-4"/>
                <w:sz w:val="20"/>
                <w:szCs w:val="20"/>
              </w:rPr>
              <w:t>Dôvod vzniku</w:t>
            </w:r>
          </w:p>
        </w:tc>
        <w:tc>
          <w:tcPr>
            <w:tcW w:w="1575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A503E">
              <w:rPr>
                <w:rFonts w:ascii="Arial" w:hAnsi="Arial" w:cs="Arial"/>
                <w:spacing w:val="-4"/>
                <w:sz w:val="20"/>
                <w:szCs w:val="20"/>
              </w:rPr>
              <w:t>EUR</w:t>
            </w:r>
          </w:p>
        </w:tc>
      </w:tr>
      <w:tr w:rsidR="00804894" w:rsidRPr="005A503E" w:rsidTr="005A503E">
        <w:tc>
          <w:tcPr>
            <w:tcW w:w="4260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</w:p>
        </w:tc>
        <w:tc>
          <w:tcPr>
            <w:tcW w:w="3827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</w:p>
        </w:tc>
        <w:tc>
          <w:tcPr>
            <w:tcW w:w="1575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</w:p>
        </w:tc>
      </w:tr>
      <w:tr w:rsidR="00804894" w:rsidRPr="005A503E" w:rsidTr="005A503E">
        <w:tc>
          <w:tcPr>
            <w:tcW w:w="4260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</w:p>
        </w:tc>
        <w:tc>
          <w:tcPr>
            <w:tcW w:w="3827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</w:p>
        </w:tc>
        <w:tc>
          <w:tcPr>
            <w:tcW w:w="1575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</w:p>
        </w:tc>
      </w:tr>
    </w:tbl>
    <w:p w:rsidR="00804894" w:rsidRPr="00A55E63" w:rsidRDefault="008048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4894" w:rsidRDefault="008048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3"/>
        <w:gridCol w:w="1105"/>
        <w:gridCol w:w="298"/>
      </w:tblGrid>
      <w:tr w:rsidR="00804894" w:rsidRPr="005A503E" w:rsidTr="005A503E">
        <w:tc>
          <w:tcPr>
            <w:tcW w:w="8229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503E">
              <w:rPr>
                <w:rFonts w:ascii="Arial" w:hAnsi="Arial" w:cs="Arial"/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1433" w:type="dxa"/>
            <w:gridSpan w:val="2"/>
          </w:tcPr>
          <w:p w:rsidR="00804894" w:rsidRPr="005A503E" w:rsidRDefault="000930EE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073A0" w:rsidRPr="005A503E" w:rsidTr="005A503E">
        <w:tc>
          <w:tcPr>
            <w:tcW w:w="8229" w:type="dxa"/>
          </w:tcPr>
          <w:p w:rsidR="007073A0" w:rsidRPr="005A503E" w:rsidRDefault="003D63E6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závä</w:t>
            </w:r>
            <w:r w:rsidR="007073A0" w:rsidRPr="005A503E">
              <w:rPr>
                <w:rFonts w:ascii="Arial" w:hAnsi="Arial" w:cs="Arial"/>
                <w:sz w:val="20"/>
                <w:szCs w:val="20"/>
              </w:rPr>
              <w:t>zkov so zostatkovou dobou splatnosti jeden až päť rokov</w:t>
            </w:r>
          </w:p>
        </w:tc>
        <w:tc>
          <w:tcPr>
            <w:tcW w:w="1433" w:type="dxa"/>
            <w:gridSpan w:val="2"/>
          </w:tcPr>
          <w:p w:rsidR="007073A0" w:rsidRPr="005A503E" w:rsidRDefault="007A57AF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804894" w:rsidRPr="005A503E" w:rsidTr="005A503E">
        <w:tc>
          <w:tcPr>
            <w:tcW w:w="8229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503E">
              <w:rPr>
                <w:rFonts w:ascii="Arial" w:hAnsi="Arial" w:cs="Arial"/>
                <w:sz w:val="20"/>
                <w:szCs w:val="20"/>
              </w:rPr>
              <w:t>Celková suma zabezpečených záväzkov</w:t>
            </w:r>
          </w:p>
        </w:tc>
        <w:tc>
          <w:tcPr>
            <w:tcW w:w="1433" w:type="dxa"/>
            <w:gridSpan w:val="2"/>
          </w:tcPr>
          <w:p w:rsidR="00804894" w:rsidRPr="005A503E" w:rsidRDefault="000930EE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804894" w:rsidRPr="005A503E" w:rsidTr="005A503E">
        <w:tc>
          <w:tcPr>
            <w:tcW w:w="9363" w:type="dxa"/>
            <w:gridSpan w:val="2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503E">
              <w:rPr>
                <w:rFonts w:ascii="Arial" w:hAnsi="Arial" w:cs="Arial"/>
                <w:sz w:val="20"/>
                <w:szCs w:val="20"/>
              </w:rPr>
              <w:t>Opis a spôsoby zabezpečenia záväzkov</w:t>
            </w:r>
          </w:p>
        </w:tc>
        <w:tc>
          <w:tcPr>
            <w:tcW w:w="299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4894" w:rsidRPr="005A503E" w:rsidTr="005A503E">
        <w:tc>
          <w:tcPr>
            <w:tcW w:w="8229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3" w:type="dxa"/>
            <w:gridSpan w:val="2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4894" w:rsidRPr="005A503E" w:rsidTr="005A503E">
        <w:tc>
          <w:tcPr>
            <w:tcW w:w="8229" w:type="dxa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3" w:type="dxa"/>
            <w:gridSpan w:val="2"/>
          </w:tcPr>
          <w:p w:rsidR="00804894" w:rsidRPr="005A503E" w:rsidRDefault="00804894" w:rsidP="005A503E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04894" w:rsidRPr="00A55E63" w:rsidRDefault="0080489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04894">
        <w:rPr>
          <w:rFonts w:ascii="Arial" w:hAnsi="Arial" w:cs="Arial"/>
          <w:sz w:val="22"/>
          <w:szCs w:val="22"/>
        </w:rPr>
        <w:t xml:space="preserve">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2C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82C8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2C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2C8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F55E3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B88" w:rsidRDefault="00BB2B88">
      <w:r>
        <w:separator/>
      </w:r>
    </w:p>
  </w:endnote>
  <w:endnote w:type="continuationSeparator" w:id="0">
    <w:p w:rsidR="00BB2B88" w:rsidRDefault="00BB2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866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63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663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B88" w:rsidRDefault="00BB2B88">
      <w:r>
        <w:separator/>
      </w:r>
    </w:p>
  </w:footnote>
  <w:footnote w:type="continuationSeparator" w:id="0">
    <w:p w:rsidR="00BB2B88" w:rsidRDefault="00BB2B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D35E1">
      <w:rPr>
        <w:rFonts w:ascii="Arial" w:hAnsi="Arial" w:cs="Arial"/>
        <w:sz w:val="22"/>
        <w:szCs w:val="22"/>
        <w:bdr w:val="single" w:sz="4" w:space="0" w:color="auto"/>
      </w:rPr>
      <w:t xml:space="preserve">Č: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30EE"/>
    <w:rsid w:val="001406AD"/>
    <w:rsid w:val="002401F1"/>
    <w:rsid w:val="002C12B4"/>
    <w:rsid w:val="002D4489"/>
    <w:rsid w:val="002D7E6D"/>
    <w:rsid w:val="002F55E3"/>
    <w:rsid w:val="003657F5"/>
    <w:rsid w:val="00373635"/>
    <w:rsid w:val="003D056F"/>
    <w:rsid w:val="003D63E6"/>
    <w:rsid w:val="00401155"/>
    <w:rsid w:val="004172BC"/>
    <w:rsid w:val="004A2BF3"/>
    <w:rsid w:val="005551EF"/>
    <w:rsid w:val="0055784D"/>
    <w:rsid w:val="00594255"/>
    <w:rsid w:val="005A503E"/>
    <w:rsid w:val="005B0166"/>
    <w:rsid w:val="00623868"/>
    <w:rsid w:val="00637F73"/>
    <w:rsid w:val="00647927"/>
    <w:rsid w:val="00676DB4"/>
    <w:rsid w:val="007073A0"/>
    <w:rsid w:val="007A57AF"/>
    <w:rsid w:val="007C2896"/>
    <w:rsid w:val="00804894"/>
    <w:rsid w:val="0084364A"/>
    <w:rsid w:val="00845761"/>
    <w:rsid w:val="00873553"/>
    <w:rsid w:val="008771A6"/>
    <w:rsid w:val="008D3196"/>
    <w:rsid w:val="008D35E1"/>
    <w:rsid w:val="00913435"/>
    <w:rsid w:val="00916772"/>
    <w:rsid w:val="009A27D0"/>
    <w:rsid w:val="009D5C84"/>
    <w:rsid w:val="009F00C4"/>
    <w:rsid w:val="00A55E63"/>
    <w:rsid w:val="00A95AD8"/>
    <w:rsid w:val="00AD6C8A"/>
    <w:rsid w:val="00AD749D"/>
    <w:rsid w:val="00B15261"/>
    <w:rsid w:val="00B15E67"/>
    <w:rsid w:val="00B34AD3"/>
    <w:rsid w:val="00B7440A"/>
    <w:rsid w:val="00B8663F"/>
    <w:rsid w:val="00BB2B88"/>
    <w:rsid w:val="00BC0052"/>
    <w:rsid w:val="00C01CB7"/>
    <w:rsid w:val="00C2355D"/>
    <w:rsid w:val="00CC3205"/>
    <w:rsid w:val="00CD545D"/>
    <w:rsid w:val="00DC0EBD"/>
    <w:rsid w:val="00DC1D29"/>
    <w:rsid w:val="00E77B6B"/>
    <w:rsid w:val="00E82C8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805447"/>
  <w15:chartTrackingRefBased/>
  <w15:docId w15:val="{47C5DDAC-688C-4870-9011-4CFE81A3B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1082</Words>
  <Characters>6170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Matus Znanec</cp:lastModifiedBy>
  <cp:revision>2</cp:revision>
  <cp:lastPrinted>2018-06-16T17:12:00Z</cp:lastPrinted>
  <dcterms:created xsi:type="dcterms:W3CDTF">2021-02-23T22:52:00Z</dcterms:created>
  <dcterms:modified xsi:type="dcterms:W3CDTF">2021-02-23T22:52:00Z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