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tblpY="1"/>
        <w:tblOverlap w:val="never"/>
        <w:tblW w:w="0" w:type="auto"/>
        <w:tblLook w:val="04A0"/>
      </w:tblPr>
      <w:tblGrid>
        <w:gridCol w:w="2413"/>
      </w:tblGrid>
      <w:tr w:rsidR="00D31118" w:rsidRPr="00D31118" w:rsidTr="00D31118">
        <w:tc>
          <w:tcPr>
            <w:tcW w:w="0" w:type="auto"/>
          </w:tcPr>
          <w:p w:rsidR="00D31118" w:rsidRPr="00D31118" w:rsidRDefault="00D31118" w:rsidP="002C1427">
            <w:pPr>
              <w:pStyle w:val="Bezriadkovania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MÚJ </w:t>
            </w:r>
            <w:r w:rsidRPr="00D31118">
              <w:t>3 - 01</w:t>
            </w:r>
          </w:p>
        </w:tc>
      </w:tr>
    </w:tbl>
    <w:p w:rsidR="00D31118" w:rsidRDefault="00D31118" w:rsidP="00D31118">
      <w:pPr>
        <w:rPr>
          <w:sz w:val="24"/>
          <w:szCs w:val="24"/>
        </w:rPr>
      </w:pPr>
      <w:r>
        <w:rPr>
          <w:sz w:val="24"/>
          <w:szCs w:val="24"/>
        </w:rPr>
        <w:t xml:space="preserve">DIČ: </w:t>
      </w:r>
      <w:r w:rsidR="002D28A7">
        <w:rPr>
          <w:sz w:val="24"/>
          <w:szCs w:val="24"/>
        </w:rPr>
        <w:t>2120381153</w:t>
      </w:r>
      <w:r>
        <w:rPr>
          <w:sz w:val="24"/>
          <w:szCs w:val="24"/>
        </w:rPr>
        <w:t xml:space="preserve"> </w:t>
      </w:r>
      <w:r w:rsidR="00D064A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IČO: </w:t>
      </w:r>
      <w:r w:rsidR="002D28A7">
        <w:rPr>
          <w:sz w:val="24"/>
          <w:szCs w:val="24"/>
        </w:rPr>
        <w:t>50589351</w:t>
      </w:r>
      <w:r w:rsidR="00D62AF1">
        <w:rPr>
          <w:sz w:val="24"/>
          <w:szCs w:val="24"/>
        </w:rPr>
        <w:t xml:space="preserve">      </w:t>
      </w:r>
      <w:r w:rsidR="00B170FA">
        <w:rPr>
          <w:sz w:val="24"/>
          <w:szCs w:val="24"/>
        </w:rPr>
        <w:t>ROK: 20</w:t>
      </w:r>
      <w:r w:rsidR="002D28A7">
        <w:rPr>
          <w:sz w:val="24"/>
          <w:szCs w:val="24"/>
        </w:rPr>
        <w:t>20</w:t>
      </w:r>
      <w:r w:rsidR="00D62AF1">
        <w:rPr>
          <w:sz w:val="24"/>
          <w:szCs w:val="24"/>
        </w:rPr>
        <w:t xml:space="preserve"> </w:t>
      </w:r>
      <w:r w:rsidR="00B170FA">
        <w:rPr>
          <w:sz w:val="24"/>
          <w:szCs w:val="24"/>
        </w:rPr>
        <w:t xml:space="preserve"> </w:t>
      </w:r>
      <w:r w:rsidR="00D064AA">
        <w:rPr>
          <w:sz w:val="24"/>
          <w:szCs w:val="24"/>
        </w:rPr>
        <w:t xml:space="preserve">  </w:t>
      </w:r>
      <w:r w:rsidR="00B170FA">
        <w:rPr>
          <w:sz w:val="24"/>
          <w:szCs w:val="24"/>
        </w:rPr>
        <w:t xml:space="preserve"> </w:t>
      </w:r>
      <w:r w:rsidR="002D28A7">
        <w:rPr>
          <w:sz w:val="24"/>
          <w:szCs w:val="24"/>
        </w:rPr>
        <w:t>BARVINOK s.r.o.</w:t>
      </w:r>
    </w:p>
    <w:p w:rsidR="00D31118" w:rsidRDefault="00D31118" w:rsidP="00D31118">
      <w:pPr>
        <w:rPr>
          <w:sz w:val="24"/>
          <w:szCs w:val="24"/>
        </w:rPr>
      </w:pPr>
    </w:p>
    <w:p w:rsidR="00D31118" w:rsidRDefault="00D31118" w:rsidP="00D31118">
      <w:pPr>
        <w:rPr>
          <w:sz w:val="24"/>
          <w:szCs w:val="24"/>
        </w:rPr>
      </w:pPr>
    </w:p>
    <w:p w:rsidR="00D31118" w:rsidRPr="00050ED2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D31118" w:rsidRPr="00050ED2">
        <w:rPr>
          <w:b/>
          <w:sz w:val="28"/>
          <w:szCs w:val="28"/>
        </w:rPr>
        <w:t>Informácie o konsolidovanom celku</w:t>
      </w:r>
    </w:p>
    <w:p w:rsidR="00D31118" w:rsidRDefault="00D31118" w:rsidP="00D31118">
      <w:r w:rsidRPr="00D31118">
        <w:rPr>
          <w:rFonts w:ascii="Sylfaen" w:hAnsi="Sylfaen"/>
          <w:sz w:val="24"/>
          <w:szCs w:val="24"/>
        </w:rPr>
        <w:t xml:space="preserve">Spoločnosť nemá </w:t>
      </w:r>
      <w:r>
        <w:t>povinnosť vystavovať konsolidovanú účtovnú závierku</w:t>
      </w:r>
    </w:p>
    <w:p w:rsidR="00D31118" w:rsidRDefault="00D31118" w:rsidP="00D31118"/>
    <w:p w:rsidR="00D31118" w:rsidRDefault="00D31118" w:rsidP="00D31118"/>
    <w:p w:rsidR="00D31118" w:rsidRPr="00050ED2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D31118" w:rsidRPr="00050ED2">
        <w:rPr>
          <w:b/>
          <w:sz w:val="28"/>
          <w:szCs w:val="28"/>
        </w:rPr>
        <w:t>Priemerný prepočítaný počet zamestnancov</w:t>
      </w:r>
    </w:p>
    <w:p w:rsidR="00D31118" w:rsidRDefault="00D31118" w:rsidP="00D31118">
      <w:pPr>
        <w:rPr>
          <w:rFonts w:ascii="Sylfaen" w:hAnsi="Sylfaen"/>
          <w:sz w:val="24"/>
          <w:szCs w:val="24"/>
        </w:rPr>
      </w:pPr>
      <w:r w:rsidRPr="00D31118">
        <w:rPr>
          <w:rFonts w:ascii="Sylfaen" w:hAnsi="Sylfaen"/>
          <w:sz w:val="24"/>
          <w:szCs w:val="24"/>
        </w:rPr>
        <w:t>Priemerný prepočítaný počet z</w:t>
      </w:r>
      <w:r w:rsidR="00F05EC9">
        <w:rPr>
          <w:rFonts w:ascii="Sylfaen" w:hAnsi="Sylfaen"/>
          <w:sz w:val="24"/>
          <w:szCs w:val="24"/>
        </w:rPr>
        <w:t xml:space="preserve">amestnancov    </w:t>
      </w:r>
      <w:r w:rsidR="002D28A7">
        <w:rPr>
          <w:rFonts w:ascii="Sylfaen" w:hAnsi="Sylfaen"/>
          <w:sz w:val="24"/>
          <w:szCs w:val="24"/>
        </w:rPr>
        <w:t>1</w:t>
      </w:r>
    </w:p>
    <w:p w:rsidR="00D31118" w:rsidRDefault="00D31118" w:rsidP="00D31118">
      <w:pPr>
        <w:rPr>
          <w:rFonts w:ascii="Sylfaen" w:hAnsi="Sylfaen"/>
          <w:sz w:val="24"/>
          <w:szCs w:val="24"/>
        </w:rPr>
      </w:pPr>
    </w:p>
    <w:p w:rsidR="00D31118" w:rsidRDefault="00D31118" w:rsidP="00D31118">
      <w:pPr>
        <w:rPr>
          <w:rFonts w:ascii="Sylfaen" w:hAnsi="Sylfaen"/>
          <w:sz w:val="24"/>
          <w:szCs w:val="24"/>
        </w:rPr>
      </w:pPr>
    </w:p>
    <w:p w:rsidR="00D31118" w:rsidRPr="00050ED2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D31118" w:rsidRPr="00050ED2">
        <w:rPr>
          <w:b/>
          <w:sz w:val="28"/>
          <w:szCs w:val="28"/>
        </w:rPr>
        <w:t>Informácie o prijatých postupoch</w:t>
      </w:r>
    </w:p>
    <w:p w:rsidR="00D31118" w:rsidRDefault="00D31118" w:rsidP="00D31118">
      <w:pPr>
        <w:rPr>
          <w:b/>
          <w:sz w:val="32"/>
          <w:szCs w:val="32"/>
        </w:rPr>
      </w:pPr>
    </w:p>
    <w:p w:rsidR="00A9066F" w:rsidRDefault="00D31118" w:rsidP="00D31118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Účtovná jednotka vychádza pri vedení svojho účtovníctva z ustanovení Zákona o účtovníctve a ustanovení Opatrenia MF SR, ktorým sa ustanovujú podrobnosti</w:t>
      </w:r>
      <w:r w:rsidR="00A9066F">
        <w:rPr>
          <w:rFonts w:ascii="Sylfaen" w:hAnsi="Sylfaen"/>
          <w:sz w:val="24"/>
          <w:szCs w:val="24"/>
        </w:rPr>
        <w:t xml:space="preserve"> o postupoch účtovania pre podnikateľov účtujúcich v sústave podvojného účtovníctva. Ročná závierka 20</w:t>
      </w:r>
      <w:r w:rsidR="002D28A7">
        <w:rPr>
          <w:rFonts w:ascii="Sylfaen" w:hAnsi="Sylfaen"/>
          <w:sz w:val="24"/>
          <w:szCs w:val="24"/>
        </w:rPr>
        <w:t>20</w:t>
      </w:r>
      <w:r w:rsidR="00B170FA">
        <w:rPr>
          <w:rFonts w:ascii="Sylfaen" w:hAnsi="Sylfaen"/>
          <w:sz w:val="24"/>
          <w:szCs w:val="24"/>
        </w:rPr>
        <w:t xml:space="preserve"> </w:t>
      </w:r>
      <w:r w:rsidR="00A9066F">
        <w:rPr>
          <w:rFonts w:ascii="Sylfaen" w:hAnsi="Sylfaen"/>
          <w:sz w:val="24"/>
          <w:szCs w:val="24"/>
        </w:rPr>
        <w:t>nadväzuje kontinuáln</w:t>
      </w:r>
      <w:r w:rsidR="00F05EC9">
        <w:rPr>
          <w:rFonts w:ascii="Sylfaen" w:hAnsi="Sylfaen"/>
          <w:sz w:val="24"/>
          <w:szCs w:val="24"/>
        </w:rPr>
        <w:t xml:space="preserve">e na svoje účtovníctvo </w:t>
      </w:r>
      <w:r w:rsidR="00A65D1D">
        <w:rPr>
          <w:rFonts w:ascii="Sylfaen" w:hAnsi="Sylfaen"/>
          <w:sz w:val="24"/>
          <w:szCs w:val="24"/>
        </w:rPr>
        <w:t xml:space="preserve">z </w:t>
      </w:r>
      <w:r w:rsidR="00F05EC9">
        <w:rPr>
          <w:rFonts w:ascii="Sylfaen" w:hAnsi="Sylfaen"/>
          <w:sz w:val="24"/>
          <w:szCs w:val="24"/>
        </w:rPr>
        <w:t>roku 201</w:t>
      </w:r>
      <w:r w:rsidR="002D28A7">
        <w:rPr>
          <w:rFonts w:ascii="Sylfaen" w:hAnsi="Sylfaen"/>
          <w:sz w:val="24"/>
          <w:szCs w:val="24"/>
        </w:rPr>
        <w:t>9</w:t>
      </w:r>
      <w:r w:rsidR="00A65D1D">
        <w:rPr>
          <w:rFonts w:ascii="Sylfaen" w:hAnsi="Sylfaen"/>
          <w:sz w:val="24"/>
          <w:szCs w:val="24"/>
        </w:rPr>
        <w:t>.</w:t>
      </w:r>
      <w:r w:rsidR="00A9066F">
        <w:rPr>
          <w:rFonts w:ascii="Sylfaen" w:hAnsi="Sylfaen"/>
          <w:sz w:val="24"/>
          <w:szCs w:val="24"/>
        </w:rPr>
        <w:t xml:space="preserve"> Spoločnosť nezmenila účtovné zásady ani účtovné metódy. Členenie a ocenenie jednotlivých zložiek majetku a záväzkov je v súlade s uvedeným.</w:t>
      </w:r>
    </w:p>
    <w:p w:rsidR="00A9066F" w:rsidRDefault="00A9066F" w:rsidP="00D31118">
      <w:pPr>
        <w:rPr>
          <w:rFonts w:ascii="Sylfaen" w:hAnsi="Sylfaen"/>
          <w:sz w:val="24"/>
          <w:szCs w:val="24"/>
        </w:rPr>
      </w:pPr>
    </w:p>
    <w:p w:rsidR="00A9066F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A9066F" w:rsidRPr="00050ED2">
        <w:rPr>
          <w:b/>
          <w:sz w:val="28"/>
          <w:szCs w:val="28"/>
        </w:rPr>
        <w:t>Informácie, ktoré vysvetľujú a dopĺňajú súvahu a výkaz ziskov a</w:t>
      </w:r>
      <w:r>
        <w:rPr>
          <w:b/>
          <w:sz w:val="28"/>
          <w:szCs w:val="28"/>
        </w:rPr>
        <w:t> </w:t>
      </w:r>
      <w:r w:rsidR="00A9066F" w:rsidRPr="00050ED2">
        <w:rPr>
          <w:b/>
          <w:sz w:val="28"/>
          <w:szCs w:val="28"/>
        </w:rPr>
        <w:t>strát</w:t>
      </w:r>
    </w:p>
    <w:p w:rsidR="00050ED2" w:rsidRDefault="00050ED2" w:rsidP="00D31118">
      <w:pPr>
        <w:rPr>
          <w:b/>
          <w:sz w:val="28"/>
          <w:szCs w:val="28"/>
        </w:rPr>
      </w:pPr>
    </w:p>
    <w:p w:rsidR="00050ED2" w:rsidRPr="00050ED2" w:rsidRDefault="00F05EC9" w:rsidP="00D31118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Účtovná jednotka sa zaoberá </w:t>
      </w:r>
      <w:r w:rsidR="00C37E4C">
        <w:rPr>
          <w:rFonts w:ascii="Sylfaen" w:hAnsi="Sylfaen"/>
          <w:sz w:val="24"/>
          <w:szCs w:val="24"/>
        </w:rPr>
        <w:t xml:space="preserve">hlavne </w:t>
      </w:r>
      <w:r w:rsidR="00A65D1D">
        <w:rPr>
          <w:rFonts w:ascii="Sylfaen" w:hAnsi="Sylfaen"/>
          <w:sz w:val="24"/>
          <w:szCs w:val="24"/>
        </w:rPr>
        <w:t xml:space="preserve">výrobou </w:t>
      </w:r>
      <w:r w:rsidR="002D28A7">
        <w:rPr>
          <w:rFonts w:ascii="Sylfaen" w:hAnsi="Sylfaen"/>
          <w:sz w:val="24"/>
          <w:szCs w:val="24"/>
        </w:rPr>
        <w:t>mlynských výrobkov</w:t>
      </w:r>
      <w:r w:rsidR="00C37E4C">
        <w:rPr>
          <w:rFonts w:ascii="Sylfaen" w:hAnsi="Sylfaen"/>
          <w:sz w:val="24"/>
          <w:szCs w:val="24"/>
        </w:rPr>
        <w:t>. V</w:t>
      </w:r>
      <w:r w:rsidR="00050ED2">
        <w:rPr>
          <w:rFonts w:ascii="Sylfaen" w:hAnsi="Sylfaen"/>
          <w:sz w:val="24"/>
          <w:szCs w:val="24"/>
        </w:rPr>
        <w:t>ykazuje štandardné výnosy a</w:t>
      </w:r>
      <w:r w:rsidR="00B170FA">
        <w:rPr>
          <w:rFonts w:ascii="Sylfaen" w:hAnsi="Sylfaen"/>
          <w:sz w:val="24"/>
          <w:szCs w:val="24"/>
        </w:rPr>
        <w:t> </w:t>
      </w:r>
      <w:r w:rsidR="00050ED2">
        <w:rPr>
          <w:rFonts w:ascii="Sylfaen" w:hAnsi="Sylfaen"/>
          <w:sz w:val="24"/>
          <w:szCs w:val="24"/>
        </w:rPr>
        <w:t>náklady</w:t>
      </w:r>
      <w:r w:rsidR="00B170FA">
        <w:rPr>
          <w:rFonts w:ascii="Sylfaen" w:hAnsi="Sylfaen"/>
          <w:sz w:val="24"/>
          <w:szCs w:val="24"/>
        </w:rPr>
        <w:t>.</w:t>
      </w:r>
      <w:r w:rsidR="00050ED2">
        <w:rPr>
          <w:rFonts w:ascii="Sylfaen" w:hAnsi="Sylfaen"/>
          <w:sz w:val="24"/>
          <w:szCs w:val="24"/>
        </w:rPr>
        <w:t xml:space="preserve"> </w:t>
      </w:r>
      <w:r w:rsidR="00B170FA">
        <w:rPr>
          <w:rFonts w:ascii="Sylfaen" w:hAnsi="Sylfaen"/>
          <w:sz w:val="24"/>
          <w:szCs w:val="24"/>
        </w:rPr>
        <w:t>V</w:t>
      </w:r>
      <w:r w:rsidR="00050ED2">
        <w:rPr>
          <w:rFonts w:ascii="Sylfaen" w:hAnsi="Sylfaen"/>
          <w:sz w:val="24"/>
          <w:szCs w:val="24"/>
        </w:rPr>
        <w:t xml:space="preserve"> tejto činnosti </w:t>
      </w:r>
      <w:r>
        <w:rPr>
          <w:rFonts w:ascii="Sylfaen" w:hAnsi="Sylfaen"/>
          <w:sz w:val="24"/>
          <w:szCs w:val="24"/>
        </w:rPr>
        <w:t>plánuje pokračovať a v roku 20</w:t>
      </w:r>
      <w:r w:rsidR="003B4255">
        <w:rPr>
          <w:rFonts w:ascii="Sylfaen" w:hAnsi="Sylfaen"/>
          <w:sz w:val="24"/>
          <w:szCs w:val="24"/>
        </w:rPr>
        <w:t>2</w:t>
      </w:r>
      <w:r w:rsidR="002D28A7">
        <w:rPr>
          <w:rFonts w:ascii="Sylfaen" w:hAnsi="Sylfaen"/>
          <w:sz w:val="24"/>
          <w:szCs w:val="24"/>
        </w:rPr>
        <w:t>1</w:t>
      </w:r>
      <w:r w:rsidR="00D62AF1">
        <w:rPr>
          <w:rFonts w:ascii="Sylfaen" w:hAnsi="Sylfaen"/>
          <w:sz w:val="24"/>
          <w:szCs w:val="24"/>
        </w:rPr>
        <w:t>.</w:t>
      </w:r>
    </w:p>
    <w:p w:rsidR="009407A6" w:rsidRPr="00D31118" w:rsidRDefault="00D31118" w:rsidP="00D31118">
      <w:pPr>
        <w:rPr>
          <w:rFonts w:ascii="Sylfaen" w:hAnsi="Sylfaen"/>
        </w:rPr>
      </w:pPr>
      <w:r w:rsidRPr="00D31118">
        <w:rPr>
          <w:rFonts w:ascii="Sylfaen" w:hAnsi="Sylfaen"/>
        </w:rPr>
        <w:br w:type="textWrapping" w:clear="all"/>
      </w:r>
      <w:bookmarkStart w:id="0" w:name="_GoBack"/>
      <w:bookmarkEnd w:id="0"/>
    </w:p>
    <w:sectPr w:rsidR="009407A6" w:rsidRPr="00D31118" w:rsidSect="00556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54B4"/>
    <w:rsid w:val="00043C3E"/>
    <w:rsid w:val="00050ED2"/>
    <w:rsid w:val="000D4C26"/>
    <w:rsid w:val="002550B0"/>
    <w:rsid w:val="002C1427"/>
    <w:rsid w:val="002D28A7"/>
    <w:rsid w:val="002D4385"/>
    <w:rsid w:val="003B4255"/>
    <w:rsid w:val="00411050"/>
    <w:rsid w:val="00457DAF"/>
    <w:rsid w:val="00556504"/>
    <w:rsid w:val="005E3DEF"/>
    <w:rsid w:val="006828DF"/>
    <w:rsid w:val="00854D06"/>
    <w:rsid w:val="009407A6"/>
    <w:rsid w:val="00A65D1D"/>
    <w:rsid w:val="00A9066F"/>
    <w:rsid w:val="00B170FA"/>
    <w:rsid w:val="00C00054"/>
    <w:rsid w:val="00C37E4C"/>
    <w:rsid w:val="00C754B4"/>
    <w:rsid w:val="00D064AA"/>
    <w:rsid w:val="00D31118"/>
    <w:rsid w:val="00D62AF1"/>
    <w:rsid w:val="00DC4BCE"/>
    <w:rsid w:val="00F05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6504"/>
  </w:style>
  <w:style w:type="paragraph" w:styleId="Nadpis1">
    <w:name w:val="heading 1"/>
    <w:basedOn w:val="Normlny"/>
    <w:next w:val="Normlny"/>
    <w:link w:val="Nadpis1Char"/>
    <w:uiPriority w:val="9"/>
    <w:qFormat/>
    <w:rsid w:val="00C754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754B4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C754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D31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</dc:creator>
  <cp:lastModifiedBy>PC</cp:lastModifiedBy>
  <cp:revision>2</cp:revision>
  <dcterms:created xsi:type="dcterms:W3CDTF">2021-02-24T18:53:00Z</dcterms:created>
  <dcterms:modified xsi:type="dcterms:W3CDTF">2021-02-24T18:53:00Z</dcterms:modified>
</cp:coreProperties>
</file>