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2020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0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0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0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0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-35" w:type="dxa"/>
        <w:tblCellMar>
          <w:top w:w="0" w:type="dxa"/>
          <w:left w:w="7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SS Vision</w:t>
            </w:r>
            <w:r>
              <w:rPr>
                <w:rFonts w:cs="Arial" w:ascii="Arial" w:hAnsi="Arial"/>
              </w:rPr>
              <w:t xml:space="preserve"> s.r.o.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5</w:t>
            </w:r>
            <w:r>
              <w:rPr>
                <w:rFonts w:cs="Arial" w:ascii="Arial" w:hAnsi="Arial"/>
              </w:rPr>
              <w:t>3 089 731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Užhorodská 1, Košice – mestská časť Juh, 04011</w:t>
            </w:r>
            <w:r>
              <w:rPr>
                <w:rFonts w:cs="Arial" w:ascii="Arial" w:hAnsi="Arial"/>
              </w:rPr>
              <w:t xml:space="preserve"> 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0"/>
          <w:sz w:val="22"/>
          <w:szCs w:val="22"/>
        </w:rPr>
      </w:pPr>
      <w:r>
        <w:rPr>
          <w:rFonts w:cs="Arial" w:ascii="Arial" w:hAnsi="Arial"/>
          <w:sz w:val="22"/>
          <w:szCs w:val="22"/>
          <w:highlight w:val="white"/>
        </w:rPr>
        <w:t xml:space="preserve">2. </w:t>
      </w:r>
      <w:r>
        <w:rPr>
          <w:rFonts w:cs="Arial" w:ascii="Arial" w:hAnsi="Arial"/>
          <w:sz w:val="22"/>
          <w:szCs w:val="22"/>
          <w:highlight w:val="white"/>
          <w:u w:val="single"/>
        </w:rPr>
        <w:t>Úd</w:t>
      </w:r>
      <w:r>
        <w:rPr>
          <w:rFonts w:cs="Arial" w:ascii="Arial" w:hAnsi="Arial"/>
          <w:spacing w:val="0"/>
          <w:sz w:val="22"/>
          <w:szCs w:val="22"/>
          <w:highlight w:val="white"/>
          <w:u w:val="single"/>
        </w:rPr>
        <w:t>a</w:t>
      </w:r>
      <w:r>
        <w:rPr>
          <w:rFonts w:cs="Arial" w:ascii="Arial" w:hAnsi="Arial"/>
          <w:sz w:val="22"/>
          <w:szCs w:val="22"/>
          <w:highlight w:val="white"/>
          <w:u w:val="single"/>
        </w:rPr>
        <w:t>je o</w:t>
      </w:r>
      <w:r>
        <w:rPr>
          <w:rFonts w:cs="Arial" w:ascii="Arial" w:hAnsi="Arial"/>
          <w:spacing w:val="0"/>
          <w:sz w:val="22"/>
          <w:szCs w:val="22"/>
          <w:highlight w:val="white"/>
          <w:u w:val="single"/>
        </w:rPr>
        <w:t xml:space="preserve"> </w:t>
      </w:r>
      <w:r>
        <w:rPr>
          <w:rFonts w:cs="Arial" w:ascii="Arial" w:hAnsi="Arial"/>
          <w:sz w:val="22"/>
          <w:szCs w:val="22"/>
          <w:highlight w:val="white"/>
          <w:u w:val="single"/>
        </w:rPr>
        <w:t xml:space="preserve">konsolidovanom </w:t>
      </w:r>
      <w:r>
        <w:rPr>
          <w:rFonts w:cs="Arial" w:ascii="Arial" w:hAnsi="Arial"/>
          <w:spacing w:val="0"/>
          <w:sz w:val="22"/>
          <w:szCs w:val="22"/>
          <w:highlight w:val="white"/>
          <w:u w:val="single"/>
        </w:rPr>
        <w:t>ce</w:t>
      </w:r>
      <w:r>
        <w:rPr>
          <w:rFonts w:cs="Arial" w:ascii="Arial" w:hAnsi="Arial"/>
          <w:sz w:val="22"/>
          <w:szCs w:val="22"/>
          <w:highlight w:val="white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highlight w:val="white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  <w:highlight w:val="white"/>
        </w:rPr>
        <w:t xml:space="preserve"> - </w:t>
      </w:r>
      <w:r>
        <w:rPr>
          <w:rFonts w:cs="Arial" w:ascii="Arial" w:hAnsi="Arial"/>
          <w:sz w:val="22"/>
          <w:szCs w:val="22"/>
          <w:highlight w:val="white"/>
        </w:rPr>
        <w:t>ob</w:t>
      </w:r>
      <w:r>
        <w:rPr>
          <w:rFonts w:cs="Arial" w:ascii="Arial" w:hAnsi="Arial"/>
          <w:spacing w:val="0"/>
          <w:sz w:val="22"/>
          <w:szCs w:val="22"/>
          <w:highlight w:val="white"/>
        </w:rPr>
        <w:t>c</w:t>
      </w:r>
      <w:r>
        <w:rPr>
          <w:rFonts w:cs="Arial" w:ascii="Arial" w:hAnsi="Arial"/>
          <w:sz w:val="22"/>
          <w:szCs w:val="22"/>
          <w:highlight w:val="white"/>
        </w:rPr>
        <w:t>hodné</w:t>
      </w:r>
      <w:r>
        <w:rPr>
          <w:rFonts w:cs="Arial" w:ascii="Arial" w:hAnsi="Arial"/>
          <w:spacing w:val="39"/>
          <w:sz w:val="22"/>
          <w:szCs w:val="22"/>
          <w:highlight w:val="white"/>
        </w:rPr>
        <w:t xml:space="preserve"> </w:t>
      </w:r>
      <w:r>
        <w:rPr>
          <w:rFonts w:cs="Arial" w:ascii="Arial" w:hAnsi="Arial"/>
          <w:sz w:val="22"/>
          <w:szCs w:val="22"/>
          <w:highlight w:val="white"/>
        </w:rPr>
        <w:t>meno</w:t>
      </w:r>
      <w:r>
        <w:rPr>
          <w:rFonts w:cs="Arial" w:ascii="Arial" w:hAnsi="Arial"/>
          <w:spacing w:val="42"/>
          <w:sz w:val="22"/>
          <w:szCs w:val="22"/>
          <w:highlight w:val="white"/>
        </w:rPr>
        <w:t xml:space="preserve"> </w:t>
      </w:r>
      <w:r>
        <w:rPr>
          <w:rFonts w:cs="Arial" w:ascii="Arial" w:hAnsi="Arial"/>
          <w:sz w:val="22"/>
          <w:szCs w:val="22"/>
          <w:highlight w:val="white"/>
        </w:rPr>
        <w:t>a síd</w:t>
      </w:r>
      <w:r>
        <w:rPr>
          <w:rFonts w:cs="Arial" w:ascii="Arial" w:hAnsi="Arial"/>
          <w:spacing w:val="3"/>
          <w:sz w:val="22"/>
          <w:szCs w:val="22"/>
          <w:highlight w:val="white"/>
        </w:rPr>
        <w:t>l</w:t>
      </w:r>
      <w:r>
        <w:rPr>
          <w:rFonts w:cs="Arial" w:ascii="Arial" w:hAnsi="Arial"/>
          <w:sz w:val="22"/>
          <w:szCs w:val="22"/>
          <w:highlight w:val="white"/>
        </w:rPr>
        <w:t>o</w:t>
      </w:r>
      <w:r>
        <w:rPr>
          <w:rFonts w:cs="Arial" w:ascii="Arial" w:hAnsi="Arial"/>
          <w:spacing w:val="40"/>
          <w:sz w:val="22"/>
          <w:szCs w:val="22"/>
          <w:highlight w:val="white"/>
        </w:rPr>
        <w:t xml:space="preserve"> </w:t>
      </w:r>
      <w:r>
        <w:rPr>
          <w:rFonts w:cs="Arial" w:ascii="Arial" w:hAnsi="Arial"/>
          <w:sz w:val="22"/>
          <w:szCs w:val="22"/>
          <w:highlight w:val="white"/>
        </w:rPr>
        <w:t>konsolidujú</w:t>
      </w:r>
      <w:r>
        <w:rPr>
          <w:rFonts w:cs="Arial" w:ascii="Arial" w:hAnsi="Arial"/>
          <w:spacing w:val="0"/>
          <w:sz w:val="22"/>
          <w:szCs w:val="22"/>
          <w:highlight w:val="white"/>
        </w:rPr>
        <w:t>ce</w:t>
      </w:r>
      <w:r>
        <w:rPr>
          <w:rFonts w:cs="Arial" w:ascii="Arial" w:hAnsi="Arial"/>
          <w:sz w:val="22"/>
          <w:szCs w:val="22"/>
          <w:highlight w:val="white"/>
        </w:rPr>
        <w:t>j</w:t>
      </w:r>
      <w:r>
        <w:rPr>
          <w:rFonts w:cs="Arial" w:ascii="Arial" w:hAnsi="Arial"/>
          <w:spacing w:val="41"/>
          <w:sz w:val="22"/>
          <w:szCs w:val="22"/>
          <w:highlight w:val="white"/>
        </w:rPr>
        <w:t xml:space="preserve"> </w:t>
      </w:r>
      <w:r>
        <w:rPr>
          <w:rFonts w:cs="Arial" w:ascii="Arial" w:hAnsi="Arial"/>
          <w:sz w:val="22"/>
          <w:szCs w:val="22"/>
          <w:highlight w:val="white"/>
        </w:rPr>
        <w:t>ú</w:t>
      </w:r>
      <w:r>
        <w:rPr>
          <w:rFonts w:cs="Arial" w:ascii="Arial" w:hAnsi="Arial"/>
          <w:spacing w:val="0"/>
          <w:sz w:val="22"/>
          <w:szCs w:val="22"/>
          <w:highlight w:val="white"/>
        </w:rPr>
        <w:t>č</w:t>
      </w:r>
      <w:r>
        <w:rPr>
          <w:rFonts w:cs="Arial" w:ascii="Arial" w:hAnsi="Arial"/>
          <w:sz w:val="22"/>
          <w:szCs w:val="22"/>
          <w:highlight w:val="white"/>
        </w:rPr>
        <w:t>t</w:t>
      </w:r>
      <w:r>
        <w:rPr>
          <w:rFonts w:cs="Arial" w:ascii="Arial" w:hAnsi="Arial"/>
          <w:spacing w:val="2"/>
          <w:sz w:val="22"/>
          <w:szCs w:val="22"/>
          <w:highlight w:val="white"/>
        </w:rPr>
        <w:t>o</w:t>
      </w:r>
      <w:r>
        <w:rPr>
          <w:rFonts w:cs="Arial" w:ascii="Arial" w:hAnsi="Arial"/>
          <w:sz w:val="22"/>
          <w:szCs w:val="22"/>
          <w:highlight w:val="white"/>
        </w:rPr>
        <w:t>vn</w:t>
      </w:r>
      <w:r>
        <w:rPr>
          <w:rFonts w:cs="Arial" w:ascii="Arial" w:hAnsi="Arial"/>
          <w:spacing w:val="0"/>
          <w:sz w:val="22"/>
          <w:szCs w:val="22"/>
          <w:highlight w:val="white"/>
        </w:rPr>
        <w:t>e</w:t>
      </w:r>
      <w:r>
        <w:rPr>
          <w:rFonts w:cs="Arial" w:ascii="Arial" w:hAnsi="Arial"/>
          <w:sz w:val="22"/>
          <w:szCs w:val="22"/>
          <w:highlight w:val="white"/>
        </w:rPr>
        <w:t>j</w:t>
      </w:r>
      <w:r>
        <w:rPr>
          <w:rFonts w:cs="Arial" w:ascii="Arial" w:hAnsi="Arial"/>
          <w:spacing w:val="41"/>
          <w:sz w:val="22"/>
          <w:szCs w:val="22"/>
          <w:highlight w:val="white"/>
        </w:rPr>
        <w:t xml:space="preserve"> </w:t>
      </w:r>
      <w:r>
        <w:rPr>
          <w:rFonts w:cs="Arial" w:ascii="Arial" w:hAnsi="Arial"/>
          <w:sz w:val="22"/>
          <w:szCs w:val="22"/>
          <w:highlight w:val="white"/>
        </w:rPr>
        <w:t>jednot</w:t>
      </w:r>
      <w:r>
        <w:rPr>
          <w:rFonts w:cs="Arial" w:ascii="Arial" w:hAnsi="Arial"/>
          <w:spacing w:val="4"/>
          <w:sz w:val="22"/>
          <w:szCs w:val="22"/>
          <w:highlight w:val="white"/>
        </w:rPr>
        <w:t>k</w:t>
      </w:r>
      <w:r>
        <w:rPr>
          <w:rFonts w:cs="Arial" w:ascii="Arial" w:hAnsi="Arial"/>
          <w:spacing w:val="0"/>
          <w:sz w:val="22"/>
          <w:szCs w:val="22"/>
          <w:highlight w:val="white"/>
        </w:rPr>
        <w:t>y: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0"/>
          <w:sz w:val="22"/>
          <w:szCs w:val="22"/>
          <w:highlight w:val="yellow"/>
        </w:rPr>
      </w:pPr>
      <w:r>
        <w:rPr>
          <w:rFonts w:cs="Arial" w:ascii="Arial" w:hAnsi="Arial"/>
          <w:spacing w:val="0"/>
          <w:sz w:val="22"/>
          <w:szCs w:val="22"/>
          <w:highlight w:val="yellow"/>
        </w:rPr>
      </w:r>
    </w:p>
    <w:p>
      <w:pPr>
        <w:pStyle w:val="Normal"/>
        <w:widowControl w:val="false"/>
        <w:tabs>
          <w:tab w:val="left" w:pos="808" w:leader="none"/>
        </w:tabs>
        <w:ind w:left="0" w:hanging="0"/>
        <w:rPr>
          <w:rFonts w:ascii="Arial CE" w:hAnsi="Arial CE" w:cs="Arial CE"/>
          <w:b w:val="false"/>
          <w:b w:val="false"/>
          <w:i/>
          <w:i/>
          <w:iCs/>
          <w:spacing w:val="0"/>
          <w:sz w:val="22"/>
          <w:szCs w:val="22"/>
          <w:u w:val="none"/>
          <w:lang w:val="sk-SK" w:eastAsia="zxx" w:bidi="zxx"/>
        </w:rPr>
      </w:pPr>
      <w:r>
        <w:rPr>
          <w:rFonts w:cs="Arial CE" w:ascii="Arial CE" w:hAnsi="Arial CE"/>
          <w:b w:val="false"/>
          <w:i/>
          <w:iCs/>
          <w:spacing w:val="0"/>
          <w:sz w:val="22"/>
          <w:szCs w:val="22"/>
          <w:u w:val="none"/>
          <w:lang w:val="sk-SK" w:eastAsia="zxx" w:bidi="zxx"/>
        </w:rPr>
        <w:t>Účtovná jednotka nie je súčasťou konsolidovaného celku.</w:t>
      </w:r>
    </w:p>
    <w:p>
      <w:pPr>
        <w:pStyle w:val="Normal"/>
        <w:widowControl w:val="false"/>
        <w:tabs>
          <w:tab w:val="left" w:pos="808" w:leader="none"/>
        </w:tabs>
        <w:ind w:left="0" w:hanging="0"/>
        <w:rPr>
          <w:rFonts w:ascii="Arial CE" w:hAnsi="Arial CE" w:cs="Arial CE"/>
          <w:b w:val="false"/>
          <w:b w:val="false"/>
          <w:i/>
          <w:i/>
          <w:iCs/>
          <w:spacing w:val="0"/>
          <w:sz w:val="22"/>
          <w:szCs w:val="22"/>
          <w:u w:val="none"/>
          <w:lang w:val="sk-SK" w:eastAsia="zxx" w:bidi="zxx"/>
        </w:rPr>
      </w:pPr>
      <w:r>
        <w:rPr>
          <w:rFonts w:cs="Arial CE" w:ascii="Arial CE" w:hAnsi="Arial CE"/>
          <w:b w:val="false"/>
          <w:i/>
          <w:iCs/>
          <w:spacing w:val="0"/>
          <w:sz w:val="22"/>
          <w:szCs w:val="22"/>
          <w:u w:val="none"/>
          <w:lang w:val="sk-SK" w:eastAsia="zxx" w:bidi="zxx"/>
        </w:rPr>
      </w:r>
    </w:p>
    <w:p>
      <w:pPr>
        <w:pStyle w:val="Normal"/>
        <w:spacing w:lineRule="exact" w:line="260"/>
        <w:jc w:val="both"/>
        <w:rPr/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0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0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0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0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0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0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0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0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0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0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0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 0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-35" w:type="dxa"/>
        <w:tblCellMar>
          <w:top w:w="0" w:type="dxa"/>
          <w:left w:w="7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09"/>
        <w:gridCol w:w="2135"/>
        <w:gridCol w:w="3343"/>
      </w:tblGrid>
      <w:tr>
        <w:trPr/>
        <w:tc>
          <w:tcPr>
            <w:tcW w:w="4209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35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09" w:type="dxa"/>
            <w:tcBorders/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3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 xml:space="preserve"> </w:t>
            </w: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0"/>
        </w:rPr>
        <w:t>rm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0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0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0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0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pacing w:val="0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0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0"/>
          <w:sz w:val="22"/>
          <w:szCs w:val="22"/>
          <w:u w:val="single"/>
        </w:rPr>
        <w:t>ač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0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</w:t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>účtovná jednotka bude pokračovať vo svojej činnosti.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0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0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0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Mriekatabuky"/>
        <w:tblW w:w="9687" w:type="dxa"/>
        <w:jc w:val="left"/>
        <w:tblInd w:w="-35" w:type="dxa"/>
        <w:tblCellMar>
          <w:top w:w="0" w:type="dxa"/>
          <w:left w:w="7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0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0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0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 účtovná jednotka nevlastní dlhodobý nehmotný, hmotný ani finančný majetok.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0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0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ýc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0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0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0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y: K zmene účtovných metód v priebehu účtovného obdobia nedošlo.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0"/>
          <w:sz w:val="22"/>
          <w:szCs w:val="22"/>
        </w:rPr>
      </w:pPr>
      <w:r>
        <w:rPr>
          <w:rFonts w:cs="Arial" w:ascii="Arial" w:hAnsi="Arial"/>
          <w:spacing w:val="0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pacing w:val="0"/>
          <w:sz w:val="22"/>
          <w:szCs w:val="22"/>
        </w:rPr>
        <w:t xml:space="preserve">5. </w:t>
      </w:r>
      <w:r>
        <w:rPr>
          <w:rFonts w:cs="Arial" w:ascii="Arial" w:hAnsi="Arial"/>
          <w:spacing w:val="0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0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0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0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0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0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0"/>
          <w:sz w:val="22"/>
          <w:szCs w:val="22"/>
        </w:rPr>
        <w:t>e: dotácie v priebehu účtovného obdobia neboli poskytnuté.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0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0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ýc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0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0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0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0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k významným opravám chýb minulých účtovných období nedošlo.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0"/>
        </w:rPr>
        <w:t>rm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0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0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0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0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0"/>
        </w:rPr>
        <w:t>ah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0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0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0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0"/>
          <w:sz w:val="22"/>
          <w:szCs w:val="22"/>
        </w:rPr>
        <w:t>vý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0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0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0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0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0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0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0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0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0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0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nedošlo k vzniku významných nákladov alebo výnosov v priebehu účtovného obdobia.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0"/>
          <w:sz w:val="22"/>
          <w:szCs w:val="22"/>
        </w:rPr>
      </w:pPr>
      <w:r>
        <w:rPr>
          <w:rFonts w:cs="Arial" w:ascii="Arial" w:hAnsi="Arial"/>
          <w:spacing w:val="0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0"/>
          <w:sz w:val="22"/>
          <w:szCs w:val="22"/>
        </w:rPr>
        <w:t xml:space="preserve">2. </w:t>
      </w:r>
      <w:r>
        <w:rPr>
          <w:rFonts w:cs="Arial" w:ascii="Arial" w:hAnsi="Arial"/>
          <w:spacing w:val="0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0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0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0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0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0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0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0"/>
          <w:sz w:val="22"/>
          <w:szCs w:val="22"/>
        </w:rPr>
        <w:t>la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0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0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účtovná jednotka nemá dlhodobé záväzky.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0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0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0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ýc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0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0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0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0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0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0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0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0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Vlastné akcie neboli nadobudnuté.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0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0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0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0"/>
          <w:sz w:val="22"/>
          <w:szCs w:val="22"/>
          <w:u w:val="single"/>
        </w:rPr>
        <w:t>gá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0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0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0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gá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gá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gá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y:členom štatutárneho orgánu neboli poskytnuté žiadne záruky alebo iné zabezpečenia.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0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0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gá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y a 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0"/>
          <w:sz w:val="22"/>
          <w:szCs w:val="22"/>
        </w:rPr>
        <w:t>gá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y a 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y:členom štatutárneho orgánu neboli poskytnuté žiadne pôžičky.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0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0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0"/>
          <w:sz w:val="22"/>
          <w:szCs w:val="22"/>
        </w:rPr>
        <w:t>y:členom štatutárneho orgánu neboli poskytnuté žiadne pôžičky.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0"/>
          <w:sz w:val="22"/>
          <w:szCs w:val="22"/>
        </w:rPr>
      </w:pPr>
      <w:r>
        <w:rPr>
          <w:rFonts w:cs="Arial" w:ascii="Arial" w:hAnsi="Arial"/>
          <w:spacing w:val="0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0"/>
          <w:sz w:val="22"/>
          <w:szCs w:val="22"/>
        </w:rPr>
        <w:t>d) 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0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gá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gá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gá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  <w:r>
        <w:rPr>
          <w:rFonts w:cs="Arial" w:ascii="Arial" w:hAnsi="Arial"/>
          <w:spacing w:val="0"/>
          <w:sz w:val="22"/>
          <w:szCs w:val="22"/>
        </w:rPr>
        <w:t>členom štatutárneho orgánu neboli poskytnuté žiadne plnenia na súkromné účely.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0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0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0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0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0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0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0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0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0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0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 xml:space="preserve">y: </w:t>
      </w:r>
      <w:bookmarkStart w:id="0" w:name="__DdeLink__2684_2113645525"/>
      <w:bookmarkEnd w:id="0"/>
      <w:r>
        <w:rPr>
          <w:rFonts w:cs="Arial" w:ascii="Arial" w:hAnsi="Arial"/>
          <w:spacing w:val="0"/>
          <w:sz w:val="22"/>
          <w:szCs w:val="22"/>
        </w:rPr>
        <w:t>účtovnej jednotke nevznikli finančné povinnosti nevykazované v súvahe.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0"/>
          <w:sz w:val="22"/>
          <w:szCs w:val="22"/>
        </w:rPr>
      </w:pPr>
      <w:r>
        <w:rPr>
          <w:rFonts w:cs="Arial" w:ascii="Arial" w:hAnsi="Arial"/>
          <w:spacing w:val="0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0"/>
          <w:sz w:val="22"/>
          <w:szCs w:val="22"/>
        </w:rPr>
        <w:t>b)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0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ýc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0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0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0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0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kt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0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0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  <w:r>
        <w:rPr>
          <w:rFonts w:cs="Arial" w:ascii="Arial" w:hAnsi="Arial"/>
          <w:spacing w:val="0"/>
          <w:sz w:val="22"/>
          <w:szCs w:val="22"/>
        </w:rPr>
        <w:t>účtovnej jednotke nevznikli podmienené záväzky nevykazované v súvahe.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0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0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ýc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ýc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0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ýc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0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ýc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0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kov: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0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vom:účtovná jednotka nemá dcérsku účtovnú jednotku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bookmarkStart w:id="1" w:name="_GoBack"/>
      <w:bookmarkEnd w:id="1"/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0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0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0"/>
          <w:sz w:val="22"/>
          <w:szCs w:val="22"/>
          <w:u w:val="single"/>
        </w:rPr>
        <w:t>ýc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0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0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účtovná jednotka nemá zamestnancov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 w:val="false"/>
          <w:bCs w:val="false"/>
          <w:sz w:val="22"/>
          <w:szCs w:val="22"/>
          <w:u w:val="non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/>
        <w:t>účtovnej jednotke nebolo udelené výlučné právo, ani osobitné právo poskytovať služby vo verejnom záujme.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24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  <w:font w:name="Arial CE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114300" distR="11430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7370" cy="184150"/>
              <wp:effectExtent l="0" t="0" r="0" b="0"/>
              <wp:wrapNone/>
              <wp:docPr id="1" name="Obrázok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6840" cy="1836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  <w:color w:val="00000A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00000A"/>
                              <w:spacing w:val="0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00000A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color w:val="00000A"/>
                              <w:spacing w:val="0"/>
                            </w:rPr>
                            <w:t xml:space="preserve"> </w:t>
                          </w:r>
                          <w:r>
                            <w:rPr>
                              <w:rFonts w:cs="Times New Roman"/>
                              <w:color w:val="00000A"/>
                              <w:spacing w:val="0"/>
                            </w:rPr>
                            <w:fldChar w:fldCharType="begin"/>
                          </w:r>
                          <w:r>
                            <w:rPr>
                              <w:spacing w:val="0"/>
                              <w:rFonts w:cs="Times New Roman"/>
                            </w:rPr>
                            <w:instrText> PAGE </w:instrText>
                          </w:r>
                          <w:r>
                            <w:rPr>
                              <w:spacing w:val="0"/>
                              <w:rFonts w:cs="Times New Roman"/>
                            </w:rPr>
                            <w:fldChar w:fldCharType="separate"/>
                          </w:r>
                          <w:r>
                            <w:rPr>
                              <w:spacing w:val="0"/>
                              <w:rFonts w:cs="Times New Roman"/>
                            </w:rPr>
                            <w:t>3</w:t>
                          </w:r>
                          <w:r>
                            <w:rPr>
                              <w:spacing w:val="0"/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ok1" stroked="f" style="position:absolute;margin-left:483.9pt;margin-top:800.05pt;width:43pt;height:14.4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  <w:color w:val="00000A"/>
                      </w:rPr>
                      <w:t>Str</w:t>
                    </w:r>
                    <w:r>
                      <w:rPr>
                        <w:rFonts w:cs="Times New Roman"/>
                        <w:color w:val="00000A"/>
                        <w:spacing w:val="0"/>
                      </w:rPr>
                      <w:t>a</w:t>
                    </w:r>
                    <w:r>
                      <w:rPr>
                        <w:rFonts w:cs="Times New Roman"/>
                        <w:color w:val="00000A"/>
                      </w:rPr>
                      <w:t>na</w:t>
                    </w:r>
                    <w:r>
                      <w:rPr>
                        <w:rFonts w:cs="Times New Roman"/>
                        <w:color w:val="00000A"/>
                        <w:spacing w:val="0"/>
                      </w:rPr>
                      <w:t xml:space="preserve"> </w:t>
                    </w:r>
                    <w:r>
                      <w:rPr>
                        <w:rFonts w:cs="Times New Roman"/>
                        <w:color w:val="00000A"/>
                        <w:spacing w:val="0"/>
                      </w:rPr>
                      <w:fldChar w:fldCharType="begin"/>
                    </w:r>
                    <w:r>
                      <w:rPr>
                        <w:spacing w:val="0"/>
                        <w:rFonts w:cs="Times New Roman"/>
                      </w:rPr>
                      <w:instrText> PAGE </w:instrText>
                    </w:r>
                    <w:r>
                      <w:rPr>
                        <w:spacing w:val="0"/>
                        <w:rFonts w:cs="Times New Roman"/>
                      </w:rPr>
                      <w:fldChar w:fldCharType="separate"/>
                    </w:r>
                    <w:r>
                      <w:rPr>
                        <w:spacing w:val="0"/>
                        <w:rFonts w:cs="Times New Roman"/>
                      </w:rPr>
                      <w:t>3</w:t>
                    </w:r>
                    <w:r>
                      <w:rPr>
                        <w:spacing w:val="0"/>
                        <w:rFonts w:cs="Times New Roman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0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A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z</w:t>
    </w:r>
    <w:r>
      <w:rPr>
        <w:rFonts w:cs="Arial" w:ascii="Arial" w:hAnsi="Arial"/>
        <w:sz w:val="22"/>
        <w:szCs w:val="22"/>
        <w:bdr w:val="single" w:sz="4" w:space="0" w:color="00000A"/>
      </w:rPr>
      <w:t>n</w:t>
    </w:r>
    <w:r>
      <w:rPr>
        <w:rFonts w:cs="Arial" w:ascii="Arial" w:hAnsi="Arial"/>
        <w:spacing w:val="0"/>
        <w:sz w:val="22"/>
        <w:szCs w:val="22"/>
        <w:bdr w:val="single" w:sz="4" w:space="0" w:color="00000A"/>
      </w:rPr>
      <w:t>á</w:t>
    </w:r>
    <w:r>
      <w:rPr>
        <w:rFonts w:cs="Arial" w:ascii="Arial" w:hAnsi="Arial"/>
        <w:sz w:val="22"/>
        <w:szCs w:val="22"/>
        <w:bdr w:val="single" w:sz="4" w:space="0" w:color="00000A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A"/>
      </w:rPr>
      <w:t>k</w:t>
    </w:r>
    <w:r>
      <w:rPr>
        <w:rFonts w:cs="Arial" w:ascii="Arial" w:hAnsi="Arial"/>
        <w:sz w:val="22"/>
        <w:szCs w:val="22"/>
        <w:bdr w:val="single" w:sz="4" w:space="0" w:color="00000A"/>
      </w:rPr>
      <w:t>y</w:t>
    </w:r>
    <w:r>
      <w:rPr>
        <w:rFonts w:cs="Arial" w:ascii="Arial" w:hAnsi="Arial"/>
        <w:spacing w:val="0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Ú</w:t>
    </w:r>
    <w:r>
      <w:rPr>
        <w:rFonts w:cs="Arial" w:ascii="Arial" w:hAnsi="Arial"/>
        <w:sz w:val="22"/>
        <w:szCs w:val="22"/>
        <w:bdr w:val="single" w:sz="4" w:space="0" w:color="00000A"/>
      </w:rPr>
      <w:t>č MÚJ 3 –</w:t>
    </w:r>
    <w:r>
      <w:rPr>
        <w:rFonts w:cs="Arial" w:ascii="Arial" w:hAnsi="Arial"/>
        <w:spacing w:val="0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A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0"/>
        <w:sz w:val="22"/>
        <w:szCs w:val="22"/>
        <w:bdr w:val="single" w:sz="4" w:space="0" w:color="00000A"/>
      </w:rPr>
      <w:t>I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ČO: </w:t>
    </w:r>
    <w:r>
      <w:rPr>
        <w:rFonts w:cs="Arial" w:ascii="Arial" w:hAnsi="Arial"/>
        <w:sz w:val="22"/>
        <w:szCs w:val="22"/>
        <w:bdr w:val="single" w:sz="4" w:space="0" w:color="00000A"/>
      </w:rPr>
      <w:t>53089731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D</w:t>
    </w:r>
    <w:r>
      <w:rPr>
        <w:rFonts w:cs="Arial" w:ascii="Arial" w:hAnsi="Arial"/>
        <w:spacing w:val="0"/>
        <w:sz w:val="22"/>
        <w:szCs w:val="22"/>
        <w:bdr w:val="single" w:sz="4" w:space="0" w:color="00000A"/>
      </w:rPr>
      <w:t>I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Č:  </w:t>
    </w:r>
    <w:r>
      <w:rPr>
        <w:rFonts w:cs="Arial" w:ascii="Arial" w:hAnsi="Arial"/>
        <w:sz w:val="22"/>
        <w:szCs w:val="22"/>
        <w:bdr w:val="single" w:sz="4" w:space="0" w:color="00000A"/>
      </w:rPr>
      <w:t>2121262781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20"/>
  <w:defaultTabStop w:val="284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uiPriority w:val="1"/>
    <w:qFormat/>
    <w:pPr>
      <w:widowControl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paragraph" w:styleId="Nadpis2">
    <w:name w:val="Heading 2"/>
    <w:basedOn w:val="Nadpis"/>
    <w:qFormat/>
    <w:pPr/>
    <w:rPr/>
  </w:style>
  <w:style w:type="paragraph" w:styleId="Nadpis3">
    <w:name w:val="Heading 3"/>
    <w:basedOn w:val="Nadpis"/>
    <w:qFormat/>
    <w:pPr/>
    <w:rPr/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qFormat/>
    <w:rsid w:val="00eb4798"/>
    <w:rPr/>
  </w:style>
  <w:style w:type="character" w:styleId="PtaChar" w:customStyle="1">
    <w:name w:val="Päta Char"/>
    <w:basedOn w:val="DefaultParagraphFont"/>
    <w:link w:val="Pta"/>
    <w:uiPriority w:val="99"/>
    <w:qFormat/>
    <w:rsid w:val="00eb4798"/>
    <w:rPr/>
  </w:style>
  <w:style w:type="character" w:styleId="ListLabel1">
    <w:name w:val="ListLabel 1"/>
    <w:qFormat/>
    <w:rPr>
      <w:rFonts w:eastAsia="Times New Roman"/>
      <w:sz w:val="24"/>
      <w:szCs w:val="24"/>
    </w:rPr>
  </w:style>
  <w:style w:type="character" w:styleId="ListLabel2">
    <w:name w:val="ListLabel 2"/>
    <w:qFormat/>
    <w:rPr>
      <w:rFonts w:eastAsia="Times New Roman"/>
      <w:spacing w:val="0"/>
      <w:sz w:val="24"/>
      <w:szCs w:val="24"/>
    </w:rPr>
  </w:style>
  <w:style w:type="character" w:styleId="ListLabel3">
    <w:name w:val="ListLabel 3"/>
    <w:qFormat/>
    <w:rPr>
      <w:rFonts w:eastAsia="Times New Roman"/>
      <w:sz w:val="24"/>
      <w:szCs w:val="24"/>
    </w:rPr>
  </w:style>
  <w:style w:type="character" w:styleId="ListLabel4">
    <w:name w:val="ListLabel 4"/>
    <w:qFormat/>
    <w:rPr>
      <w:rFonts w:eastAsia="Times New Roman" w:cs="Arial"/>
    </w:rPr>
  </w:style>
  <w:style w:type="character" w:styleId="ListLabel5">
    <w:name w:val="ListLabel 5"/>
    <w:qFormat/>
    <w:rPr>
      <w:rFonts w:cs="Courier New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uiPriority w:val="1"/>
    <w:qFormat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pPr/>
    <w:rPr/>
  </w:style>
  <w:style w:type="paragraph" w:styleId="TableParagraph" w:customStyle="1">
    <w:name w:val="Table Paragraph"/>
    <w:basedOn w:val="Normal"/>
    <w:uiPriority w:val="1"/>
    <w:qFormat/>
    <w:pPr/>
    <w:rPr/>
  </w:style>
  <w:style w:type="paragraph" w:styleId="Hlavika">
    <w:name w:val="Header"/>
    <w:basedOn w:val="Normal"/>
    <w:link w:val="HlavikaChar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PtaChar"/>
    <w:uiPriority w:val="99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paragraph" w:styleId="Citcie">
    <w:name w:val="Citácie"/>
    <w:basedOn w:val="Normal"/>
    <w:qFormat/>
    <w:pPr/>
    <w:rPr/>
  </w:style>
  <w:style w:type="paragraph" w:styleId="Nzov">
    <w:name w:val="Title"/>
    <w:basedOn w:val="Nadpis"/>
    <w:qFormat/>
    <w:pPr/>
    <w:rPr/>
  </w:style>
  <w:style w:type="paragraph" w:styleId="Podnadpis">
    <w:name w:val="Subtitle"/>
    <w:basedOn w:val="Nadpis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Application>LibreOffice/6.0.1.1$Windows_x86 LibreOffice_project/60bfb1526849283ce2491346ed2aa51c465abfe6</Application>
  <Pages>3</Pages>
  <Words>1032</Words>
  <Characters>6588</Characters>
  <CharactersWithSpaces>7624</CharactersWithSpaces>
  <Paragraphs>79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2014-10-27T10:26:00Z</dcterms:created>
  <dc:creator>maria</dc:creator>
  <dc:description/>
  <dc:language>sk-SK</dc:language>
  <cp:lastModifiedBy/>
  <cp:lastPrinted>2019-02-26T13:03:57Z</cp:lastPrinted>
  <dcterms:modified xsi:type="dcterms:W3CDTF">2021-03-04T08:01:32Z</dcterms:modified>
  <cp:revision>33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