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62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8"/>
      </w:tblGrid>
      <w:tr>
        <w:trPr/>
        <w:tc>
          <w:tcPr>
            <w:tcW w:w="2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Inovatívne a modelové projekty Rehabillitačné stredisko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Sociálny intergr. podnik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2"/>
        <w:gridCol w:w="2387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2"/>
        <w:gridCol w:w="2387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360" w:before="120" w:after="120"/>
              <w:jc w:val="both"/>
              <w:rPr/>
            </w:pPr>
            <w:r>
              <w:rPr/>
              <w:t xml:space="preserve">                  </w:t>
            </w:r>
            <w:r>
              <w:rPr/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2"/>
        <w:gridCol w:w="2387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 roky</w:t>
            </w:r>
          </w:p>
        </w:tc>
        <w:tc>
          <w:tcPr>
            <w:tcW w:w="2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áno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89"/>
        <w:gridCol w:w="1119"/>
        <w:gridCol w:w="1040"/>
        <w:gridCol w:w="1090"/>
        <w:gridCol w:w="1070"/>
        <w:gridCol w:w="1231"/>
        <w:gridCol w:w="1128"/>
        <w:gridCol w:w="1009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7"/>
        <w:gridCol w:w="794"/>
        <w:gridCol w:w="720"/>
        <w:gridCol w:w="931"/>
        <w:gridCol w:w="850"/>
        <w:gridCol w:w="668"/>
        <w:gridCol w:w="1146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53099,10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21897,57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3675,00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2135,00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53758,31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134564,98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42479,50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17460,22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2450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1708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22069,28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86167,00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1646080,00 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62363,92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18365,00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22069,28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1755003,20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4"/>
        <w:gridCol w:w="1003"/>
        <w:gridCol w:w="966"/>
        <w:gridCol w:w="966"/>
        <w:gridCol w:w="966"/>
        <w:gridCol w:w="967"/>
        <w:gridCol w:w="966"/>
        <w:gridCol w:w="972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37"/>
        <w:gridCol w:w="956"/>
        <w:gridCol w:w="1095"/>
        <w:gridCol w:w="1506"/>
        <w:gridCol w:w="1488"/>
        <w:gridCol w:w="1525"/>
        <w:gridCol w:w="1570"/>
      </w:tblGrid>
      <w:tr>
        <w:trPr>
          <w:trHeight w:val="922" w:hRule="atLeast"/>
        </w:trPr>
        <w:tc>
          <w:tcPr>
            <w:tcW w:w="183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2088,27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3396,07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1005,32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254,93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-7166,71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-66398,12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-160,72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-4233,84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-62747,12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38"/>
        <w:gridCol w:w="1731"/>
        <w:gridCol w:w="1725"/>
        <w:gridCol w:w="1722"/>
        <w:gridCol w:w="1740"/>
      </w:tblGrid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2623,20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856,28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2623,20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856,28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2043,42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-151482,06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-281973,21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-151482,06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-281973,21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-130491,15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7288,74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-130491,15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7288,74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-250253,46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-27484,47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-281973,21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-242964,72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-151482,06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-151482,06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79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nevyč.dovolenky 2019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120102,37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97200,61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97200,61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37478,16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14576,40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37478,16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14576,40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97200,61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2"/>
        <w:gridCol w:w="3147"/>
        <w:gridCol w:w="3109"/>
      </w:tblGrid>
      <w:tr>
        <w:trPr>
          <w:trHeight w:val="284" w:hRule="atLeast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1046,53</w:t>
            </w:r>
          </w:p>
        </w:tc>
      </w:tr>
      <w:tr>
        <w:trPr>
          <w:trHeight w:val="284" w:hRule="atLeast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1031,78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1586,15</w:t>
            </w:r>
          </w:p>
        </w:tc>
      </w:tr>
      <w:tr>
        <w:trPr>
          <w:trHeight w:val="419" w:hRule="atLeast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55,00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473,21</w:t>
            </w:r>
          </w:p>
        </w:tc>
      </w:tr>
      <w:tr>
        <w:trPr>
          <w:trHeight w:val="284" w:hRule="atLeast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3136,25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193750,10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331561,59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137811,49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113296,00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331561,59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321296,00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1578920,83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121835,46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1457085,37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4596,88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4596,88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7817,33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173091,42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22243,48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Ostatné dotácie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174961,58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BSK</w:t>
            </w:r>
            <w:r>
              <w:rPr>
                <w:sz w:val="16"/>
                <w:szCs w:val="16"/>
              </w:rPr>
              <w:t>+MINV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63903,62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MK+UPSVaR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125731,93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celková hodnota kurzových ziskov</w:t>
            </w:r>
            <w:r>
              <w:rPr>
                <w:sz w:val="16"/>
                <w:szCs w:val="16"/>
              </w:rPr>
              <w:t>-grant Velux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41009,61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3772,88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22202,19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1605,84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účto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9398,00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7840,13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12767,46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3067,66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19,11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Odpis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86167,00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6"/>
        <w:gridCol w:w="2725"/>
        <w:gridCol w:w="1"/>
        <w:gridCol w:w="2246"/>
      </w:tblGrid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spolufinancovanie na grantoch-nevyč z roku 20</w:t>
            </w:r>
            <w:r>
              <w:rPr>
                <w:sz w:val="16"/>
                <w:szCs w:val="16"/>
              </w:rPr>
              <w:t>19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4658,88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4658,88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Arial"/>
      <w:b/>
      <w:bCs/>
      <w:i w:val="false"/>
      <w:iCs w:val="false"/>
      <w:sz w:val="24"/>
      <w:szCs w:val="24"/>
    </w:rPr>
  </w:style>
  <w:style w:type="character" w:styleId="ListLabel120">
    <w:name w:val="ListLabel 120"/>
    <w:qFormat/>
    <w:rPr>
      <w:b/>
      <w:bCs/>
      <w:i w:val="false"/>
      <w:iCs w:val="false"/>
    </w:rPr>
  </w:style>
  <w:style w:type="character" w:styleId="ListLabel121">
    <w:name w:val="ListLabel 121"/>
    <w:qFormat/>
    <w:rPr>
      <w:b w:val="false"/>
      <w:bCs w:val="false"/>
      <w:i w:val="false"/>
      <w:iCs w:val="false"/>
      <w:sz w:val="16"/>
    </w:rPr>
  </w:style>
  <w:style w:type="character" w:styleId="ListLabel122">
    <w:name w:val="ListLabel 122"/>
    <w:qFormat/>
    <w:rPr>
      <w:b w:val="false"/>
      <w:bCs w:val="false"/>
      <w:i w:val="false"/>
      <w:iCs w:val="false"/>
      <w:sz w:val="18"/>
    </w:rPr>
  </w:style>
  <w:style w:type="character" w:styleId="ListLabel123">
    <w:name w:val="ListLabel 123"/>
    <w:qFormat/>
    <w:rPr>
      <w:rFonts w:cs="Symbol"/>
      <w:b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  <w:sz w:val="16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  <w:sz w:val="16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Arial"/>
      <w:b/>
      <w:bCs/>
      <w:i w:val="false"/>
      <w:iCs w:val="false"/>
      <w:sz w:val="24"/>
      <w:szCs w:val="24"/>
    </w:rPr>
  </w:style>
  <w:style w:type="character" w:styleId="ListLabel151">
    <w:name w:val="ListLabel 151"/>
    <w:qFormat/>
    <w:rPr>
      <w:b/>
      <w:bCs/>
      <w:i w:val="false"/>
      <w:iCs w:val="false"/>
    </w:rPr>
  </w:style>
  <w:style w:type="character" w:styleId="ListLabel152">
    <w:name w:val="ListLabel 152"/>
    <w:qFormat/>
    <w:rPr>
      <w:b w:val="false"/>
      <w:bCs w:val="false"/>
      <w:i w:val="false"/>
      <w:iCs w:val="false"/>
      <w:sz w:val="16"/>
    </w:rPr>
  </w:style>
  <w:style w:type="character" w:styleId="ListLabel153">
    <w:name w:val="ListLabel 153"/>
    <w:qFormat/>
    <w:rPr>
      <w:b w:val="false"/>
      <w:bCs w:val="false"/>
      <w:i w:val="false"/>
      <w:iCs w:val="false"/>
      <w:sz w:val="18"/>
    </w:rPr>
  </w:style>
  <w:style w:type="character" w:styleId="ListLabel154">
    <w:name w:val="ListLabel 154"/>
    <w:qFormat/>
    <w:rPr>
      <w:rFonts w:cs="Symbol"/>
      <w:b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  <w:sz w:val="16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ListLabel169">
    <w:name w:val="ListLabel 169"/>
    <w:qFormat/>
    <w:rPr>
      <w:rFonts w:cs="Symbol"/>
    </w:rPr>
  </w:style>
  <w:style w:type="character" w:styleId="ListLabel170">
    <w:name w:val="ListLabel 170"/>
    <w:qFormat/>
    <w:rPr>
      <w:rFonts w:cs="Courier New"/>
    </w:rPr>
  </w:style>
  <w:style w:type="character" w:styleId="ListLabel171">
    <w:name w:val="ListLabel 171"/>
    <w:qFormat/>
    <w:rPr>
      <w:rFonts w:cs="Wingdings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rFonts w:cs="Arial"/>
      <w:b/>
      <w:bCs/>
      <w:i w:val="false"/>
      <w:iCs w:val="false"/>
      <w:sz w:val="24"/>
      <w:szCs w:val="24"/>
    </w:rPr>
  </w:style>
  <w:style w:type="character" w:styleId="ListLabel182">
    <w:name w:val="ListLabel 182"/>
    <w:qFormat/>
    <w:rPr>
      <w:b/>
      <w:bCs/>
      <w:i w:val="false"/>
      <w:iCs w:val="false"/>
    </w:rPr>
  </w:style>
  <w:style w:type="character" w:styleId="ListLabel183">
    <w:name w:val="ListLabel 183"/>
    <w:qFormat/>
    <w:rPr>
      <w:b w:val="false"/>
      <w:bCs w:val="false"/>
      <w:i w:val="false"/>
      <w:iCs w:val="false"/>
      <w:sz w:val="16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8"/>
    </w:rPr>
  </w:style>
  <w:style w:type="character" w:styleId="ListLabel185">
    <w:name w:val="ListLabel 185"/>
    <w:qFormat/>
    <w:rPr>
      <w:rFonts w:cs="Symbol"/>
      <w:b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rFonts w:cs="Symbol"/>
      <w:sz w:val="16"/>
    </w:rPr>
  </w:style>
  <w:style w:type="character" w:styleId="ListLabel195">
    <w:name w:val="ListLabel 195"/>
    <w:qFormat/>
    <w:rPr>
      <w:rFonts w:cs="Courier New"/>
    </w:rPr>
  </w:style>
  <w:style w:type="character" w:styleId="ListLabel196">
    <w:name w:val="ListLabel 196"/>
    <w:qFormat/>
    <w:rPr>
      <w:rFonts w:cs="Wingdings"/>
    </w:rPr>
  </w:style>
  <w:style w:type="character" w:styleId="ListLabel197">
    <w:name w:val="ListLabel 197"/>
    <w:qFormat/>
    <w:rPr>
      <w:rFonts w:cs="Symbol"/>
    </w:rPr>
  </w:style>
  <w:style w:type="character" w:styleId="ListLabel198">
    <w:name w:val="ListLabel 198"/>
    <w:qFormat/>
    <w:rPr>
      <w:rFonts w:cs="Courier New"/>
    </w:rPr>
  </w:style>
  <w:style w:type="character" w:styleId="ListLabel199">
    <w:name w:val="ListLabel 199"/>
    <w:qFormat/>
    <w:rPr>
      <w:rFonts w:cs="Wingdings"/>
    </w:rPr>
  </w:style>
  <w:style w:type="character" w:styleId="ListLabel200">
    <w:name w:val="ListLabel 200"/>
    <w:qFormat/>
    <w:rPr>
      <w:rFonts w:cs="Symbol"/>
    </w:rPr>
  </w:style>
  <w:style w:type="character" w:styleId="ListLabel201">
    <w:name w:val="ListLabel 201"/>
    <w:qFormat/>
    <w:rPr>
      <w:rFonts w:cs="Courier New"/>
    </w:rPr>
  </w:style>
  <w:style w:type="character" w:styleId="ListLabel202">
    <w:name w:val="ListLabel 202"/>
    <w:qFormat/>
    <w:rPr>
      <w:rFonts w:cs="Wingdings"/>
    </w:rPr>
  </w:style>
  <w:style w:type="character" w:styleId="ListLabel203">
    <w:name w:val="ListLabel 203"/>
    <w:qFormat/>
    <w:rPr>
      <w:rFonts w:cs="Symbol"/>
      <w:sz w:val="16"/>
    </w:rPr>
  </w:style>
  <w:style w:type="character" w:styleId="ListLabel204">
    <w:name w:val="ListLabel 204"/>
    <w:qFormat/>
    <w:rPr>
      <w:rFonts w:cs="Courier New"/>
    </w:rPr>
  </w:style>
  <w:style w:type="character" w:styleId="ListLabel205">
    <w:name w:val="ListLabel 205"/>
    <w:qFormat/>
    <w:rPr>
      <w:rFonts w:cs="Wingdings"/>
    </w:rPr>
  </w:style>
  <w:style w:type="character" w:styleId="ListLabel206">
    <w:name w:val="ListLabel 206"/>
    <w:qFormat/>
    <w:rPr>
      <w:rFonts w:cs="Symbol"/>
    </w:rPr>
  </w:style>
  <w:style w:type="character" w:styleId="ListLabel207">
    <w:name w:val="ListLabel 207"/>
    <w:qFormat/>
    <w:rPr>
      <w:rFonts w:cs="Courier New"/>
    </w:rPr>
  </w:style>
  <w:style w:type="character" w:styleId="ListLabel208">
    <w:name w:val="ListLabel 208"/>
    <w:qFormat/>
    <w:rPr>
      <w:rFonts w:cs="Wingdings"/>
    </w:rPr>
  </w:style>
  <w:style w:type="character" w:styleId="ListLabel209">
    <w:name w:val="ListLabel 209"/>
    <w:qFormat/>
    <w:rPr>
      <w:rFonts w:cs="Symbol"/>
    </w:rPr>
  </w:style>
  <w:style w:type="character" w:styleId="ListLabel210">
    <w:name w:val="ListLabel 210"/>
    <w:qFormat/>
    <w:rPr>
      <w:rFonts w:cs="Courier New"/>
    </w:rPr>
  </w:style>
  <w:style w:type="character" w:styleId="ListLabel211">
    <w:name w:val="ListLabel 211"/>
    <w:qFormat/>
    <w:rPr>
      <w:rFonts w:cs="Wingdings"/>
    </w:rPr>
  </w:style>
  <w:style w:type="character" w:styleId="ListLabel212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>
    <w:name w:val="ListLabel 213"/>
    <w:qFormat/>
    <w:rPr>
      <w:b/>
      <w:bCs/>
      <w:i w:val="false"/>
      <w:iCs w:val="false"/>
    </w:rPr>
  </w:style>
  <w:style w:type="character" w:styleId="ListLabel214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>
    <w:name w:val="ListLabel 216"/>
    <w:qFormat/>
    <w:rPr>
      <w:rFonts w:cs="Symbol"/>
      <w:b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rFonts w:cs="Arial"/>
      <w:b/>
      <w:bCs/>
      <w:i w:val="false"/>
      <w:iCs w:val="false"/>
      <w:sz w:val="24"/>
      <w:szCs w:val="24"/>
    </w:rPr>
  </w:style>
  <w:style w:type="character" w:styleId="ListLabel244">
    <w:name w:val="ListLabel 244"/>
    <w:qFormat/>
    <w:rPr>
      <w:b/>
      <w:bCs/>
      <w:i w:val="false"/>
      <w:iCs w:val="false"/>
    </w:rPr>
  </w:style>
  <w:style w:type="character" w:styleId="ListLabel245">
    <w:name w:val="ListLabel 245"/>
    <w:qFormat/>
    <w:rPr>
      <w:b w:val="false"/>
      <w:bCs w:val="false"/>
      <w:i w:val="false"/>
      <w:iCs w:val="false"/>
      <w:sz w:val="16"/>
    </w:rPr>
  </w:style>
  <w:style w:type="character" w:styleId="ListLabel246">
    <w:name w:val="ListLabel 246"/>
    <w:qFormat/>
    <w:rPr>
      <w:b w:val="false"/>
      <w:bCs w:val="false"/>
      <w:i w:val="false"/>
      <w:iCs w:val="false"/>
      <w:sz w:val="18"/>
    </w:rPr>
  </w:style>
  <w:style w:type="character" w:styleId="ListLabel247">
    <w:name w:val="ListLabel 247"/>
    <w:qFormat/>
    <w:rPr>
      <w:rFonts w:cs="Symbol"/>
      <w:b/>
      <w:sz w:val="16"/>
    </w:rPr>
  </w:style>
  <w:style w:type="character" w:styleId="ListLabel248">
    <w:name w:val="ListLabel 248"/>
    <w:qFormat/>
    <w:rPr>
      <w:rFonts w:cs="Courier New"/>
    </w:rPr>
  </w:style>
  <w:style w:type="character" w:styleId="ListLabel249">
    <w:name w:val="ListLabel 249"/>
    <w:qFormat/>
    <w:rPr>
      <w:rFonts w:cs="Wingdings"/>
    </w:rPr>
  </w:style>
  <w:style w:type="character" w:styleId="ListLabel250">
    <w:name w:val="ListLabel 250"/>
    <w:qFormat/>
    <w:rPr>
      <w:rFonts w:cs="Symbol"/>
    </w:rPr>
  </w:style>
  <w:style w:type="character" w:styleId="ListLabel251">
    <w:name w:val="ListLabel 251"/>
    <w:qFormat/>
    <w:rPr>
      <w:rFonts w:cs="Courier New"/>
    </w:rPr>
  </w:style>
  <w:style w:type="character" w:styleId="ListLabel252">
    <w:name w:val="ListLabel 252"/>
    <w:qFormat/>
    <w:rPr>
      <w:rFonts w:cs="Wingdings"/>
    </w:rPr>
  </w:style>
  <w:style w:type="character" w:styleId="ListLabel253">
    <w:name w:val="ListLabel 253"/>
    <w:qFormat/>
    <w:rPr>
      <w:rFonts w:cs="Symbol"/>
    </w:rPr>
  </w:style>
  <w:style w:type="character" w:styleId="ListLabel254">
    <w:name w:val="ListLabel 254"/>
    <w:qFormat/>
    <w:rPr>
      <w:rFonts w:cs="Courier New"/>
    </w:rPr>
  </w:style>
  <w:style w:type="character" w:styleId="ListLabel255">
    <w:name w:val="ListLabel 255"/>
    <w:qFormat/>
    <w:rPr>
      <w:rFonts w:cs="Wingdings"/>
    </w:rPr>
  </w:style>
  <w:style w:type="character" w:styleId="ListLabel256">
    <w:name w:val="ListLabel 256"/>
    <w:qFormat/>
    <w:rPr>
      <w:rFonts w:cs="Symbol"/>
      <w:sz w:val="16"/>
    </w:rPr>
  </w:style>
  <w:style w:type="character" w:styleId="ListLabel257">
    <w:name w:val="ListLabel 257"/>
    <w:qFormat/>
    <w:rPr>
      <w:rFonts w:cs="Courier New"/>
    </w:rPr>
  </w:style>
  <w:style w:type="character" w:styleId="ListLabel258">
    <w:name w:val="ListLabel 258"/>
    <w:qFormat/>
    <w:rPr>
      <w:rFonts w:cs="Wingdings"/>
    </w:rPr>
  </w:style>
  <w:style w:type="character" w:styleId="ListLabel259">
    <w:name w:val="ListLabel 259"/>
    <w:qFormat/>
    <w:rPr>
      <w:rFonts w:cs="Symbol"/>
    </w:rPr>
  </w:style>
  <w:style w:type="character" w:styleId="ListLabel260">
    <w:name w:val="ListLabel 260"/>
    <w:qFormat/>
    <w:rPr>
      <w:rFonts w:cs="Courier New"/>
    </w:rPr>
  </w:style>
  <w:style w:type="character" w:styleId="ListLabel261">
    <w:name w:val="ListLabel 261"/>
    <w:qFormat/>
    <w:rPr>
      <w:rFonts w:cs="Wingdings"/>
    </w:rPr>
  </w:style>
  <w:style w:type="character" w:styleId="ListLabel262">
    <w:name w:val="ListLabel 262"/>
    <w:qFormat/>
    <w:rPr>
      <w:rFonts w:cs="Symbol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  <w:sz w:val="16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LibreOffice/5.3.3.2$Windows_X86_64 LibreOffice_project/3d9a8b4b4e538a85e0782bd6c2d430bafe583448</Application>
  <Pages>12</Pages>
  <Words>3529</Words>
  <Characters>21120</Characters>
  <CharactersWithSpaces>24152</CharactersWithSpaces>
  <Paragraphs>1077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2021-03-05T13:59:32Z</dcterms:modified>
  <cp:revision>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