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76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Poznámky k ú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vierke zostavenej k 31.12.20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20</w:t>
      </w:r>
    </w:p>
    <w:p>
      <w:pPr>
        <w:pStyle w:val="Normal"/>
        <w:spacing w:lineRule="exact" w:line="276" w:before="0" w:after="200"/>
        <w:ind w:left="0" w:right="0" w:hanging="0"/>
        <w:jc w:val="center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Za obdobie:  01.01.20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20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– 31.12.20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20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A.Všeobecné údaje</w:t>
      </w:r>
    </w:p>
    <w:tbl>
      <w:tblPr>
        <w:tblW w:w="9068" w:type="dxa"/>
        <w:jc w:val="left"/>
        <w:tblInd w:w="-97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2" w:type="dxa"/>
          <w:bottom w:w="0" w:type="dxa"/>
          <w:right w:w="42" w:type="dxa"/>
        </w:tblCellMar>
      </w:tblPr>
      <w:tblGrid>
        <w:gridCol w:w="2093"/>
        <w:gridCol w:w="6974"/>
      </w:tblGrid>
      <w:tr>
        <w:trPr>
          <w:trHeight w:val="80" w:hRule="atLeast"/>
        </w:trPr>
        <w:tc>
          <w:tcPr>
            <w:tcW w:w="906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2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a) Základné informácie o 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jednotke: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DRL, s.r.o.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 73,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O,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O:  46455612         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  2023389005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1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Opis hospodárskej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predklad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vierku s predpokladom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bookmarkStart w:id="0" w:name="__UnoMark__1382_1747194022"/>
      <w:bookmarkEnd w:id="0"/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ieho fungovania.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Informácie o 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te zamestnancov</w:t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A.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te zamestnancov   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0" w:type="dxa"/>
        </w:tblCellMar>
      </w:tblPr>
      <w:tblGrid>
        <w:gridCol w:w="3636"/>
        <w:gridCol w:w="2604"/>
        <w:gridCol w:w="2830"/>
      </w:tblGrid>
      <w:tr>
        <w:trPr>
          <w:trHeight w:val="1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Priemerný prepo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Stav zamestnancov ku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mu sa zostavuje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vierka,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ved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d) Údaj,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 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iacim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kom v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jednotk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obchodn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mena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dla takejto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jednotky; uv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sa aj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daje 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ce sa tohto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enia: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nie je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iaca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Právny dôvod na zostavenie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vierky:     riadna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Dátum schválenia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za bezprostredne predch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obdobie 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org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8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.3.202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1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B.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lenovia org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nov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Informácie k 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B.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b) pr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lohy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kov, akcion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rov ku 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u, ku ktor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mu sa zostavuje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vierka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</w:t>
      </w:r>
    </w:p>
    <w:tbl>
      <w:tblPr>
        <w:tblW w:w="8808" w:type="dxa"/>
        <w:jc w:val="left"/>
        <w:tblInd w:w="-96" w:type="dxa"/>
        <w:tblBorders>
          <w:top w:val="single" w:sz="8" w:space="0" w:color="00000A"/>
          <w:left w:val="single" w:sz="8" w:space="0" w:color="00000A"/>
          <w:bottom w:val="single" w:sz="4" w:space="0" w:color="00000A"/>
          <w:right w:val="single" w:sz="8" w:space="0" w:color="00000A"/>
          <w:insideH w:val="single" w:sz="4" w:space="0" w:color="00000A"/>
          <w:insideV w:val="single" w:sz="8" w:space="0" w:color="00000A"/>
        </w:tblBorders>
        <w:tblCellMar>
          <w:top w:w="0" w:type="dxa"/>
          <w:left w:w="-10" w:type="dxa"/>
          <w:bottom w:w="0" w:type="dxa"/>
          <w:right w:w="18" w:type="dxa"/>
        </w:tblCellMar>
      </w:tblPr>
      <w:tblGrid>
        <w:gridCol w:w="2157"/>
        <w:gridCol w:w="1020"/>
        <w:gridCol w:w="1"/>
        <w:gridCol w:w="1183"/>
        <w:gridCol w:w="1080"/>
        <w:gridCol w:w="4"/>
        <w:gridCol w:w="1870"/>
        <w:gridCol w:w="6"/>
        <w:gridCol w:w="1486"/>
      </w:tblGrid>
      <w:tr>
        <w:trPr>
          <w:trHeight w:val="795" w:hRule="atLeast"/>
        </w:trPr>
        <w:tc>
          <w:tcPr>
            <w:tcW w:w="3178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 do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 zmeny 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rov</w:t>
            </w:r>
          </w:p>
        </w:tc>
        <w:tc>
          <w:tcPr>
            <w:tcW w:w="2267" w:type="dxa"/>
            <w:gridSpan w:val="3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Výška podielu na základnom imaní</w:t>
            </w:r>
          </w:p>
        </w:tc>
        <w:tc>
          <w:tcPr>
            <w:tcW w:w="18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Podiel na hlasovacích právach v %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Iný podiel na ostatných položkách VI ako na ZI                 v %</w:t>
            </w:r>
          </w:p>
        </w:tc>
      </w:tr>
      <w:tr>
        <w:trPr>
          <w:trHeight w:val="520" w:hRule="atLeast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Dátum zmeny</w:t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absolútne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 %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b</w:t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c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e</w:t>
            </w:r>
          </w:p>
        </w:tc>
        <w:tc>
          <w:tcPr>
            <w:tcW w:w="1492" w:type="dxa"/>
            <w:gridSpan w:val="2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f</w:t>
            </w:r>
          </w:p>
        </w:tc>
      </w:tr>
      <w:tr>
        <w:trPr>
          <w:trHeight w:val="280" w:hRule="atLeast"/>
        </w:trPr>
        <w:tc>
          <w:tcPr>
            <w:tcW w:w="215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Dušan Lalík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Spolu</w:t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x</w:t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3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0,00%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C. Ak je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jednotka 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celku pozn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mky obsahuj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aj tieto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nie je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celku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D. V poznámkach sa uvádzajú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ie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 o: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použitých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b) údajoch vykázaných na strane aktív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údajoch vykázaných na strane pasív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d) výnosoch,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nákladoch,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daniach z príjmov,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g) údajoch na podsúvahových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h) iných aktívach a iných pasívach,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i) spriaznených osobách,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j) skuto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nastali medzi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om, ku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mu sa zostavuje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a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 jej zostavenia,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zmien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pe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tokov.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E. Informácie o použitých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dach: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Splnenie predpokladu, že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bude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nepretržite pokra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bola zostaven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za predpokladu nepretr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trvania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Zmeny ú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sad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 zmeny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d,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vodu ich uplatnenia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ich vplyvu na hodnotu majetku,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zkov,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sledku hospod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renia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nezmenila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dy 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as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obdobia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Spôsob oce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ovania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jednotlivých zložiek majetku a záväzkov v 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lenen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1. Dlhodobý nehmotný, hmotný majetok , zásoby obstarané kúpou: obstarávacou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ou: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kladmi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3. Dlhodobý nehmotný, hmotný majetok, zásoby  obstarané iným spôsobom: reproduk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4. Poh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vky,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zky, p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very, rezervy 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5. Krátkodobý finan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majetok: nomin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rozl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enie na strane akt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vahy: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7. Prenajatý majetok a majetok obstaraný na základe zmluvy o kúpe prenajatej veci: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8. Splatná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 a odlo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tabs>
          <w:tab w:val="left" w:pos="1005" w:leader="none"/>
        </w:tabs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Tvorba odpisového plánu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pre dlhodobý majetok, pri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om sa uv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dza doba odpisovania, sadzby odpisov a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odpisov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met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dy pre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odpisy: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odpisuje majetok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lade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odpismi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tovanie podlimitn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technick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zhodnotenia do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21/3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kapitaliz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ciu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rokov do obstar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vacej ceny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34/1 PU;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35/2/h PU).</w:t>
      </w:r>
    </w:p>
    <w:p>
      <w:pPr>
        <w:pStyle w:val="Normal"/>
        <w:keepNext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Dotácie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poskytnuté na obstaranie majetku s uvedením zložky majetku a ich ocenenia: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neboli poskytnuté</w:t>
      </w:r>
    </w:p>
    <w:p>
      <w:pPr>
        <w:pStyle w:val="Normal"/>
        <w:keepNext/>
        <w:spacing w:lineRule="exact" w:line="240" w:before="240" w:after="6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f)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Informácie o oprave významných chýb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minulých 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nerozdelen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zisk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 alebo na neuhraden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stratu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rokov;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asne 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jednotka uvies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aj inform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cie o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oprave nev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msumy vplyvu na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sledok hospod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renia 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obdobia: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nebolo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oprave minul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3"/>
        </w:numPr>
        <w:tabs>
          <w:tab w:val="left" w:pos="1584" w:leader="none"/>
        </w:tabs>
        <w:spacing w:lineRule="exact" w:line="240" w:before="240" w:after="60"/>
        <w:ind w:left="720" w:right="0" w:hanging="1584"/>
        <w:jc w:val="center"/>
        <w:rPr>
          <w:rFonts w:ascii="Times New Roman" w:hAnsi="Times New Roman" w:eastAsia="Times New Roman" w:cs="Times New Roman"/>
          <w:b/>
          <w:b/>
          <w:color w:val="00000A"/>
          <w:spacing w:val="0"/>
          <w:sz w:val="28"/>
          <w:highlight w:val="white"/>
        </w:rPr>
      </w:pPr>
      <w:r>
        <w:rPr>
          <w:rFonts w:eastAsia="Times New Roman" w:cs="Times New Roman" w:ascii="Times New Roman" w:hAnsi="Times New Roman"/>
          <w:b/>
          <w:color w:val="00000A"/>
          <w:spacing w:val="0"/>
          <w:sz w:val="28"/>
          <w:shd w:fill="FFFFFF" w:val="clear"/>
        </w:rPr>
        <w:t>Údaje vykázané na strane aktív súvahy v celých €</w:t>
      </w:r>
    </w:p>
    <w:tbl>
      <w:tblPr>
        <w:tblW w:w="9150" w:type="dxa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26" w:type="dxa"/>
          <w:bottom w:w="0" w:type="dxa"/>
          <w:right w:w="51" w:type="dxa"/>
        </w:tblCellMar>
      </w:tblPr>
      <w:tblGrid>
        <w:gridCol w:w="1657"/>
        <w:gridCol w:w="2073"/>
        <w:gridCol w:w="1846"/>
        <w:gridCol w:w="1776"/>
        <w:gridCol w:w="1798"/>
      </w:tblGrid>
      <w:tr>
        <w:trPr>
          <w:trHeight w:val="1" w:hRule="atLeast"/>
        </w:trPr>
        <w:tc>
          <w:tcPr>
            <w:tcW w:w="16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aktív</w:t>
            </w:r>
          </w:p>
        </w:tc>
        <w:tc>
          <w:tcPr>
            <w:tcW w:w="569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9</w:t>
            </w:r>
          </w:p>
        </w:tc>
      </w:tr>
      <w:tr>
        <w:trPr>
          <w:trHeight w:val="1" w:hRule="atLeast"/>
        </w:trPr>
        <w:tc>
          <w:tcPr>
            <w:tcW w:w="16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brutto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korekcia</w:t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</w:rPr>
              <w:t>Spolu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23441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23441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26739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</w:rPr>
              <w:t>Neobežný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1102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1102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4241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Dlhod.HM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1102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1102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4241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Samost.HVa SHV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1102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1102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4241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22339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22339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22498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pohľ.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3404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3404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1612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Peniaze a účty v bankách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18935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18935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20886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/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shd w:fill="FFFFFF" w:val="clear"/>
        </w:rPr>
        <w:t>Údaje vykázané na strane pasív súvahy v celých €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color w:val="00000A"/>
          <w:spacing w:val="0"/>
          <w:sz w:val="28"/>
          <w:shd w:fill="FFFFFF" w:val="clear"/>
        </w:rPr>
      </w:pPr>
      <w:r>
        <w:rPr>
          <w:rFonts w:eastAsia="Liberation Serif" w:cs="Liberation Serif"/>
          <w:color w:val="00000A"/>
          <w:spacing w:val="0"/>
          <w:sz w:val="28"/>
          <w:shd w:fill="FFFFFF" w:val="clear"/>
        </w:rPr>
      </w:r>
    </w:p>
    <w:tbl>
      <w:tblPr>
        <w:tblW w:w="9015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29" w:type="dxa"/>
          <w:bottom w:w="0" w:type="dxa"/>
          <w:right w:w="54" w:type="dxa"/>
        </w:tblCellMar>
      </w:tblPr>
      <w:tblGrid>
        <w:gridCol w:w="3285"/>
        <w:gridCol w:w="3045"/>
        <w:gridCol w:w="2685"/>
      </w:tblGrid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pasív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9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Spolu VI a Záväzky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23441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26739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Vlastné imanie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23444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23854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Základné imanie (411)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VH za účt.obdobie po zdanení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-</w:t>
            </w: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410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6125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-</w:t>
            </w: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3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2885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Rezervy zákonné krátkodobé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-</w:t>
            </w: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3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2885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Záväzky z obchodného styku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982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0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0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highlight w:val="white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both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</w:r>
    </w:p>
    <w:p>
      <w:pPr>
        <w:pStyle w:val="Normal"/>
        <w:spacing w:lineRule="exact" w:line="240" w:before="12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Doplňujúce informácie k výkazu ziskov a strát</w:t>
      </w:r>
    </w:p>
    <w:p>
      <w:pPr>
        <w:pStyle w:val="Normal"/>
        <w:rPr/>
      </w:pPr>
      <w:r>
        <w:rPr/>
      </w:r>
    </w:p>
    <w:p>
      <w:pPr>
        <w:pStyle w:val="Normal"/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4" w:type="dxa"/>
        <w:jc w:val="left"/>
        <w:tblInd w:w="-51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37" w:type="dxa"/>
          <w:bottom w:w="0" w:type="dxa"/>
          <w:right w:w="70" w:type="dxa"/>
        </w:tblCellMar>
      </w:tblPr>
      <w:tblGrid>
        <w:gridCol w:w="2971"/>
        <w:gridCol w:w="2005"/>
        <w:gridCol w:w="1995"/>
        <w:gridCol w:w="2282"/>
      </w:tblGrid>
      <w:tr>
        <w:trPr>
          <w:trHeight w:val="853" w:hRule="atLeast"/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  <w:vAlign w:val="center"/>
          </w:tcPr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minulom</w:t>
            </w:r>
          </w:p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  <w:vAlign w:val="center"/>
          </w:tcPr>
          <w:p>
            <w:pPr>
              <w:pStyle w:val="Normal"/>
              <w:ind w:left="24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bežnom</w:t>
            </w:r>
          </w:p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  <w:vAlign w:val="center"/>
          </w:tcPr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Rozdiel bežné –</w:t>
            </w:r>
          </w:p>
          <w:p>
            <w:pPr>
              <w:pStyle w:val="Normal"/>
              <w:spacing w:before="0" w:after="200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minulé obdobie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Vlastné imanie </w:t>
            </w:r>
          </w:p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23854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23444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-</w:t>
            </w:r>
            <w:r>
              <w:rPr/>
              <w:t>410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Základné imanie (411)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5000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5000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Vlastné akcie /-/ (252)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Emisné ážio (412)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Ostatné kapitalové fondy (413)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Oceňovacie rozdiely (/+,-/414 a 415)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Zákonný rezervný fond (421)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656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656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Nedeliteľný fond (422)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Štatutárne a ostatné fondy (423,427,441)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Nerozdelený zisk minulých rokov (428)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12073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18198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6125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Neuhradená strata minulých rokov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  <w:t>(/-/429)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HV bežného účtovného obdobia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6125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-</w:t>
            </w:r>
            <w:r>
              <w:rPr>
                <w:bCs/>
              </w:rPr>
              <w:t>410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-</w:t>
            </w:r>
            <w:r>
              <w:rPr/>
              <w:t>6535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rPr>
          <w:b/>
          <w:b/>
          <w:bCs/>
          <w:u w:val="single"/>
        </w:rPr>
      </w:pPr>
      <w:r>
        <w:rPr/>
      </w:r>
    </w:p>
    <w:p>
      <w:pPr>
        <w:pStyle w:val="Normal"/>
        <w:rPr>
          <w:b/>
          <w:b/>
          <w:bCs/>
          <w:u w:val="single"/>
        </w:rPr>
      </w:pPr>
      <w:r>
        <w:rPr/>
      </w:r>
    </w:p>
    <w:p>
      <w:pPr>
        <w:pStyle w:val="Normal"/>
        <w:rPr>
          <w:b/>
          <w:b/>
          <w:bCs/>
          <w:u w:val="single"/>
        </w:rPr>
      </w:pPr>
      <w:r>
        <w:rPr/>
      </w:r>
    </w:p>
    <w:p>
      <w:pPr>
        <w:pStyle w:val="Normal"/>
        <w:rPr>
          <w:b/>
          <w:b/>
          <w:bCs/>
          <w:u w:val="single"/>
        </w:rPr>
      </w:pPr>
      <w:r>
        <w:rPr/>
      </w:r>
    </w:p>
    <w:p>
      <w:pPr>
        <w:pStyle w:val="Normal"/>
        <w:rPr/>
      </w:pPr>
      <w:r>
        <w:rPr>
          <w:b/>
          <w:bCs/>
          <w:u w:val="single"/>
        </w:rPr>
        <w:t>3. Údaje o pohľadávkach a záväzkoch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  <w:i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>
      <w:pPr>
        <w:pStyle w:val="Normal"/>
        <w:rPr>
          <w:bCs/>
          <w:i/>
          <w:i/>
          <w:iCs/>
          <w:sz w:val="20"/>
        </w:rPr>
      </w:pPr>
      <w:r>
        <w:rPr>
          <w:bCs/>
          <w:i/>
          <w:iCs/>
          <w:sz w:val="20"/>
        </w:rPr>
      </w:r>
    </w:p>
    <w:tbl>
      <w:tblPr>
        <w:tblW w:w="9254" w:type="dxa"/>
        <w:jc w:val="left"/>
        <w:tblInd w:w="-51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37" w:type="dxa"/>
          <w:bottom w:w="0" w:type="dxa"/>
          <w:right w:w="70" w:type="dxa"/>
        </w:tblCellMar>
      </w:tblPr>
      <w:tblGrid>
        <w:gridCol w:w="6569"/>
        <w:gridCol w:w="2684"/>
      </w:tblGrid>
      <w:tr>
        <w:trPr/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Pohľadávky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Pohľadávky po lehote splatnosti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422,46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po lehote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571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Výnosy spoločnosti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5" w:type="dxa"/>
        <w:jc w:val="left"/>
        <w:tblInd w:w="-51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37" w:type="dxa"/>
          <w:bottom w:w="0" w:type="dxa"/>
          <w:right w:w="70" w:type="dxa"/>
        </w:tblCellMar>
      </w:tblPr>
      <w:tblGrid>
        <w:gridCol w:w="4604"/>
        <w:gridCol w:w="2323"/>
        <w:gridCol w:w="2328"/>
      </w:tblGrid>
      <w:tr>
        <w:trPr>
          <w:trHeight w:val="240" w:hRule="atLeast"/>
          <w:cantSplit w:val="true"/>
        </w:trPr>
        <w:tc>
          <w:tcPr>
            <w:tcW w:w="4604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Druh výnosu</w:t>
            </w:r>
          </w:p>
        </w:tc>
        <w:tc>
          <w:tcPr>
            <w:tcW w:w="4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Hodnota v  EUR</w:t>
            </w:r>
          </w:p>
        </w:tc>
      </w:tr>
      <w:tr>
        <w:trPr>
          <w:trHeight w:val="315" w:hRule="atLeast"/>
          <w:cantSplit w:val="true"/>
        </w:trPr>
        <w:tc>
          <w:tcPr>
            <w:tcW w:w="4604" w:type="dxa"/>
            <w:vMerge w:val="continue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323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</w:t>
            </w:r>
            <w:r>
              <w:rPr>
                <w:b/>
              </w:rPr>
              <w:t>20</w:t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2019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>1. Výnosy z bežnej činnosti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5987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16989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1.1. Tržby za predaj tovaru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1.2. Tržby za predaj vl. Výrobkov a služieb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12000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1.4. Tržby z predaja DM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1.5. Ostatné prevádzkové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  <w:t>5987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  <w:t>4989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1.6. Finančné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 xml:space="preserve">2. Mimoriadne výnosy   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</w:tr>
    </w:tbl>
    <w:p>
      <w:pPr>
        <w:pStyle w:val="Normal"/>
        <w:rPr>
          <w:rFonts w:eastAsia="Arial Narrow"/>
          <w:bCs/>
        </w:rPr>
      </w:pPr>
      <w:r>
        <w:rPr>
          <w:rFonts w:eastAsia="Arial Narrow"/>
          <w:bCs/>
        </w:rPr>
        <w:t xml:space="preserve">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Náklady spoločnosti</w:t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W w:w="9316" w:type="dxa"/>
        <w:jc w:val="left"/>
        <w:tblInd w:w="-35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3173"/>
        <w:gridCol w:w="3054"/>
        <w:gridCol w:w="3089"/>
      </w:tblGrid>
      <w:tr>
        <w:trPr/>
        <w:tc>
          <w:tcPr>
            <w:tcW w:w="31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Druh nákladu</w:t>
            </w:r>
          </w:p>
        </w:tc>
        <w:tc>
          <w:tcPr>
            <w:tcW w:w="61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</w:tr>
      <w:tr>
        <w:trPr/>
        <w:tc>
          <w:tcPr>
            <w:tcW w:w="31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</w:t>
            </w:r>
            <w:r>
              <w:rPr>
                <w:b/>
                <w:bCs/>
              </w:rPr>
              <w:t>20</w:t>
            </w:r>
          </w:p>
        </w:tc>
        <w:tc>
          <w:tcPr>
            <w:tcW w:w="3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2019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Prevádzkové náklady</w:t>
            </w:r>
          </w:p>
        </w:tc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6145</w:t>
            </w:r>
          </w:p>
        </w:tc>
        <w:tc>
          <w:tcPr>
            <w:tcW w:w="3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10718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2679</w:t>
            </w:r>
          </w:p>
        </w:tc>
        <w:tc>
          <w:tcPr>
            <w:tcW w:w="3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2136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327</w:t>
            </w:r>
          </w:p>
        </w:tc>
        <w:tc>
          <w:tcPr>
            <w:tcW w:w="3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6106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Mzdové náklady</w:t>
            </w:r>
          </w:p>
        </w:tc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3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Finančné náklady</w:t>
            </w:r>
          </w:p>
        </w:tc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252</w:t>
            </w:r>
          </w:p>
        </w:tc>
        <w:tc>
          <w:tcPr>
            <w:tcW w:w="3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146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Mimoriadne náklady</w:t>
            </w:r>
          </w:p>
        </w:tc>
        <w:tc>
          <w:tcPr>
            <w:tcW w:w="30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0</w:t>
            </w:r>
          </w:p>
        </w:tc>
        <w:tc>
          <w:tcPr>
            <w:tcW w:w="3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0</w:t>
            </w:r>
          </w:p>
        </w:tc>
      </w:tr>
    </w:tbl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Rozdiely medzi hospodárskym výsledkom pred zdanením a 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hospodárskym výsledkom po zdanení</w:t>
      </w:r>
    </w:p>
    <w:p>
      <w:pPr>
        <w:pStyle w:val="Normal"/>
        <w:rPr/>
      </w:pPr>
      <w:r>
        <w:rPr>
          <w:rFonts w:eastAsia="Arial Narrow"/>
        </w:rPr>
        <w:t xml:space="preserve">     </w:t>
      </w:r>
      <w:r>
        <w:rPr/>
        <w:t>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rPr/>
        <w:t xml:space="preserve">osôb podľa zákona č. 595/2006 Z. z. o dani z príjmov v znení neskorších predpisov </w:t>
      </w:r>
    </w:p>
    <w:p>
      <w:pPr>
        <w:pStyle w:val="Normal"/>
        <w:rPr>
          <w:sz w:val="18"/>
        </w:rPr>
      </w:pPr>
      <w:r>
        <w:rPr>
          <w:sz w:val="18"/>
        </w:rPr>
      </w:r>
    </w:p>
    <w:tbl>
      <w:tblPr>
        <w:tblW w:w="9115" w:type="dxa"/>
        <w:jc w:val="left"/>
        <w:tblInd w:w="-51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37" w:type="dxa"/>
          <w:bottom w:w="0" w:type="dxa"/>
          <w:right w:w="70" w:type="dxa"/>
        </w:tblCellMar>
      </w:tblPr>
      <w:tblGrid>
        <w:gridCol w:w="6766"/>
        <w:gridCol w:w="1257"/>
        <w:gridCol w:w="1092"/>
      </w:tblGrid>
      <w:tr>
        <w:trPr>
          <w:trHeight w:val="88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</w:t>
            </w:r>
            <w:r>
              <w:rPr>
                <w:b/>
              </w:rPr>
              <w:t>20</w:t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 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r.2019</w:t>
            </w:r>
          </w:p>
        </w:tc>
      </w:tr>
      <w:tr>
        <w:trPr>
          <w:trHeight w:val="944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adpis7"/>
              <w:numPr>
                <w:ilvl w:val="6"/>
                <w:numId w:val="1"/>
              </w:numPr>
              <w:spacing w:lineRule="auto" w:line="240" w:before="240" w:after="60"/>
              <w:rPr>
                <w:rFonts w:ascii="Times New Roman" w:hAnsi="Times New Roman" w:cs="Times New Roman"/>
                <w:sz w:val="24"/>
              </w:rPr>
            </w:pPr>
            <w:r>
              <w:rPr>
                <w:rFonts w:cs="Times New Roman" w:ascii="Times New Roman" w:hAnsi="Times New Roman"/>
                <w:sz w:val="24"/>
              </w:rPr>
              <w:t xml:space="preserve">Hospodársky výsledok pred zdanením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-</w:t>
            </w:r>
            <w:r>
              <w:rPr>
                <w:b/>
              </w:rPr>
              <w:t>410</w:t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6125</w:t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sumy, ktoré neoprávnene skrátili príjmy vrátane rozdielu podľa §17 odst. 5  zákona a sumy nepeňažných plnení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 podľa § 17 ods. 21 a § 52 ods. 12 zákona prijaté v zdaňovacom období, za ktoré sa daňové priznanie podáva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Výdavky (náklady), ktoré nie sú daňovými výdavkami podľa § 21 zákona  alebo ktoré boli vynaložené v rozpore s § 19 zákona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Sumy podľa § 17 ods. 21 a § 19 ods. 4 zákona, ktoré neboli zaplatené do konca zdaňovacieho obdobia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Rozdiel, o ktorý odpisy hmotného majetku uplatnené v účtovníctve prevyšujú daňové odpisy tohto majetku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Rozdiely z precenenia derivátov a cenných papierov (§ 52. ods. 39 a 44)  a kurzové rozdiely vyplývajúce z uplatnenia § 17 ods. 17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1065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Úprava (zvýšenie) základu dane v prípade zrušenia daňovníka likvidáciou,  pri vyhlásení konkurzu (§ 17 ods. 8 zákona) alebo zrušenia bez likvidácie  (§ 17 ods. 13 zákona)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Príjmy daňovníkov nezaložených alebo nezriadených na podnikanie (§ 12  ods. 3 zákona), ktoré sú predmetom dane 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Úhrn obstarávacích cien cenných papierov nezahrňovaných do daňových výdavkov podľa podmienok § 19 ods. 2 písm. f) zákona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Obstarávacia cena obchodného podielu a zmenky prevyšujúca príjem   [§ 19 ods. 2 písm. g) zákona]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rPr/>
            </w:pPr>
            <w:r>
              <w:rPr/>
              <w:t xml:space="preserve">+ Spotreba pohonných látok zaúčtovaná v nákladoch presahujúca sumu určenú    na základe spotreby pohonných látok vypočítanej podľa §19 ods.2 písm. l)    </w:t>
            </w:r>
          </w:p>
          <w:p>
            <w:pPr>
              <w:pStyle w:val="Normal"/>
              <w:spacing w:before="0" w:after="200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Príspevky združeniam právnických osôb  nad rámec § 19 ods. 3 písm. n)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 medzi hodnotou alebo cenou obstarania pohľadávky a nižším príjmom z prijatej úhrady [§ 19 ods. 3 písm. h)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Odplaty (provízie) za vymáhanie pohľadávky presahujúce príjem z tejto  pohľadávky [§ 19 ods. 3 písm. p)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rPr/>
            </w:pPr>
            <w:r>
              <w:rPr/>
              <w:t>+ Výdavky na reprezentáciu s výnimkou reklamných predmetov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podľa § 21 ods. 1 písm. h)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Manká a škody presahujúce prijaté náhrady   [§ 21 ods. 2 písm. e)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tbl>
      <w:tblPr>
        <w:tblW w:w="9247" w:type="dxa"/>
        <w:jc w:val="left"/>
        <w:tblInd w:w="-43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37" w:type="dxa"/>
          <w:bottom w:w="0" w:type="dxa"/>
          <w:right w:w="70" w:type="dxa"/>
        </w:tblCellMar>
      </w:tblPr>
      <w:tblGrid>
        <w:gridCol w:w="5864"/>
        <w:gridCol w:w="1665"/>
        <w:gridCol w:w="1718"/>
      </w:tblGrid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Poskytnuté dary vrátane zostatkovej ceny trvale vyradeného majetku darovaním [§ 21 ods. 2 písm. f) zákona]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      </w:t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rPr/>
            </w:pPr>
            <w:r>
              <w:rPr/>
              <w:t xml:space="preserve">+ Tvorba opravných položiek neuznaná za daňový výdavok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[§ 21 ods. 2 písm. j) zákona]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Tvorba rezerv neuznaná za daňový výdavok     podľa § 21 ods. 2 písm. j)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Daňovo neuznané odpisy pri nesplnení podmienok finančného prenájmu  (rozdiel medzi odpismi uplatnenými podľa § 26 ods. 8 zákona a odpismi podľa § 27 alebo § 28 zákona za celú dobu trvania finančného prenájmu)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Výdavky vynaložené na príjmy oslobodené od dane alebo nezahŕňané do základu dane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Ostatné položky, ktoré nie sú daňovými výdavkami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rPr/>
            </w:pPr>
            <w:r>
              <w:rPr/>
              <w:t xml:space="preserve">- Príjmy, ktoré nie sú predmetom dane podľa § 12 ods.7 zákona  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 Príjmy, ktoré nie sú predmetom dane u daňovníkov nezaložených alebo  nezriadených na podnikanie (§ 12 ods. 3 zákona)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oslobodené od dane podľa §13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nezahrňované do základu dane podľa § 17 ods. 3 písm. a) zákona,   rozdiely z precenenia derivátov a cenných papierov (§ 52 ods. 39 a 44)  a kurzové rozdiely vyplývajúce z uplatnenia § 17 ods. 17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Rozdiel, o ktorý daňové odpisy hmotného majetku prevyšujú odpisy tohto  majetku uplatnené v účtovníctve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Sumy podľa § 17 ods.21 zákona, ak neboli prijaté v zdaňovacom období,  za ktoré sa daňové priznanie podáva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Sumy podľa § 17 ods.21, § 19 ods 4 a § 52 ods. 12 zákona, ktoré boli  zaplatené v zdaňovacom období 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Úprava (zníženie) základu dane v prípade zrušenia daňovníka likvidáciou,    pri vyhlásení konkurzu (§17 ods. 8 zákona) alebo zrušenia bez likvidácie    (§17 ods. 13 zákona) 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Základ dane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>410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6125</w:t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37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Daňová povinnosť na úhradu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5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0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5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1286,27</w:t>
            </w:r>
          </w:p>
        </w:tc>
      </w:tr>
    </w:tbl>
    <w:p>
      <w:pPr>
        <w:pStyle w:val="Normal"/>
        <w:rPr>
          <w:sz w:val="18"/>
        </w:rPr>
      </w:pPr>
      <w:r>
        <w:rPr>
          <w:sz w:val="18"/>
        </w:rPr>
      </w:r>
    </w:p>
    <w:p>
      <w:pPr>
        <w:pStyle w:val="Normal"/>
        <w:rPr/>
      </w:pPr>
      <w:r>
        <w:rPr/>
        <w:t>Spoločnosti vykázala k 31.12.20</w:t>
      </w:r>
      <w:r>
        <w:rPr/>
        <w:t>20</w:t>
      </w:r>
      <w:r>
        <w:rPr/>
        <w:t xml:space="preserve"> hospodársky výsledok zisk po zdaneni </w:t>
      </w:r>
      <w:r>
        <w:rPr/>
        <w:t>–410 e</w:t>
      </w:r>
      <w:r>
        <w:rPr/>
        <w:t>ur.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zmysle zákona o dani z príjmov spoločnosti nevzniká povinnosť platiť preddavky v roku 2020.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Spoločnosť prekladá zostavenú účtovnú závierku k </w:t>
      </w:r>
      <w:r>
        <w:rPr/>
        <w:t>8</w:t>
      </w:r>
      <w:r>
        <w:rPr/>
        <w:t>.3.202</w:t>
      </w:r>
      <w:r>
        <w:rPr/>
        <w:t>1</w:t>
      </w:r>
      <w:r>
        <w:rPr/>
        <w:t>.</w:t>
      </w:r>
    </w:p>
    <w:p>
      <w:pPr>
        <w:pStyle w:val="Normal"/>
        <w:rPr/>
      </w:pPr>
      <w:bookmarkStart w:id="1" w:name="__UnoMark__1384_1747194022"/>
      <w:bookmarkStart w:id="2" w:name="__UnoMark__1384_1747194022"/>
      <w:bookmarkEnd w:id="2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exact" w:line="240" w:before="0" w:after="200"/>
        <w:ind w:left="0" w:right="0" w:hanging="0"/>
        <w:jc w:val="both"/>
        <w:rPr/>
      </w:pPr>
      <w:r>
        <w:rPr>
          <w:bCs/>
        </w:rPr>
        <w:tab/>
        <w:tab/>
        <w:tab/>
        <w:tab/>
        <w:tab/>
        <w:tab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paragraph" w:styleId="Nadpis7">
    <w:name w:val="Nadpis 7"/>
    <w:basedOn w:val="Normal"/>
    <w:pPr>
      <w:spacing w:lineRule="auto" w:line="240" w:before="240" w:after="60"/>
      <w:outlineLvl w:val="6"/>
    </w:pPr>
    <w:rPr>
      <w:szCs w:val="24"/>
    </w:rPr>
  </w:style>
  <w:style w:type="paragraph" w:styleId="Nadpis9">
    <w:name w:val="Nadpis 9"/>
    <w:basedOn w:val="Normal"/>
    <w:pPr>
      <w:spacing w:lineRule="auto" w:line="240" w:before="240" w:after="60"/>
      <w:outlineLvl w:val="8"/>
    </w:pPr>
    <w:rPr>
      <w:rFonts w:ascii="Cambria" w:hAnsi="Cambria" w:cs="Cambria"/>
      <w:szCs w:val="22"/>
    </w:rPr>
  </w:style>
  <w:style w:type="character" w:styleId="ListLabel1">
    <w:name w:val="ListLabel 1"/>
    <w:qFormat/>
    <w:rPr>
      <w:rFonts w:ascii="Times New Roman" w:hAnsi="Times New Roman" w:cs="Symbol"/>
      <w:b/>
      <w:sz w:val="28"/>
    </w:rPr>
  </w:style>
  <w:style w:type="character" w:styleId="ListLabel2">
    <w:name w:val="ListLabel 2"/>
    <w:qFormat/>
    <w:rPr>
      <w:rFonts w:ascii="Times New Roman" w:hAnsi="Times New Roman" w:cs="Symbol"/>
      <w:b/>
      <w:sz w:val="28"/>
    </w:rPr>
  </w:style>
  <w:style w:type="character" w:styleId="ListLabel3">
    <w:name w:val="ListLabel 3"/>
    <w:qFormat/>
    <w:rPr>
      <w:rFonts w:ascii="Times New Roman" w:hAnsi="Times New Roman" w:cs="Symbol"/>
      <w:b/>
      <w:sz w:val="28"/>
    </w:rPr>
  </w:style>
  <w:style w:type="character" w:styleId="ListLabel4">
    <w:name w:val="ListLabel 4"/>
    <w:qFormat/>
    <w:rPr>
      <w:rFonts w:ascii="Times New Roman" w:hAnsi="Times New Roman" w:cs="Symbol"/>
      <w:b/>
      <w:sz w:val="28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  <w:style w:type="paragraph" w:styleId="Pismenka">
    <w:name w:val="Pismenka"/>
    <w:basedOn w:val="Telotextu"/>
    <w:qFormat/>
    <w:pPr>
      <w:tabs>
        <w:tab w:val="left" w:pos="426" w:leader="none"/>
      </w:tabs>
      <w:ind w:left="426" w:right="0" w:hanging="426"/>
    </w:pPr>
    <w:rPr>
      <w:bCs w:val="false"/>
      <w:sz w:val="18"/>
      <w:szCs w:val="20"/>
      <w:lang w:eastAsia="en-US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59</TotalTime>
  <Application>LibreOffice/5.0.0.5$Windows_x86 LibreOffice_project/1b1a90865e348b492231e1c451437d7a15bb262b</Application>
  <Paragraphs>363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sk-SK</dc:language>
  <dcterms:modified xsi:type="dcterms:W3CDTF">2021-03-08T13:18:21Z</dcterms:modified>
  <cp:revision>7</cp:revision>
</cp:coreProperties>
</file>