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tbl>
      <w:tblPr>
        <w:tblInd w:w="38" w:type="dxa"/>
      </w:tblPr>
      <w:tblGrid>
        <w:gridCol w:w="2560"/>
        <w:gridCol w:w="2098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07"/>
        <w:gridCol w:w="307"/>
        <w:gridCol w:w="307"/>
        <w:gridCol w:w="307"/>
      </w:tblGrid>
      <w:tr>
        <w:trPr>
          <w:trHeight w:val="1" w:hRule="atLeast"/>
          <w:jc w:val="left"/>
        </w:trPr>
        <w:tc>
          <w:tcPr>
            <w:tcW w:w="2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(Ú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  NUJ 3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01)</w:t>
            </w:r>
          </w:p>
        </w:tc>
        <w:tc>
          <w:tcPr>
            <w:tcW w:w="20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 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/SID</w:t>
            </w: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Poznámky k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čtovnej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ávierke k 31. decembru 20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20</w:t>
      </w:r>
    </w:p>
    <w:p>
      <w:pPr>
        <w:keepNext w:val="true"/>
        <w:numPr>
          <w:ilvl w:val="0"/>
          <w:numId w:val="7"/>
        </w:numPr>
        <w:tabs>
          <w:tab w:val="left" w:pos="360" w:leader="none"/>
        </w:tabs>
        <w:spacing w:before="120" w:after="60" w:line="240"/>
        <w:ind w:right="0" w:left="357" w:hanging="357"/>
        <w:jc w:val="left"/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Čl. I. Všeobecn</w:t>
      </w:r>
      <w:r>
        <w:rPr>
          <w:rFonts w:ascii="Times New Roman" w:hAnsi="Times New Roman" w:cs="Times New Roman" w:eastAsia="Times New Roman"/>
          <w:b/>
          <w:caps w:val="true"/>
          <w:color w:val="auto"/>
          <w:spacing w:val="0"/>
          <w:position w:val="0"/>
          <w:sz w:val="22"/>
          <w:shd w:fill="auto" w:val="clear"/>
        </w:rPr>
        <w:t xml:space="preserve">é údaje</w:t>
      </w:r>
    </w:p>
    <w:p>
      <w:pPr>
        <w:keepNext w:val="true"/>
        <w:numPr>
          <w:ilvl w:val="0"/>
          <w:numId w:val="8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Obchodné meno a sídlo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čnosti: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AGDEM, s.r.o. v likvidácii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Radlinského 1729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026 01 Dolný Kubín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ČO: 36383350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DI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Č: 2021409236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čnosť AGDEM, s r. o. (ďalej len Spoločnosť) bola do obchodn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registra bola zapísaná 7. decembra  1998 (Obchodný register Okresného súdu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Žilina,  oddiel s.r.o., vložka 11412/L).Od 3.5.2001 je spoločnosť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likvidácii.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0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2a.  Hlavnými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činnosťami Spoločnosti s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ú: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- kúpa tovaru 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čely jeho predaja konečn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ému spotrebite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ľovi (maloobchod), alebo in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prevádzkovate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ľom živnosti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 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ľkoobchod)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-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športov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 </w:t>
      </w:r>
    </w:p>
    <w:p>
      <w:pPr>
        <w:keepNext w:val="true"/>
        <w:numPr>
          <w:ilvl w:val="0"/>
          <w:numId w:val="12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2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2.b    Informácie o spolo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íkoch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Štrukt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úra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íkov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do 31. marca 2021 bola tak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áto: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Konate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 a likvid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átor</w:t>
        <w:tab/>
        <w:tab/>
        <w:t xml:space="preserve">Ing. Tibor Demeter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                        </w:t>
      </w:r>
    </w:p>
    <w:p>
      <w:pPr>
        <w:keepNext w:val="true"/>
        <w:numPr>
          <w:ilvl w:val="0"/>
          <w:numId w:val="15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3.      Priemerný po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čet zamestnancov : 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II.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ÁCIE O PRIJATÝCH POSTUPOCH</w:t>
      </w:r>
    </w:p>
    <w:p>
      <w:pPr>
        <w:keepNext w:val="true"/>
        <w:numPr>
          <w:ilvl w:val="0"/>
          <w:numId w:val="17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Právny dôvod na zostavenie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ávierky</w:t>
      </w:r>
    </w:p>
    <w:p>
      <w:pPr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ab/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k 31. decembru 2017 je zostaven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ako riadna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§ 17 ods. 6 zákona NR SR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č. 431/2002 Z.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z. 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íctve, za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obdobie od 01. decembra 20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20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do 31. decembra 20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20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.</w:t>
      </w:r>
    </w:p>
    <w:p>
      <w:pPr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19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1.a   Dátum schválenia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ávierky za predchádzajúce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 obdobie</w:t>
      </w:r>
    </w:p>
    <w:p>
      <w:pPr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k 31. decembru 2019, za predch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ádzajúce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obdobie, bola schválená valným zhroma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žden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ím</w:t>
      </w:r>
    </w:p>
    <w:p>
      <w:pPr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dňa 6.3.2020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22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Informácie o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ých zásadách a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ých metódach 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(a)</w:t>
        <w:tab/>
        <w:t xml:space="preserve">Východiská pre zostavenie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ávierky</w:t>
      </w:r>
    </w:p>
    <w:p>
      <w:pPr>
        <w:spacing w:before="0" w:after="0" w:line="240"/>
        <w:ind w:right="0" w:left="45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závierka bola zostavená za predpokladu nepretr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trvania Spolo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čnosti (going concern).</w:t>
      </w:r>
    </w:p>
    <w:p>
      <w:pPr>
        <w:spacing w:before="0" w:after="0" w:line="240"/>
        <w:ind w:right="0" w:left="45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metódy 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zásady boli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čtovnou jednotkou konzistentne aplikovan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é. </w:t>
      </w:r>
    </w:p>
    <w:p>
      <w:pPr>
        <w:spacing w:before="0" w:after="0" w:line="240"/>
        <w:ind w:right="0" w:left="45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(b)</w:t>
        <w:tab/>
        <w:t xml:space="preserve"> Zásoby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Zásoby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žšou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nasledovných hodnôt: obstarávacou cenou (nakupované zásoby) / vlastnými nákladmi (zásoby vytvorené vlastnou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činnosťou) alebo čistou realizačnou hodnotou.Obstar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ávacia cena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ŕňa cenu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ásob a náklady súvisiace s obstaraním (clo, prepravu, poistné, provízie, skonto a pod.). Úroky z cudzích zdrojov nie sú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časťou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ávacej ceny. Nakupované zásoby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vá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aritmetickým priemerom z obstarávacích cien.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tbl>
      <w:tblPr>
        <w:tblInd w:w="38" w:type="dxa"/>
      </w:tblPr>
      <w:tblGrid>
        <w:gridCol w:w="2560"/>
        <w:gridCol w:w="2098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07"/>
        <w:gridCol w:w="307"/>
        <w:gridCol w:w="307"/>
        <w:gridCol w:w="307"/>
      </w:tblGrid>
      <w:tr>
        <w:trPr>
          <w:trHeight w:val="1" w:hRule="atLeast"/>
          <w:jc w:val="left"/>
        </w:trPr>
        <w:tc>
          <w:tcPr>
            <w:tcW w:w="2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(Ú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  NUJ 3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01)</w:t>
            </w:r>
          </w:p>
        </w:tc>
        <w:tc>
          <w:tcPr>
            <w:tcW w:w="20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 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/SID</w:t>
            </w: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(c)</w:t>
        <w:tab/>
        <w:t xml:space="preserve">Cenné papiere a podiely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Cenné papiere a podiely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obstarávacími cenami, vrátane nákladov súvisiacich s obstaraním. Od obstarávacej ceny je odpo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ítané zní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ženie hodnoty cenn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papierov a podielov.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(f)</w:t>
        <w:tab/>
        <w:t xml:space="preserve">Poh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ávky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pri ich vzniku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ich menovitou hodnotou; postúpené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a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 nadobudnuté vkladom do základného imania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obstarávacou cenou, vrátane nákladov súvisiacich s obstaraním. Toto ocenenie sa zni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žuje o pochybn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a nevymo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žiteľn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poh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ávky.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(g)</w:t>
        <w:tab/>
        <w:t xml:space="preserve">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 prostriedky a ceniny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ňažn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prostriedky a ceniny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ich menovitou hodnotou.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(h)</w:t>
        <w:tab/>
        <w:t xml:space="preserve">Náklady budúcich období a príjmy budúcich období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Náklady budúcich období a príjmy budúcich období sa vykazujú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ške,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 potrebná na dodr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žanie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ásady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úvislosti s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obdobím.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(i)</w:t>
        <w:tab/>
        <w:t xml:space="preserve">Rezervy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Rezervy sú záväzky s neur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vymedzením alebo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škou; tvoria sa na krytie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ámych rizík alebo strát z podnikania.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sa v 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čak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ávanej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áväzku.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(j)</w:t>
        <w:tab/>
        <w:t xml:space="preserve">Záväzky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Záväzky pri ich vzniku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menovitou hodnotou. Záväzky pri ich prevzatí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obstarávacou cenou. Ak sa pri inventarizácii zistí,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 suma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áväzkov je iná ako ich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ška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íctve, uvedú sa záväzky 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íctve a v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ávierke v tomto zistenom ocenení.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(k)</w:t>
        <w:tab/>
        <w:t xml:space="preserve">Výdavky budúcich období a výnosy budúcich období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Výdavky budúcich období a výnosy budúcich období sa vykazujú vo vý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ške, ktor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 je potrebná na dodr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žanie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ásady vecnej 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časovej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úvislosti s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obdobím.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 lízing (s kúpnou opciou; bez kúpnej opcie je pova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žovan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 za operatívny lízing). Majetok prenajatý na základe zmluvy uzatvorenej do 31. decembra 2003 vykazuje ako svoj majetok jeho vlastník, nie nájomca. Majetok prenajatý na základe zmluvy uzatvorenej 1. januára 2004 a neskôr vykazuje ako svoj majetok jeho nájomca, nie vlastník.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 (l)</w:t>
        <w:tab/>
        <w:t xml:space="preserve">Majetok a záväzky zabezpe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 derivátmi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Majetok a záväzky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derivátmi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reálnou hodnotou. Zmeny reálnych hodnôt majetku a záväzkov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ých derivátmi sa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bez vplyvu na výsledok hospodárenia, priamo do vlastného imania. 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(m)</w:t>
        <w:tab/>
        <w:t xml:space="preserve">Cudzia mena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Majetok a záväzky vyjadrené v cudzej mene sa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ítavajú na slovenskú menu kurzom ur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 v kurzovom lístku Národnej banky Slovenska platným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 uskutočnenia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ého prípadu a v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ávierke kurzom platným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ňu, ku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ktorému sa zostavuje, a 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sa s vplyvom na výsledok hospodárenia.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(q)</w:t>
        <w:tab/>
        <w:t xml:space="preserve">Výnosy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Tr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žby za 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výkony a tovar neobsahujú da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 z pridanej hodnoty. 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tie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 zn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o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ľavy a zr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žky (rabaty, bonusy, skont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á, dobropisy a pod.) bez oh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ľadu na to, či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ákazník mal vopred na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ľavu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árok, alebo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 ide 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dodato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čne uznan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ľavu.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3.      Spôsob zostavenia odpisového plánu</w:t>
      </w:r>
    </w:p>
    <w:p>
      <w:pPr>
        <w:tabs>
          <w:tab w:val="left" w:pos="426" w:leader="none"/>
        </w:tabs>
        <w:spacing w:before="0" w:after="0" w:line="240"/>
        <w:ind w:right="0" w:left="426" w:hanging="426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         </w:t>
        <w:tab/>
        <w:t xml:space="preserve">Dlhodobý nehmotný a dlhodobý hmotný majetok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Dlhodobý majetok nakupovaný sa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ňuje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ávacou cenou, ktorá zah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ŕňa cenu obstarania a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áklady súvisiace s obstaraním (clo, prepravu, montá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ž, poistn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a pod.). Sú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časťou obstar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ávacej ceny od 1. januára 2003 nie sú úroky z cudzích zdrojov ani realizované kurzové rozdiely, ktoré vznikli do momentu uvedenia dlhodobého majetku do 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ívania.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Dlhodobý majetok vytvorený vlastnou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činnosťou sa oceňuje vlastn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ými nákladmi. Vlastnými nákladmi sú v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šetky priame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áklady vynalo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é na výrobu alebo inú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 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 nepriame náklady, ktoré sa vz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ťahuj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 na výrobu alebo inú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činnosť.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Odpisy dlhodobého hmotného majetku sú stanovené vychádzajúc z predpokladanej doby jeho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 a predpokladaného priebehu jeho opotrebenia. Odpisova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ť sa zač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ína prvým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ňom mesiaca nasleduj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úceho po uvedení dlhodobého majetku do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ívania. Drobný dlhodobý hmotný majetok, ktorého obstarávacia cena (resp. vlastné 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náklady) je 1750 EUR a ni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žšia, sa za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čtuje do 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ákladov pri uvedení do 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ívania. Pozemky sa neodpisujú. Predpokladaná doba pou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ívania, metóda odpisovania a odpisová sadzba sú uvedené v nasledujúcej tabu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ľke:</w:t>
      </w: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tbl>
      <w:tblPr>
        <w:tblInd w:w="456" w:type="dxa"/>
      </w:tblPr>
      <w:tblGrid>
        <w:gridCol w:w="2927"/>
        <w:gridCol w:w="419"/>
        <w:gridCol w:w="1688"/>
        <w:gridCol w:w="1239"/>
        <w:gridCol w:w="1684"/>
        <w:gridCol w:w="1396"/>
        <w:gridCol w:w="1679"/>
      </w:tblGrid>
      <w:tr>
        <w:trPr>
          <w:trHeight w:val="250" w:hRule="auto"/>
          <w:jc w:val="left"/>
        </w:trPr>
        <w:tc>
          <w:tcPr>
            <w:tcW w:w="334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Predpokladaná</w:t>
            </w:r>
          </w:p>
        </w:tc>
        <w:tc>
          <w:tcPr>
            <w:tcW w:w="123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Metóda</w:t>
            </w:r>
          </w:p>
        </w:tc>
        <w:tc>
          <w:tcPr>
            <w:tcW w:w="139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Ro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á odpisová</w:t>
            </w:r>
          </w:p>
        </w:tc>
      </w:tr>
      <w:tr>
        <w:trPr>
          <w:trHeight w:val="250" w:hRule="auto"/>
          <w:jc w:val="left"/>
        </w:trPr>
        <w:tc>
          <w:tcPr>
            <w:tcW w:w="29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doba pou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ž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ívania</w:t>
            </w:r>
          </w:p>
        </w:tc>
        <w:tc>
          <w:tcPr>
            <w:tcW w:w="123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odpisovania</w:t>
            </w:r>
          </w:p>
        </w:tc>
        <w:tc>
          <w:tcPr>
            <w:tcW w:w="13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sadzba v %</w:t>
            </w:r>
          </w:p>
        </w:tc>
      </w:tr>
      <w:tr>
        <w:trPr>
          <w:trHeight w:val="250" w:hRule="auto"/>
          <w:jc w:val="left"/>
        </w:trPr>
        <w:tc>
          <w:tcPr>
            <w:tcW w:w="3346" w:type="dxa"/>
            <w:gridSpan w:val="2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Stavby</w:t>
            </w:r>
          </w:p>
        </w:tc>
        <w:tc>
          <w:tcPr>
            <w:tcW w:w="1688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20</w:t>
            </w:r>
          </w:p>
        </w:tc>
        <w:tc>
          <w:tcPr>
            <w:tcW w:w="1239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lineárna</w:t>
            </w:r>
          </w:p>
        </w:tc>
        <w:tc>
          <w:tcPr>
            <w:tcW w:w="1396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5</w:t>
            </w:r>
          </w:p>
        </w:tc>
      </w:tr>
      <w:tr>
        <w:trPr>
          <w:trHeight w:val="250" w:hRule="auto"/>
          <w:jc w:val="left"/>
        </w:trPr>
        <w:tc>
          <w:tcPr>
            <w:tcW w:w="334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Stroje, prístroje a zariadenia</w:t>
            </w:r>
          </w:p>
        </w:tc>
        <w:tc>
          <w:tcPr>
            <w:tcW w:w="168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4 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ž 6</w:t>
            </w:r>
          </w:p>
        </w:tc>
        <w:tc>
          <w:tcPr>
            <w:tcW w:w="123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lineárna</w:t>
            </w:r>
          </w:p>
        </w:tc>
        <w:tc>
          <w:tcPr>
            <w:tcW w:w="139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16,6 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8"/>
                <w:shd w:fill="auto" w:val="clear"/>
              </w:rPr>
              <w:t xml:space="preserve">ž 25</w:t>
            </w:r>
          </w:p>
        </w:tc>
      </w:tr>
    </w:tbl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tbl>
      <w:tblPr>
        <w:tblInd w:w="38" w:type="dxa"/>
      </w:tblPr>
      <w:tblGrid>
        <w:gridCol w:w="2560"/>
        <w:gridCol w:w="2098"/>
        <w:gridCol w:w="340"/>
        <w:gridCol w:w="340"/>
        <w:gridCol w:w="340"/>
        <w:gridCol w:w="340"/>
        <w:gridCol w:w="340"/>
        <w:gridCol w:w="340"/>
        <w:gridCol w:w="340"/>
        <w:gridCol w:w="340"/>
        <w:gridCol w:w="644"/>
        <w:gridCol w:w="307"/>
        <w:gridCol w:w="307"/>
        <w:gridCol w:w="307"/>
        <w:gridCol w:w="307"/>
      </w:tblGrid>
      <w:tr>
        <w:trPr>
          <w:trHeight w:val="1" w:hRule="atLeast"/>
          <w:jc w:val="left"/>
        </w:trPr>
        <w:tc>
          <w:tcPr>
            <w:tcW w:w="25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(Ú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  NUJ 3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 01)</w:t>
            </w:r>
          </w:p>
        </w:tc>
        <w:tc>
          <w:tcPr>
            <w:tcW w:w="209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true"/>
              <w:spacing w:before="0" w:after="0" w:line="240"/>
              <w:ind w:right="0" w:left="0" w:firstLine="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 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6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/SID</w:t>
            </w: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tbl>
      <w:tblPr>
        <w:tblInd w:w="456" w:type="dxa"/>
      </w:tblPr>
      <w:tblGrid>
        <w:gridCol w:w="3346"/>
        <w:gridCol w:w="1688"/>
        <w:gridCol w:w="1446"/>
        <w:gridCol w:w="1684"/>
        <w:gridCol w:w="1663"/>
        <w:gridCol w:w="1679"/>
      </w:tblGrid>
      <w:tr>
        <w:trPr>
          <w:trHeight w:val="250" w:hRule="auto"/>
          <w:jc w:val="left"/>
        </w:trPr>
        <w:tc>
          <w:tcPr>
            <w:tcW w:w="334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8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7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numPr>
          <w:ilvl w:val="0"/>
          <w:numId w:val="87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Zmeny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ých zásad a metód v danom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í neboli prevedené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keepNext w:val="true"/>
        <w:numPr>
          <w:ilvl w:val="0"/>
          <w:numId w:val="89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Dotácie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čtovnej jednotke neboli pridelen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é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1"/>
        </w:numPr>
        <w:tabs>
          <w:tab w:val="left" w:pos="360" w:leader="none"/>
        </w:tabs>
        <w:spacing w:before="0" w:after="0" w:line="240"/>
        <w:ind w:right="0" w:left="360" w:hanging="36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Opravy chýb minulých období v danom ú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  <w:t xml:space="preserve">í neboli prevedené.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III.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 SÚVAHU A VÝKAZ ZISKOV A STRÁT</w:t>
      </w:r>
    </w:p>
    <w:p>
      <w:pPr>
        <w:numPr>
          <w:ilvl w:val="0"/>
          <w:numId w:val="93"/>
        </w:numPr>
        <w:tabs>
          <w:tab w:val="left" w:pos="720" w:leader="none"/>
          <w:tab w:val="left" w:pos="0" w:leader="none"/>
        </w:tabs>
        <w:spacing w:before="0" w:after="0" w:line="240"/>
        <w:ind w:right="0" w:left="720" w:hanging="72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Nebol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</w:t>
      </w:r>
    </w:p>
    <w:p>
      <w:pPr>
        <w:numPr>
          <w:ilvl w:val="0"/>
          <w:numId w:val="93"/>
        </w:numPr>
        <w:tabs>
          <w:tab w:val="left" w:pos="720" w:leader="none"/>
          <w:tab w:val="left" w:pos="0" w:leader="none"/>
        </w:tabs>
        <w:spacing w:before="0" w:after="0" w:line="240"/>
        <w:ind w:right="0" w:left="720" w:hanging="72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záväzkoch: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3.           O akciách vo firme nebolo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é.</w:t>
      </w:r>
    </w:p>
    <w:p>
      <w:pPr>
        <w:spacing w:before="0" w:after="200" w:line="276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4.            Informácie o 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jednotky :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 zárukách, pô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ách a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í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ých prostriedkov na súkromné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čely nebolo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é.</w:t>
      </w:r>
    </w:p>
    <w:p>
      <w:pPr>
        <w:spacing w:before="0" w:after="200" w:line="276"/>
        <w:ind w:right="0" w:left="720" w:hanging="72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5.           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jednotky:     Nebolo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3">
    <w:lvl w:ilvl="0">
      <w:start w:val="1"/>
      <w:numFmt w:val="upperLetter"/>
      <w:lvlText w:val="%1."/>
    </w:lvl>
  </w:abstractNum>
  <w:abstractNum w:abstractNumId="1">
    <w:lvl w:ilvl="0">
      <w:start w:val="1"/>
      <w:numFmt w:val="decimal"/>
      <w:lvlText w:val="%1."/>
    </w:lvl>
  </w:abstractNum>
  <w:abstractNum w:abstractNumId="7">
    <w:lvl w:ilvl="0">
      <w:start w:val="1"/>
      <w:numFmt w:val="decimal"/>
      <w:lvlText w:val="%1."/>
    </w:lvl>
  </w:abstractNum>
  <w:abstractNum w:abstractNumId="13">
    <w:lvl w:ilvl="0">
      <w:start w:val="1"/>
      <w:numFmt w:val="decimal"/>
      <w:lvlText w:val="%1."/>
    </w:lvl>
  </w:abstractNum>
  <w:abstractNum w:abstractNumId="19">
    <w:lvl w:ilvl="0">
      <w:start w:val="1"/>
      <w:numFmt w:val="decimal"/>
      <w:lvlText w:val="%1."/>
    </w:lvl>
  </w:abstractNum>
  <w:abstractNum w:abstractNumId="25">
    <w:lvl w:ilvl="0">
      <w:start w:val="1"/>
      <w:numFmt w:val="decimal"/>
      <w:lvlText w:val="%1."/>
    </w:lvl>
  </w:abstractNum>
  <w:abstractNum w:abstractNumId="31">
    <w:lvl w:ilvl="0">
      <w:start w:val="1"/>
      <w:numFmt w:val="decimal"/>
      <w:lvlText w:val="%1."/>
    </w:lvl>
  </w:abstractNum>
  <w:abstractNum w:abstractNumId="37">
    <w:lvl w:ilvl="0">
      <w:start w:val="1"/>
      <w:numFmt w:val="decimal"/>
      <w:lvlText w:val="%1."/>
    </w:lvl>
  </w:abstractNum>
  <w:abstractNum w:abstractNumId="43">
    <w:lvl w:ilvl="0">
      <w:start w:val="1"/>
      <w:numFmt w:val="decimal"/>
      <w:lvlText w:val="%1."/>
    </w:lvl>
  </w:abstractNum>
  <w:abstractNum w:abstractNumId="49">
    <w:lvl w:ilvl="0">
      <w:start w:val="1"/>
      <w:numFmt w:val="decimal"/>
      <w:lvlText w:val="%1."/>
    </w:lvl>
  </w:abstractNum>
  <w:abstractNum w:abstractNumId="55">
    <w:lvl w:ilvl="0">
      <w:start w:val="1"/>
      <w:numFmt w:val="decimal"/>
      <w:lvlText w:val="%1."/>
    </w:lvl>
  </w:abstractNum>
  <w:abstractNum w:abstractNumId="0">
    <w:lvl w:ilvl="0">
      <w:start w:val="1"/>
      <w:numFmt w:val="bullet"/>
      <w:lvlText w:val="•"/>
    </w:lvl>
  </w:abstractNum>
  <w:num w:numId="7">
    <w:abstractNumId w:val="3"/>
  </w:num>
  <w:num w:numId="8">
    <w:abstractNumId w:val="55"/>
  </w:num>
  <w:num w:numId="10">
    <w:abstractNumId w:val="49"/>
  </w:num>
  <w:num w:numId="12">
    <w:abstractNumId w:val="43"/>
  </w:num>
  <w:num w:numId="15">
    <w:abstractNumId w:val="37"/>
  </w:num>
  <w:num w:numId="17">
    <w:abstractNumId w:val="31"/>
  </w:num>
  <w:num w:numId="19">
    <w:abstractNumId w:val="25"/>
  </w:num>
  <w:num w:numId="22">
    <w:abstractNumId w:val="19"/>
  </w:num>
  <w:num w:numId="87">
    <w:abstractNumId w:val="13"/>
  </w:num>
  <w:num w:numId="89">
    <w:abstractNumId w:val="7"/>
  </w:num>
  <w:num w:numId="91">
    <w:abstractNumId w:val="1"/>
  </w:num>
  <w:num w:numId="93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