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tbl>
      <w:tblPr>
        <w:tblInd w:w="38" w:type="dxa"/>
      </w:tblPr>
      <w:tblGrid>
        <w:gridCol w:w="2560"/>
        <w:gridCol w:w="2098"/>
        <w:gridCol w:w="340"/>
        <w:gridCol w:w="340"/>
        <w:gridCol w:w="340"/>
        <w:gridCol w:w="340"/>
        <w:gridCol w:w="340"/>
        <w:gridCol w:w="340"/>
        <w:gridCol w:w="340"/>
        <w:gridCol w:w="340"/>
        <w:gridCol w:w="644"/>
        <w:gridCol w:w="307"/>
        <w:gridCol w:w="307"/>
        <w:gridCol w:w="307"/>
        <w:gridCol w:w="307"/>
      </w:tblGrid>
      <w:tr>
        <w:trPr>
          <w:trHeight w:val="1" w:hRule="atLeast"/>
          <w:jc w:val="left"/>
        </w:trPr>
        <w:tc>
          <w:tcPr>
            <w:tcW w:w="25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keepNext w:val="true"/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Poznámky (Ú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  NUJ 3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–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 01)</w:t>
            </w:r>
          </w:p>
        </w:tc>
        <w:tc>
          <w:tcPr>
            <w:tcW w:w="209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keepNext w:val="true"/>
              <w:spacing w:before="0" w:after="200" w:line="276"/>
              <w:ind w:right="0" w:left="0" w:firstLine="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ČO </w:t>
            </w:r>
          </w:p>
        </w:tc>
        <w:tc>
          <w:tcPr>
            <w:tcW w:w="34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true"/>
              <w:spacing w:before="0" w:after="200" w:line="276"/>
              <w:ind w:right="0" w:left="0" w:firstLine="0"/>
              <w:jc w:val="left"/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  <w:p>
            <w:pPr>
              <w:keepNext w:val="true"/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5</w:t>
            </w:r>
          </w:p>
        </w:tc>
        <w:tc>
          <w:tcPr>
            <w:tcW w:w="34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true"/>
              <w:spacing w:before="0" w:after="200" w:line="276"/>
              <w:ind w:right="0" w:left="0" w:firstLine="0"/>
              <w:jc w:val="left"/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  <w:p>
            <w:pPr>
              <w:keepNext w:val="true"/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2</w:t>
            </w:r>
          </w:p>
        </w:tc>
        <w:tc>
          <w:tcPr>
            <w:tcW w:w="34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true"/>
              <w:spacing w:before="0" w:after="200" w:line="276"/>
              <w:ind w:right="0" w:left="0" w:firstLine="0"/>
              <w:jc w:val="left"/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  <w:p>
            <w:pPr>
              <w:keepNext w:val="true"/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34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true"/>
              <w:spacing w:before="0" w:after="200" w:line="276"/>
              <w:ind w:right="0" w:left="0" w:firstLine="0"/>
              <w:jc w:val="left"/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  <w:p>
            <w:pPr>
              <w:keepNext w:val="true"/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9</w:t>
            </w:r>
          </w:p>
        </w:tc>
        <w:tc>
          <w:tcPr>
            <w:tcW w:w="34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true"/>
              <w:spacing w:before="0" w:after="200" w:line="276"/>
              <w:ind w:right="0" w:left="0" w:firstLine="0"/>
              <w:jc w:val="left"/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  <w:p>
            <w:pPr>
              <w:keepNext w:val="true"/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1</w:t>
            </w:r>
          </w:p>
        </w:tc>
        <w:tc>
          <w:tcPr>
            <w:tcW w:w="34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true"/>
              <w:spacing w:before="0" w:after="200" w:line="276"/>
              <w:ind w:right="0" w:left="0" w:firstLine="0"/>
              <w:jc w:val="left"/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  <w:p>
            <w:pPr>
              <w:keepNext w:val="true"/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1</w:t>
            </w:r>
          </w:p>
        </w:tc>
        <w:tc>
          <w:tcPr>
            <w:tcW w:w="34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true"/>
              <w:spacing w:before="0" w:after="200" w:line="276"/>
              <w:ind w:right="0" w:left="0" w:firstLine="0"/>
              <w:jc w:val="left"/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  <w:p>
            <w:pPr>
              <w:keepNext w:val="true"/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3</w:t>
            </w:r>
          </w:p>
        </w:tc>
        <w:tc>
          <w:tcPr>
            <w:tcW w:w="34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true"/>
              <w:spacing w:before="0" w:after="200" w:line="276"/>
              <w:ind w:right="0" w:left="0" w:firstLine="0"/>
              <w:jc w:val="left"/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  <w:p>
            <w:pPr>
              <w:keepNext w:val="true"/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9</w:t>
            </w:r>
          </w:p>
        </w:tc>
        <w:tc>
          <w:tcPr>
            <w:tcW w:w="6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true"/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/SID</w:t>
            </w:r>
          </w:p>
        </w:tc>
        <w:tc>
          <w:tcPr>
            <w:tcW w:w="30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true"/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true"/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true"/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true"/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3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3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32"/>
          <w:shd w:fill="auto" w:val="clear"/>
        </w:rPr>
        <w:t xml:space="preserve">Poznámky k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32"/>
          <w:shd w:fill="auto" w:val="clear"/>
        </w:rPr>
        <w:t xml:space="preserve">čtovnej z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32"/>
          <w:shd w:fill="auto" w:val="clear"/>
        </w:rPr>
        <w:t xml:space="preserve">ávierke k 31. decembru 20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32"/>
          <w:shd w:fill="auto" w:val="clear"/>
        </w:rPr>
        <w:t xml:space="preserve">20</w:t>
      </w:r>
    </w:p>
    <w:p>
      <w:pPr>
        <w:keepNext w:val="true"/>
        <w:numPr>
          <w:ilvl w:val="0"/>
          <w:numId w:val="7"/>
        </w:numPr>
        <w:tabs>
          <w:tab w:val="left" w:pos="360" w:leader="none"/>
        </w:tabs>
        <w:spacing w:before="120" w:after="60" w:line="240"/>
        <w:ind w:right="0" w:left="357" w:hanging="357"/>
        <w:jc w:val="left"/>
        <w:rPr>
          <w:rFonts w:ascii="Times New Roman" w:hAnsi="Times New Roman" w:cs="Times New Roman" w:eastAsia="Times New Roman"/>
          <w:b/>
          <w:caps w:val="true"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aps w:val="true"/>
          <w:color w:val="auto"/>
          <w:spacing w:val="0"/>
          <w:position w:val="0"/>
          <w:sz w:val="22"/>
          <w:shd w:fill="auto" w:val="clear"/>
        </w:rPr>
        <w:t xml:space="preserve">Čl. I. Všeobecn</w:t>
      </w:r>
      <w:r>
        <w:rPr>
          <w:rFonts w:ascii="Times New Roman" w:hAnsi="Times New Roman" w:cs="Times New Roman" w:eastAsia="Times New Roman"/>
          <w:b/>
          <w:caps w:val="true"/>
          <w:color w:val="auto"/>
          <w:spacing w:val="0"/>
          <w:position w:val="0"/>
          <w:sz w:val="22"/>
          <w:shd w:fill="auto" w:val="clear"/>
        </w:rPr>
        <w:t xml:space="preserve">é údaje</w:t>
      </w:r>
    </w:p>
    <w:p>
      <w:pPr>
        <w:keepNext w:val="true"/>
        <w:numPr>
          <w:ilvl w:val="0"/>
          <w:numId w:val="8"/>
        </w:numPr>
        <w:tabs>
          <w:tab w:val="left" w:pos="360" w:leader="none"/>
        </w:tabs>
        <w:spacing w:before="0" w:after="0" w:line="240"/>
        <w:ind w:right="0" w:left="360" w:hanging="36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  <w:t xml:space="preserve">Obchodné meno a sídlo spolo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  <w:t xml:space="preserve">čnosti:</w:t>
      </w:r>
    </w:p>
    <w:p>
      <w:pPr>
        <w:spacing w:before="0" w:after="0" w:line="240"/>
        <w:ind w:right="0" w:left="426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</w:p>
    <w:p>
      <w:pPr>
        <w:spacing w:before="0" w:after="0" w:line="240"/>
        <w:ind w:right="0" w:left="426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Kuzmínovo, s.r.o.</w:t>
      </w:r>
    </w:p>
    <w:p>
      <w:pPr>
        <w:spacing w:before="0" w:after="0" w:line="240"/>
        <w:ind w:right="0" w:left="426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Revi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šn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é 224</w:t>
      </w:r>
    </w:p>
    <w:p>
      <w:pPr>
        <w:spacing w:before="0" w:after="0" w:line="240"/>
        <w:ind w:right="0" w:left="426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027 54 Veli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á</w:t>
      </w:r>
    </w:p>
    <w:p>
      <w:pPr>
        <w:spacing w:before="0" w:after="0" w:line="240"/>
        <w:ind w:right="0" w:left="426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I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ČO: 52091139</w:t>
      </w:r>
    </w:p>
    <w:p>
      <w:pPr>
        <w:spacing w:before="0" w:after="0" w:line="240"/>
        <w:ind w:right="0" w:left="426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DI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Č: 2120919075</w:t>
      </w:r>
    </w:p>
    <w:p>
      <w:pPr>
        <w:spacing w:before="0" w:after="0" w:line="240"/>
        <w:ind w:right="0" w:left="426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Spolo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čnosť Kuzm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ínovo, s r. o. (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ďalej len Spoločnosť) bola do obchodn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ého registra bola zapísaná 14.januára  2019 (Obchodný register Okresného súdu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Žilina,  oddiel s.r.o., vložka 71454/L). </w:t>
      </w:r>
    </w:p>
    <w:p>
      <w:pPr>
        <w:spacing w:before="0" w:after="0" w:line="240"/>
        <w:ind w:right="0" w:left="426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</w:p>
    <w:p>
      <w:pPr>
        <w:keepNext w:val="true"/>
        <w:numPr>
          <w:ilvl w:val="0"/>
          <w:numId w:val="10"/>
        </w:numPr>
        <w:tabs>
          <w:tab w:val="left" w:pos="360" w:leader="none"/>
        </w:tabs>
        <w:spacing w:before="0" w:after="0" w:line="240"/>
        <w:ind w:right="0" w:left="360" w:hanging="36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  <w:t xml:space="preserve">2a.  Hlavnými 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  <w:t xml:space="preserve">činnosťami Spoločnosti s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  <w:t xml:space="preserve">ú: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   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- ubytovacie slu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žby v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 ubytovacích zariadeniach s prevádzkovaním pohostinských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činnost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í v týchto zariadeniach                          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           a v chatovej osade triedy 3, v kempingoch triedy 3 a 4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         - kúpa tovaru na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čely jeho predaja konečn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ému spotrebite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ľovi (maloobchod), alebo in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ým prevádzkovate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ľom živnosti   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          (ve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ľkoobchod)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        - Reklamné a marketingové slu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žby, prieskum trhu a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 verejnej mienky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        - sprostredkovate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ľsk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á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činnosť v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 oblasti obchodu, slu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žieb a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 výroby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         - organizovanie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športov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ých, kultúrnych a iných spolo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čensk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ých podujatí      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         - prevádzkovanie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športov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ých zariadení a zariadení slú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žiacich na regener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áciu a rekondíciu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       - prenájom nehnute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ľnost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í spojený s poskytovaním iných ne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ž z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ákladných slu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žieb spojen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ých s prenájmom</w:t>
      </w:r>
    </w:p>
    <w:p>
      <w:pPr>
        <w:keepNext w:val="true"/>
        <w:numPr>
          <w:ilvl w:val="0"/>
          <w:numId w:val="12"/>
        </w:numPr>
        <w:tabs>
          <w:tab w:val="left" w:pos="360" w:leader="none"/>
        </w:tabs>
        <w:spacing w:before="240" w:after="0" w:line="240"/>
        <w:ind w:right="0" w:left="360" w:hanging="36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</w:pPr>
    </w:p>
    <w:p>
      <w:pPr>
        <w:keepNext w:val="true"/>
        <w:numPr>
          <w:ilvl w:val="0"/>
          <w:numId w:val="12"/>
        </w:numPr>
        <w:tabs>
          <w:tab w:val="left" w:pos="360" w:leader="none"/>
        </w:tabs>
        <w:spacing w:before="0" w:after="0" w:line="240"/>
        <w:ind w:right="0" w:left="360" w:hanging="36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  <w:t xml:space="preserve">2.b    Informácie o spolo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  <w:t xml:space="preserve">čn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  <w:t xml:space="preserve">íkoch ú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  <w:t xml:space="preserve">čtovnej jednotky</w:t>
      </w:r>
    </w:p>
    <w:p>
      <w:pPr>
        <w:spacing w:before="0" w:after="0" w:line="240"/>
        <w:ind w:right="0" w:left="426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Štrukt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úra spolo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íkov Spolo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čnosti do 31. marca 2021 bola tak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áto:</w:t>
      </w:r>
    </w:p>
    <w:p>
      <w:pPr>
        <w:spacing w:before="0" w:after="0" w:line="240"/>
        <w:ind w:right="0" w:left="426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</w:p>
    <w:p>
      <w:pPr>
        <w:spacing w:before="0" w:after="0" w:line="240"/>
        <w:ind w:right="0" w:left="426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Konate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ľ:        Em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ília Moko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šov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á</w:t>
        <w:tab/>
        <w:tab/>
      </w:r>
    </w:p>
    <w:p>
      <w:pPr>
        <w:spacing w:before="0" w:after="0" w:line="240"/>
        <w:ind w:right="0" w:left="426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                                        </w:t>
      </w:r>
    </w:p>
    <w:p>
      <w:pPr>
        <w:keepNext w:val="true"/>
        <w:numPr>
          <w:ilvl w:val="0"/>
          <w:numId w:val="15"/>
        </w:numPr>
        <w:tabs>
          <w:tab w:val="left" w:pos="360" w:leader="none"/>
        </w:tabs>
        <w:spacing w:before="0" w:after="0" w:line="240"/>
        <w:ind w:right="0" w:left="360" w:hanging="36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  <w:t xml:space="preserve">3.      Priemerný po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  <w:t xml:space="preserve">čet zamestnancov :   0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    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Čl. II. INFORM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ÁCIE O PRIJATÝCH POSTUPOCH</w:t>
      </w:r>
    </w:p>
    <w:p>
      <w:pPr>
        <w:keepNext w:val="true"/>
        <w:numPr>
          <w:ilvl w:val="0"/>
          <w:numId w:val="17"/>
        </w:numPr>
        <w:tabs>
          <w:tab w:val="left" w:pos="360" w:leader="none"/>
        </w:tabs>
        <w:spacing w:before="0" w:after="0" w:line="240"/>
        <w:ind w:right="0" w:left="360" w:hanging="36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  <w:t xml:space="preserve">Právny dôvod na zostavenie ú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  <w:t xml:space="preserve">čtovnej z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  <w:t xml:space="preserve">ávierky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ab/>
        <w:t xml:space="preserve">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á závierka Spolo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čnosti k 31. decembru 2019 je zostaven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á ako riadna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á závierka pod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ľa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§ 17 ods. 6 zákona NR SR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č. 431/2002 Z.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 z. o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íctve, za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é obdobie od 1. januára 20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20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 do 31. decembra 20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20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.</w:t>
      </w:r>
    </w:p>
    <w:p>
      <w:pPr>
        <w:spacing w:before="0" w:after="0" w:line="240"/>
        <w:ind w:right="0" w:left="426" w:hanging="426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</w:p>
    <w:p>
      <w:pPr>
        <w:spacing w:before="0" w:after="0" w:line="240"/>
        <w:ind w:right="0" w:left="426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         </w:t>
      </w:r>
    </w:p>
    <w:p>
      <w:pPr>
        <w:keepNext w:val="true"/>
        <w:numPr>
          <w:ilvl w:val="0"/>
          <w:numId w:val="21"/>
        </w:numPr>
        <w:tabs>
          <w:tab w:val="left" w:pos="360" w:leader="none"/>
        </w:tabs>
        <w:spacing w:before="0" w:after="0" w:line="240"/>
        <w:ind w:right="0" w:left="360" w:hanging="36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  <w:t xml:space="preserve">Informácie o ú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  <w:t xml:space="preserve">ých zásadách a ú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  <w:t xml:space="preserve">ých metódach  </w:t>
      </w:r>
    </w:p>
    <w:p>
      <w:pPr>
        <w:tabs>
          <w:tab w:val="left" w:pos="426" w:leader="none"/>
        </w:tabs>
        <w:spacing w:before="0" w:after="0" w:line="240"/>
        <w:ind w:right="0" w:left="426" w:hanging="426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  <w:t xml:space="preserve">(a)</w:t>
        <w:tab/>
        <w:t xml:space="preserve">Východiská pre zostavenie ú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  <w:t xml:space="preserve">čtovnej z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  <w:t xml:space="preserve">ávierky</w:t>
      </w:r>
    </w:p>
    <w:p>
      <w:pPr>
        <w:spacing w:before="0" w:after="0" w:line="240"/>
        <w:ind w:right="0" w:left="45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á závierka bola zostavená za predpokladu nepretr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žit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ého trvania Spolo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čnosti (going concern).</w:t>
      </w:r>
    </w:p>
    <w:p>
      <w:pPr>
        <w:spacing w:before="0" w:after="0" w:line="240"/>
        <w:ind w:right="0" w:left="45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é metódy a v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šeobecn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é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é zásady boli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čtovnou jednotkou konzistentne aplikovan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é. </w:t>
      </w:r>
    </w:p>
    <w:p>
      <w:pPr>
        <w:spacing w:before="0" w:after="0" w:line="240"/>
        <w:ind w:right="0" w:left="45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</w:p>
    <w:tbl>
      <w:tblPr>
        <w:tblInd w:w="38" w:type="dxa"/>
      </w:tblPr>
      <w:tblGrid>
        <w:gridCol w:w="2560"/>
        <w:gridCol w:w="2098"/>
        <w:gridCol w:w="340"/>
        <w:gridCol w:w="340"/>
        <w:gridCol w:w="340"/>
        <w:gridCol w:w="340"/>
        <w:gridCol w:w="340"/>
        <w:gridCol w:w="340"/>
        <w:gridCol w:w="340"/>
        <w:gridCol w:w="340"/>
        <w:gridCol w:w="644"/>
        <w:gridCol w:w="307"/>
        <w:gridCol w:w="307"/>
        <w:gridCol w:w="307"/>
        <w:gridCol w:w="307"/>
      </w:tblGrid>
      <w:tr>
        <w:trPr>
          <w:trHeight w:val="1" w:hRule="atLeast"/>
          <w:jc w:val="left"/>
        </w:trPr>
        <w:tc>
          <w:tcPr>
            <w:tcW w:w="25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keepNext w:val="true"/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Poznámky (Ú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  NUJ 3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–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 01)</w:t>
            </w:r>
          </w:p>
        </w:tc>
        <w:tc>
          <w:tcPr>
            <w:tcW w:w="209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keepNext w:val="true"/>
              <w:spacing w:before="0" w:after="200" w:line="276"/>
              <w:ind w:right="0" w:left="0" w:firstLine="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ČO </w:t>
            </w:r>
          </w:p>
        </w:tc>
        <w:tc>
          <w:tcPr>
            <w:tcW w:w="34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true"/>
              <w:spacing w:before="0" w:after="200" w:line="276"/>
              <w:ind w:right="0" w:left="0" w:firstLine="0"/>
              <w:jc w:val="left"/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  <w:p>
            <w:pPr>
              <w:keepNext w:val="true"/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5</w:t>
            </w:r>
          </w:p>
        </w:tc>
        <w:tc>
          <w:tcPr>
            <w:tcW w:w="34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true"/>
              <w:spacing w:before="0" w:after="200" w:line="276"/>
              <w:ind w:right="0" w:left="0" w:firstLine="0"/>
              <w:jc w:val="left"/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  <w:p>
            <w:pPr>
              <w:keepNext w:val="true"/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2</w:t>
            </w:r>
          </w:p>
        </w:tc>
        <w:tc>
          <w:tcPr>
            <w:tcW w:w="34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true"/>
              <w:spacing w:before="0" w:after="200" w:line="276"/>
              <w:ind w:right="0" w:left="0" w:firstLine="0"/>
              <w:jc w:val="left"/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  <w:p>
            <w:pPr>
              <w:keepNext w:val="true"/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34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true"/>
              <w:spacing w:before="0" w:after="200" w:line="276"/>
              <w:ind w:right="0" w:left="0" w:firstLine="0"/>
              <w:jc w:val="left"/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  <w:p>
            <w:pPr>
              <w:keepNext w:val="true"/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9</w:t>
            </w:r>
          </w:p>
        </w:tc>
        <w:tc>
          <w:tcPr>
            <w:tcW w:w="34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true"/>
              <w:spacing w:before="0" w:after="200" w:line="276"/>
              <w:ind w:right="0" w:left="0" w:firstLine="0"/>
              <w:jc w:val="left"/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  <w:p>
            <w:pPr>
              <w:keepNext w:val="true"/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1</w:t>
            </w:r>
          </w:p>
        </w:tc>
        <w:tc>
          <w:tcPr>
            <w:tcW w:w="34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true"/>
              <w:spacing w:before="0" w:after="200" w:line="276"/>
              <w:ind w:right="0" w:left="0" w:firstLine="0"/>
              <w:jc w:val="left"/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  <w:p>
            <w:pPr>
              <w:keepNext w:val="true"/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1</w:t>
            </w:r>
          </w:p>
        </w:tc>
        <w:tc>
          <w:tcPr>
            <w:tcW w:w="34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true"/>
              <w:spacing w:before="0" w:after="200" w:line="276"/>
              <w:ind w:right="0" w:left="0" w:firstLine="0"/>
              <w:jc w:val="left"/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  <w:p>
            <w:pPr>
              <w:keepNext w:val="true"/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3</w:t>
            </w:r>
          </w:p>
        </w:tc>
        <w:tc>
          <w:tcPr>
            <w:tcW w:w="34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true"/>
              <w:spacing w:before="0" w:after="200" w:line="276"/>
              <w:ind w:right="0" w:left="0" w:firstLine="0"/>
              <w:jc w:val="left"/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  <w:p>
            <w:pPr>
              <w:keepNext w:val="true"/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9</w:t>
            </w:r>
          </w:p>
        </w:tc>
        <w:tc>
          <w:tcPr>
            <w:tcW w:w="6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true"/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/SID</w:t>
            </w:r>
          </w:p>
        </w:tc>
        <w:tc>
          <w:tcPr>
            <w:tcW w:w="30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true"/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true"/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true"/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true"/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45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</w:p>
    <w:p>
      <w:pPr>
        <w:tabs>
          <w:tab w:val="left" w:pos="426" w:leader="none"/>
        </w:tabs>
        <w:spacing w:before="0" w:after="0" w:line="240"/>
        <w:ind w:right="0" w:left="426" w:hanging="426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  <w:t xml:space="preserve">(b)</w:t>
        <w:tab/>
        <w:t xml:space="preserve"> Zásoby </w:t>
      </w:r>
    </w:p>
    <w:p>
      <w:pPr>
        <w:tabs>
          <w:tab w:val="left" w:pos="426" w:leader="none"/>
        </w:tabs>
        <w:spacing w:before="0" w:after="0" w:line="240"/>
        <w:ind w:right="0" w:left="426" w:hanging="426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</w:pPr>
    </w:p>
    <w:p>
      <w:pPr>
        <w:spacing w:before="0" w:after="0" w:line="240"/>
        <w:ind w:right="0" w:left="426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Zásoby sa oce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ňuj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ú ni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žšou z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 nasledovných hodnôt: obstarávacou cenou (nakupované zásoby) / vlastnými nákladmi (zásoby vytvorené vlastnou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činnosťou) alebo čistou realizačnou hodnotou.Obstar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ávacia cena zah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ŕňa cenu z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ásob a náklady súvisiace s obstaraním (clo, prepravu, poistné, provízie, skonto a pod.). Úroky z cudzích zdrojov nie sú sú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časťou obstar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ávacej ceny. Nakupované zásoby sa oce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ňuj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ú vá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žen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ým aritmetickým priemerom z obstarávacích cien.</w:t>
      </w:r>
    </w:p>
    <w:p>
      <w:pPr>
        <w:spacing w:before="0" w:after="0" w:line="240"/>
        <w:ind w:right="0" w:left="45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</w:p>
    <w:p>
      <w:pPr>
        <w:tabs>
          <w:tab w:val="left" w:pos="426" w:leader="none"/>
        </w:tabs>
        <w:spacing w:before="0" w:after="0" w:line="240"/>
        <w:ind w:right="0" w:left="426" w:hanging="426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  <w:t xml:space="preserve"> (c)</w:t>
        <w:tab/>
        <w:t xml:space="preserve">Cenné papiere a podiely</w:t>
      </w:r>
    </w:p>
    <w:p>
      <w:pPr>
        <w:spacing w:before="0" w:after="0" w:line="240"/>
        <w:ind w:right="0" w:left="426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Cenné papiere a podiely sa oce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ňuj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ú obstarávacími cenami, vrátane nákladov súvisiacich s obstaraním. Od obstarávacej ceny je odpo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ítané zní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ženie hodnoty cenn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ých papierov a podielov. </w:t>
      </w:r>
    </w:p>
    <w:p>
      <w:pPr>
        <w:tabs>
          <w:tab w:val="left" w:pos="426" w:leader="none"/>
        </w:tabs>
        <w:spacing w:before="0" w:after="0" w:line="240"/>
        <w:ind w:right="0" w:left="426" w:hanging="426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  <w:t xml:space="preserve">(f)</w:t>
        <w:tab/>
        <w:t xml:space="preserve">Poh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  <w:t xml:space="preserve">ľad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  <w:t xml:space="preserve">ávky</w:t>
      </w:r>
    </w:p>
    <w:p>
      <w:pPr>
        <w:spacing w:before="0" w:after="0" w:line="240"/>
        <w:ind w:right="0" w:left="426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Poh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ľad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ávky pri ich vzniku sa oce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ňuj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ú ich menovitou hodnotou; postúpené poh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ľad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ávky a poh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ľad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ávky nadobudnuté vkladom do základného imania sa oce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ňuj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ú obstarávacou cenou, vrátane nákladov súvisiacich s obstaraním. Toto ocenenie sa zni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žuje o pochybn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é a nevymo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žiteľn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é poh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ľad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ávky.</w:t>
      </w:r>
    </w:p>
    <w:p>
      <w:pPr>
        <w:tabs>
          <w:tab w:val="left" w:pos="426" w:leader="none"/>
        </w:tabs>
        <w:spacing w:before="0" w:after="0" w:line="240"/>
        <w:ind w:right="0" w:left="426" w:hanging="426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  <w:t xml:space="preserve">(g)</w:t>
        <w:tab/>
        <w:t xml:space="preserve">Pe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  <w:t xml:space="preserve">ňažn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  <w:t xml:space="preserve">é prostriedky a ceniny</w:t>
      </w:r>
    </w:p>
    <w:p>
      <w:pPr>
        <w:spacing w:before="0" w:after="0" w:line="240"/>
        <w:ind w:right="0" w:left="426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Pe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ňažn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é prostriedky a ceniny sa oce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ňuj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ú ich menovitou hodnotou. </w:t>
      </w:r>
    </w:p>
    <w:p>
      <w:pPr>
        <w:tabs>
          <w:tab w:val="left" w:pos="426" w:leader="none"/>
        </w:tabs>
        <w:spacing w:before="0" w:after="0" w:line="240"/>
        <w:ind w:right="0" w:left="426" w:hanging="426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  <w:t xml:space="preserve">(h)</w:t>
        <w:tab/>
        <w:t xml:space="preserve">Náklady budúcich období a príjmy budúcich období</w:t>
      </w:r>
    </w:p>
    <w:p>
      <w:pPr>
        <w:spacing w:before="0" w:after="0" w:line="240"/>
        <w:ind w:right="0" w:left="426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Náklady budúcich období a príjmy budúcich období sa vykazujú vo vý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ške, ktor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á je potrebná na dodr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žanie z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ásady vecnej a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časovej s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úvislosti s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ým obdobím.</w:t>
      </w:r>
    </w:p>
    <w:p>
      <w:pPr>
        <w:tabs>
          <w:tab w:val="left" w:pos="426" w:leader="none"/>
        </w:tabs>
        <w:spacing w:before="0" w:after="0" w:line="240"/>
        <w:ind w:right="0" w:left="426" w:hanging="426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  <w:t xml:space="preserve">(i)</w:t>
        <w:tab/>
        <w:t xml:space="preserve">Rezervy</w:t>
      </w:r>
    </w:p>
    <w:p>
      <w:pPr>
        <w:spacing w:before="0" w:after="0" w:line="240"/>
        <w:ind w:right="0" w:left="426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Rezervy sú záväzky s neur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čit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ým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časov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ým vymedzením alebo vý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škou; tvoria sa na krytie zn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ámych rizík alebo strát z podnikania. Oce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ňuj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ú sa v 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čak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ávanej vý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ške z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áväzku.</w:t>
      </w:r>
    </w:p>
    <w:p>
      <w:pPr>
        <w:tabs>
          <w:tab w:val="left" w:pos="426" w:leader="none"/>
        </w:tabs>
        <w:spacing w:before="0" w:after="0" w:line="240"/>
        <w:ind w:right="0" w:left="426" w:hanging="426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  <w:t xml:space="preserve">(j)</w:t>
        <w:tab/>
        <w:t xml:space="preserve">Záväzky</w:t>
      </w:r>
    </w:p>
    <w:p>
      <w:pPr>
        <w:spacing w:before="0" w:after="0" w:line="240"/>
        <w:ind w:right="0" w:left="426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Záväzky pri ich vzniku sa oce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ňuj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ú menovitou hodnotou. Záväzky pri ich prevzatí sa oce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ňuj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ú obstarávacou cenou. Ak sa pri inventarizácii zistí,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že suma z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áväzkov je iná ako ich vý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ška v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 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íctve, uvedú sa záväzky v 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íctve a v 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čtovnej z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ávierke v tomto zistenom ocenení. </w:t>
      </w:r>
    </w:p>
    <w:p>
      <w:pPr>
        <w:tabs>
          <w:tab w:val="left" w:pos="426" w:leader="none"/>
        </w:tabs>
        <w:spacing w:before="0" w:after="0" w:line="240"/>
        <w:ind w:right="0" w:left="426" w:hanging="426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  <w:t xml:space="preserve">(k)</w:t>
        <w:tab/>
        <w:t xml:space="preserve">Výdavky budúcich období a výnosy budúcich období</w:t>
      </w:r>
    </w:p>
    <w:p>
      <w:pPr>
        <w:spacing w:before="0" w:after="0" w:line="240"/>
        <w:ind w:right="0" w:left="426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Výdavky budúcich období a výnosy budúcich období sa vykazujú vo vý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ške, ktor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á je potrebná na dodr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žanie z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ásady vecnej a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časovej s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úvislosti s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ým obdobím.</w:t>
      </w:r>
    </w:p>
    <w:p>
      <w:pPr>
        <w:spacing w:before="0" w:after="0" w:line="240"/>
        <w:ind w:right="0" w:left="426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Finan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ý lízing (s kúpnou opciou; bez kúpnej opcie je pova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žovan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ý za operatívny lízing). Majetok prenajatý na základe zmluvy uzatvorenej do 31. decembra 2003 vykazuje ako svoj majetok jeho vlastník, nie nájomca. Majetok prenajatý na základe zmluvy uzatvorenej 1. januára 2004 a neskôr vykazuje ako svoj majetok jeho nájomca, nie vlastník.</w:t>
      </w:r>
    </w:p>
    <w:p>
      <w:pPr>
        <w:tabs>
          <w:tab w:val="left" w:pos="426" w:leader="none"/>
        </w:tabs>
        <w:spacing w:before="0" w:after="0" w:line="240"/>
        <w:ind w:right="0" w:left="426" w:hanging="426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  <w:t xml:space="preserve"> (l)</w:t>
        <w:tab/>
        <w:t xml:space="preserve">Majetok a záväzky zabezpe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  <w:t xml:space="preserve">čen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  <w:t xml:space="preserve">é derivátmi</w:t>
      </w:r>
    </w:p>
    <w:p>
      <w:pPr>
        <w:spacing w:before="0" w:after="0" w:line="240"/>
        <w:ind w:right="0" w:left="426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Majetok a záväzky zabezpe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čen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é derivátmi sa oce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ňuj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ú reálnou hodnotou. Zmeny reálnych hodnôt majetku a záväzkov zabezpe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čen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ých derivátmi sa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čtuj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ú bez vplyvu na výsledok hospodárenia, priamo do vlastného imania. </w:t>
      </w:r>
    </w:p>
    <w:p>
      <w:pPr>
        <w:tabs>
          <w:tab w:val="left" w:pos="426" w:leader="none"/>
        </w:tabs>
        <w:spacing w:before="0" w:after="0" w:line="240"/>
        <w:ind w:right="0" w:left="426" w:hanging="426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  <w:t xml:space="preserve">(m)</w:t>
        <w:tab/>
        <w:t xml:space="preserve">Cudzia mena</w:t>
      </w:r>
    </w:p>
    <w:p>
      <w:pPr>
        <w:spacing w:before="0" w:after="0" w:line="240"/>
        <w:ind w:right="0" w:left="426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Majetok a záväzky vyjadrené v cudzej mene sa prepo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ítavajú na slovenskú menu kurzom ur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čen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ým v kurzovom lístku Národnej banky Slovenska platným ku d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ňu uskutočnenia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ého prípadu a v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čtovnej z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ávierke kurzom platným ku d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ňu, ku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 ktorému sa zostavuje, a 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čtuj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ú sa s vplyvom na výsledok hospodárenia.</w:t>
      </w:r>
    </w:p>
    <w:p>
      <w:pPr>
        <w:tabs>
          <w:tab w:val="left" w:pos="426" w:leader="none"/>
        </w:tabs>
        <w:spacing w:before="0" w:after="0" w:line="240"/>
        <w:ind w:right="0" w:left="426" w:hanging="426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  <w:t xml:space="preserve">(q)</w:t>
        <w:tab/>
        <w:t xml:space="preserve">Výnosy</w:t>
      </w:r>
    </w:p>
    <w:p>
      <w:pPr>
        <w:spacing w:before="0" w:after="0" w:line="240"/>
        <w:ind w:right="0" w:left="426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Tr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žby za vlastn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é výkony a tovar neobsahujú da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ň z pridanej hodnoty. S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ú tie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ž zn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í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žen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é o z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ľavy a zr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á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žky (rabaty, bonusy, skont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á, dobropisy a pod.) bez oh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ľadu na to, či z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ákazník mal vopred na z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ľavu 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árok, alebo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či ide 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 dodato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čne uznan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ú z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ľavu.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3.      Spôsob zostavenia odpisového plánu</w:t>
      </w:r>
    </w:p>
    <w:p>
      <w:pPr>
        <w:tabs>
          <w:tab w:val="left" w:pos="426" w:leader="none"/>
        </w:tabs>
        <w:spacing w:before="0" w:after="0" w:line="240"/>
        <w:ind w:right="0" w:left="426" w:hanging="426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  <w:t xml:space="preserve">         </w:t>
        <w:tab/>
        <w:t xml:space="preserve">Dlhodobý nehmotný a dlhodobý hmotný majetok</w:t>
      </w:r>
    </w:p>
    <w:p>
      <w:pPr>
        <w:spacing w:before="0" w:after="0" w:line="240"/>
        <w:ind w:right="0" w:left="426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Dlhodobý majetok nakupovaný sa oce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ňuje obstar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ávacou cenou, ktorá zah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ŕňa cenu obstarania a 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áklady súvisiace s obstaraním (clo, prepravu, montá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ž, poistn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é a pod.). Sú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časťou obstar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ávacej ceny od 1. januára 2003 nie sú úroky z cudzích zdrojov ani realizované kurzové rozdiely, ktoré vznikli do momentu uvedenia dlhodobého majetku do pou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ž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ívania.</w:t>
      </w:r>
    </w:p>
    <w:p>
      <w:pPr>
        <w:spacing w:before="0" w:after="0" w:line="240"/>
        <w:ind w:right="0" w:left="426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Dlhodobý majetok vytvorený vlastnou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činnosťou sa oceňuje vlastn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ými nákladmi. Vlastnými nákladmi sú v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šetky priame 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áklady vynalo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žen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é na výrobu alebo inú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činnosť a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 nepriame náklady, ktoré sa vz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ťahuj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ú na výrobu alebo inú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činnosť. </w:t>
      </w:r>
    </w:p>
    <w:p>
      <w:pPr>
        <w:spacing w:before="0" w:after="0" w:line="240"/>
        <w:ind w:right="0" w:left="426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Odpisy dlhodobého hmotného majetku sú stanovené vychádzajúc z predpokladanej doby jeho pou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ž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ívania a predpokladaného priebehu jeho opotrebenia. Odpisova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ť sa zač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ína prvým d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ňom mesiaca nasleduj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úceho po uvedení dlhodobého majetku do pou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ž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ívania. Drobný dlhodobý hmotný majetok, ktorého obstarávacia cena (resp. vlastné náklady) je 1750 EUR a ni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žšia, sa za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čtuje do 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ákladov pri uvedení do pou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ž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ívania. Pozemky sa neodpisujú. Predpokladaná doba pou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ž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ívania, metóda odpisovania a odpisová sadzba sú uvedené v nasledujúcej tabu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ľke:</w:t>
      </w:r>
    </w:p>
    <w:p>
      <w:pPr>
        <w:spacing w:before="0" w:after="0" w:line="240"/>
        <w:ind w:right="0" w:left="426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</w:p>
    <w:p>
      <w:pPr>
        <w:spacing w:before="0" w:after="0" w:line="240"/>
        <w:ind w:right="0" w:left="426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</w:p>
    <w:tbl>
      <w:tblPr>
        <w:tblInd w:w="38" w:type="dxa"/>
      </w:tblPr>
      <w:tblGrid>
        <w:gridCol w:w="2560"/>
        <w:gridCol w:w="2098"/>
        <w:gridCol w:w="340"/>
        <w:gridCol w:w="340"/>
        <w:gridCol w:w="340"/>
        <w:gridCol w:w="340"/>
        <w:gridCol w:w="340"/>
        <w:gridCol w:w="340"/>
        <w:gridCol w:w="340"/>
        <w:gridCol w:w="340"/>
        <w:gridCol w:w="644"/>
        <w:gridCol w:w="307"/>
        <w:gridCol w:w="307"/>
        <w:gridCol w:w="307"/>
        <w:gridCol w:w="307"/>
      </w:tblGrid>
      <w:tr>
        <w:trPr>
          <w:trHeight w:val="1" w:hRule="atLeast"/>
          <w:jc w:val="left"/>
        </w:trPr>
        <w:tc>
          <w:tcPr>
            <w:tcW w:w="25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keepNext w:val="true"/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Poznámky (Ú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  NUJ 3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–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 01)</w:t>
            </w:r>
          </w:p>
        </w:tc>
        <w:tc>
          <w:tcPr>
            <w:tcW w:w="209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keepNext w:val="true"/>
              <w:spacing w:before="0" w:after="200" w:line="276"/>
              <w:ind w:right="0" w:left="0" w:firstLine="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ČO </w:t>
            </w:r>
          </w:p>
        </w:tc>
        <w:tc>
          <w:tcPr>
            <w:tcW w:w="34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true"/>
              <w:spacing w:before="0" w:after="200" w:line="276"/>
              <w:ind w:right="0" w:left="0" w:firstLine="0"/>
              <w:jc w:val="left"/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  <w:p>
            <w:pPr>
              <w:keepNext w:val="true"/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5</w:t>
            </w:r>
          </w:p>
        </w:tc>
        <w:tc>
          <w:tcPr>
            <w:tcW w:w="34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true"/>
              <w:spacing w:before="0" w:after="200" w:line="276"/>
              <w:ind w:right="0" w:left="0" w:firstLine="0"/>
              <w:jc w:val="left"/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  <w:p>
            <w:pPr>
              <w:keepNext w:val="true"/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2</w:t>
            </w:r>
          </w:p>
        </w:tc>
        <w:tc>
          <w:tcPr>
            <w:tcW w:w="34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true"/>
              <w:spacing w:before="0" w:after="200" w:line="276"/>
              <w:ind w:right="0" w:left="0" w:firstLine="0"/>
              <w:jc w:val="left"/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  <w:p>
            <w:pPr>
              <w:keepNext w:val="true"/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34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true"/>
              <w:spacing w:before="0" w:after="200" w:line="276"/>
              <w:ind w:right="0" w:left="0" w:firstLine="0"/>
              <w:jc w:val="left"/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  <w:p>
            <w:pPr>
              <w:keepNext w:val="true"/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9</w:t>
            </w:r>
          </w:p>
        </w:tc>
        <w:tc>
          <w:tcPr>
            <w:tcW w:w="34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true"/>
              <w:spacing w:before="0" w:after="200" w:line="276"/>
              <w:ind w:right="0" w:left="0" w:firstLine="0"/>
              <w:jc w:val="left"/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  <w:p>
            <w:pPr>
              <w:keepNext w:val="true"/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1</w:t>
            </w:r>
          </w:p>
        </w:tc>
        <w:tc>
          <w:tcPr>
            <w:tcW w:w="34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true"/>
              <w:spacing w:before="0" w:after="200" w:line="276"/>
              <w:ind w:right="0" w:left="0" w:firstLine="0"/>
              <w:jc w:val="left"/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  <w:p>
            <w:pPr>
              <w:keepNext w:val="true"/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1</w:t>
            </w:r>
          </w:p>
        </w:tc>
        <w:tc>
          <w:tcPr>
            <w:tcW w:w="34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true"/>
              <w:spacing w:before="0" w:after="200" w:line="276"/>
              <w:ind w:right="0" w:left="0" w:firstLine="0"/>
              <w:jc w:val="left"/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  <w:p>
            <w:pPr>
              <w:keepNext w:val="true"/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3</w:t>
            </w:r>
          </w:p>
        </w:tc>
        <w:tc>
          <w:tcPr>
            <w:tcW w:w="34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true"/>
              <w:spacing w:before="0" w:after="200" w:line="276"/>
              <w:ind w:right="0" w:left="0" w:firstLine="0"/>
              <w:jc w:val="left"/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  <w:p>
            <w:pPr>
              <w:keepNext w:val="true"/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9</w:t>
            </w:r>
          </w:p>
        </w:tc>
        <w:tc>
          <w:tcPr>
            <w:tcW w:w="6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true"/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/SID</w:t>
            </w:r>
          </w:p>
        </w:tc>
        <w:tc>
          <w:tcPr>
            <w:tcW w:w="30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true"/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true"/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true"/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true"/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426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</w:p>
    <w:tbl>
      <w:tblPr>
        <w:tblInd w:w="456" w:type="dxa"/>
      </w:tblPr>
      <w:tblGrid>
        <w:gridCol w:w="2927"/>
        <w:gridCol w:w="419"/>
        <w:gridCol w:w="1688"/>
        <w:gridCol w:w="1239"/>
        <w:gridCol w:w="1684"/>
        <w:gridCol w:w="1396"/>
        <w:gridCol w:w="1679"/>
      </w:tblGrid>
      <w:tr>
        <w:trPr>
          <w:trHeight w:val="250" w:hRule="auto"/>
          <w:jc w:val="left"/>
        </w:trPr>
        <w:tc>
          <w:tcPr>
            <w:tcW w:w="3346" w:type="dxa"/>
            <w:gridSpan w:val="2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8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18"/>
                <w:shd w:fill="auto" w:val="clear"/>
              </w:rPr>
              <w:t xml:space="preserve">Predpokladaná</w:t>
            </w:r>
          </w:p>
        </w:tc>
        <w:tc>
          <w:tcPr>
            <w:tcW w:w="1239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4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18"/>
                <w:shd w:fill="auto" w:val="clear"/>
              </w:rPr>
              <w:t xml:space="preserve">Metóda</w:t>
            </w:r>
          </w:p>
        </w:tc>
        <w:tc>
          <w:tcPr>
            <w:tcW w:w="1396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79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18"/>
                <w:shd w:fill="auto" w:val="clear"/>
              </w:rPr>
              <w:t xml:space="preserve">Ro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18"/>
                <w:shd w:fill="auto" w:val="clear"/>
              </w:rPr>
              <w:t xml:space="preserve">čn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18"/>
                <w:shd w:fill="auto" w:val="clear"/>
              </w:rPr>
              <w:t xml:space="preserve">á odpisová</w:t>
            </w:r>
          </w:p>
        </w:tc>
      </w:tr>
      <w:tr>
        <w:trPr>
          <w:trHeight w:val="250" w:hRule="auto"/>
          <w:jc w:val="left"/>
        </w:trPr>
        <w:tc>
          <w:tcPr>
            <w:tcW w:w="2927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19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8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18"/>
                <w:shd w:fill="auto" w:val="clear"/>
              </w:rPr>
              <w:t xml:space="preserve">doba pou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18"/>
                <w:shd w:fill="auto" w:val="clear"/>
              </w:rPr>
              <w:t xml:space="preserve">ž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18"/>
                <w:shd w:fill="auto" w:val="clear"/>
              </w:rPr>
              <w:t xml:space="preserve">ívania</w:t>
            </w:r>
          </w:p>
        </w:tc>
        <w:tc>
          <w:tcPr>
            <w:tcW w:w="1239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18"/>
                <w:shd w:fill="auto" w:val="clear"/>
              </w:rPr>
              <w:t xml:space="preserve">odpisovania</w:t>
            </w:r>
          </w:p>
        </w:tc>
        <w:tc>
          <w:tcPr>
            <w:tcW w:w="1396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79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18"/>
                <w:shd w:fill="auto" w:val="clear"/>
              </w:rPr>
              <w:t xml:space="preserve">sadzba v %</w:t>
            </w:r>
          </w:p>
        </w:tc>
      </w:tr>
      <w:tr>
        <w:trPr>
          <w:trHeight w:val="250" w:hRule="auto"/>
          <w:jc w:val="left"/>
        </w:trPr>
        <w:tc>
          <w:tcPr>
            <w:tcW w:w="3346" w:type="dxa"/>
            <w:gridSpan w:val="2"/>
            <w:tcBorders>
              <w:top w:val="single" w:color="000000" w:sz="4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18"/>
                <w:shd w:fill="auto" w:val="clear"/>
              </w:rPr>
              <w:t xml:space="preserve">Stavby</w:t>
            </w:r>
          </w:p>
        </w:tc>
        <w:tc>
          <w:tcPr>
            <w:tcW w:w="1688" w:type="dxa"/>
            <w:tcBorders>
              <w:top w:val="single" w:color="000000" w:sz="4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18"/>
                <w:shd w:fill="auto" w:val="clear"/>
              </w:rPr>
              <w:t xml:space="preserve">20</w:t>
            </w:r>
          </w:p>
        </w:tc>
        <w:tc>
          <w:tcPr>
            <w:tcW w:w="1239" w:type="dxa"/>
            <w:tcBorders>
              <w:top w:val="single" w:color="000000" w:sz="4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4" w:type="dxa"/>
            <w:tcBorders>
              <w:top w:val="single" w:color="000000" w:sz="4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18"/>
                <w:shd w:fill="auto" w:val="clear"/>
              </w:rPr>
              <w:t xml:space="preserve">lineárna</w:t>
            </w:r>
          </w:p>
        </w:tc>
        <w:tc>
          <w:tcPr>
            <w:tcW w:w="1396" w:type="dxa"/>
            <w:tcBorders>
              <w:top w:val="single" w:color="000000" w:sz="4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79" w:type="dxa"/>
            <w:tcBorders>
              <w:top w:val="single" w:color="000000" w:sz="4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18"/>
                <w:shd w:fill="auto" w:val="clear"/>
              </w:rPr>
              <w:t xml:space="preserve">5</w:t>
            </w:r>
          </w:p>
        </w:tc>
      </w:tr>
      <w:tr>
        <w:trPr>
          <w:trHeight w:val="250" w:hRule="auto"/>
          <w:jc w:val="left"/>
        </w:trPr>
        <w:tc>
          <w:tcPr>
            <w:tcW w:w="3346" w:type="dxa"/>
            <w:gridSpan w:val="2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18"/>
                <w:shd w:fill="auto" w:val="clear"/>
              </w:rPr>
              <w:t xml:space="preserve">Stroje, prístroje a zariadenia</w:t>
            </w:r>
          </w:p>
        </w:tc>
        <w:tc>
          <w:tcPr>
            <w:tcW w:w="1688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18"/>
                <w:shd w:fill="auto" w:val="clear"/>
              </w:rPr>
              <w:t xml:space="preserve">4 a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18"/>
                <w:shd w:fill="auto" w:val="clear"/>
              </w:rPr>
              <w:t xml:space="preserve">ž 6</w:t>
            </w:r>
          </w:p>
        </w:tc>
        <w:tc>
          <w:tcPr>
            <w:tcW w:w="1239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4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18"/>
                <w:shd w:fill="auto" w:val="clear"/>
              </w:rPr>
              <w:t xml:space="preserve">lineárna</w:t>
            </w:r>
          </w:p>
        </w:tc>
        <w:tc>
          <w:tcPr>
            <w:tcW w:w="1396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79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18"/>
                <w:shd w:fill="auto" w:val="clear"/>
              </w:rPr>
              <w:t xml:space="preserve">16,6 a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18"/>
                <w:shd w:fill="auto" w:val="clear"/>
              </w:rPr>
              <w:t xml:space="preserve">ž 25</w:t>
            </w:r>
          </w:p>
        </w:tc>
      </w:tr>
      <w:tr>
        <w:trPr>
          <w:trHeight w:val="250" w:hRule="auto"/>
          <w:jc w:val="left"/>
        </w:trPr>
        <w:tc>
          <w:tcPr>
            <w:tcW w:w="3346" w:type="dxa"/>
            <w:gridSpan w:val="2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8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39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4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96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79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tabs>
          <w:tab w:val="left" w:pos="426" w:leader="none"/>
        </w:tabs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</w:pPr>
    </w:p>
    <w:p>
      <w:pPr>
        <w:tabs>
          <w:tab w:val="left" w:pos="426" w:leader="none"/>
        </w:tabs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  <w:t xml:space="preserve">        Spolo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  <w:t xml:space="preserve">čnosť nem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  <w:t xml:space="preserve">á 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  <w:t xml:space="preserve">žiadny odpisovan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  <w:t xml:space="preserve">ý majetok.</w:t>
      </w:r>
    </w:p>
    <w:p>
      <w:pPr>
        <w:tabs>
          <w:tab w:val="left" w:pos="426" w:leader="none"/>
        </w:tabs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</w:pPr>
    </w:p>
    <w:p>
      <w:pPr>
        <w:keepNext w:val="true"/>
        <w:numPr>
          <w:ilvl w:val="0"/>
          <w:numId w:val="83"/>
        </w:numPr>
        <w:tabs>
          <w:tab w:val="left" w:pos="360" w:leader="none"/>
        </w:tabs>
        <w:spacing w:before="0" w:after="0" w:line="240"/>
        <w:ind w:right="0" w:left="360" w:hanging="36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  <w:t xml:space="preserve">Zmeny ú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  <w:t xml:space="preserve">ých zásad a metód v danom ú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  <w:t xml:space="preserve">čtovnom obdob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  <w:t xml:space="preserve">í neboli prevedené</w:t>
      </w:r>
    </w:p>
    <w:p>
      <w:pPr>
        <w:keepNext w:val="true"/>
        <w:numPr>
          <w:ilvl w:val="0"/>
          <w:numId w:val="83"/>
        </w:numPr>
        <w:tabs>
          <w:tab w:val="left" w:pos="360" w:leader="none"/>
        </w:tabs>
        <w:spacing w:before="0" w:after="0" w:line="240"/>
        <w:ind w:right="0" w:left="360" w:hanging="36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  <w:t xml:space="preserve">Dotácie ú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  <w:t xml:space="preserve">čtovnej jednotke neboli pridelen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  <w:t xml:space="preserve">é</w:t>
      </w:r>
    </w:p>
    <w:p>
      <w:pPr>
        <w:keepNext w:val="true"/>
        <w:numPr>
          <w:ilvl w:val="0"/>
          <w:numId w:val="83"/>
        </w:numPr>
        <w:tabs>
          <w:tab w:val="left" w:pos="360" w:leader="none"/>
        </w:tabs>
        <w:spacing w:before="0" w:after="0" w:line="240"/>
        <w:ind w:right="0" w:left="360" w:hanging="36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  <w:t xml:space="preserve">Opravy chýb minulých období v danom ú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  <w:t xml:space="preserve">čtovnom obdob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  <w:t xml:space="preserve">í neboli prevedené.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Čl. III. INFORM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ÁCIE, KTORÉ VYSVET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ĽUJ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Ú A DOP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ĹŇAJ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Ú SÚVAHU A VÝKAZ ZISKOV A STRÁT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85"/>
        </w:numPr>
        <w:tabs>
          <w:tab w:val="left" w:pos="720" w:leader="none"/>
          <w:tab w:val="left" w:pos="0" w:leader="none"/>
        </w:tabs>
        <w:spacing w:before="0" w:after="0" w:line="240"/>
        <w:ind w:right="0" w:left="720" w:hanging="72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Nebol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čtovan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ý </w:t>
      </w:r>
    </w:p>
    <w:p>
      <w:pPr>
        <w:numPr>
          <w:ilvl w:val="0"/>
          <w:numId w:val="85"/>
        </w:numPr>
        <w:tabs>
          <w:tab w:val="left" w:pos="720" w:leader="none"/>
          <w:tab w:val="left" w:pos="0" w:leader="none"/>
        </w:tabs>
        <w:spacing w:before="0" w:after="0" w:line="240"/>
        <w:ind w:right="0" w:left="720" w:hanging="72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Informácie o záväzkoch:  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čnosť nemá žiadne záväzky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           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          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3.           O akciách vo firme nebolo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čtovan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é.</w:t>
      </w:r>
    </w:p>
    <w:p>
      <w:pPr>
        <w:spacing w:before="0" w:after="200" w:line="276"/>
        <w:ind w:right="0" w:left="360" w:hanging="36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4.            Informácie o o orgánoch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čtovnej jednotky :</w:t>
      </w: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O zárukách, pô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žičk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ách a pou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žit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 finan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ých prostriedkov na súkromné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čely nebolo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čtovan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é.</w:t>
      </w:r>
    </w:p>
    <w:p>
      <w:pPr>
        <w:spacing w:before="0" w:after="200" w:line="276"/>
        <w:ind w:right="0" w:left="720" w:hanging="72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5.           Informácie o povinnostiach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čtovnej jednotky:     Nebolo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čtovan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é.</w:t>
      </w: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</w:body>
</w:document>
</file>

<file path=word/numbering.xml><?xml version="1.0" encoding="utf-8"?>
<w:numbering xmlns:w="http://schemas.openxmlformats.org/wordprocessingml/2006/main">
  <w:abstractNum w:abstractNumId="3">
    <w:lvl w:ilvl="0">
      <w:start w:val="1"/>
      <w:numFmt w:val="upperLetter"/>
      <w:lvlText w:val="%1."/>
    </w:lvl>
  </w:abstractNum>
  <w:abstractNum w:abstractNumId="1">
    <w:lvl w:ilvl="0">
      <w:start w:val="1"/>
      <w:numFmt w:val="decimal"/>
      <w:lvlText w:val="%1."/>
    </w:lvl>
  </w:abstractNum>
  <w:abstractNum w:abstractNumId="7">
    <w:lvl w:ilvl="0">
      <w:start w:val="1"/>
      <w:numFmt w:val="decimal"/>
      <w:lvlText w:val="%1."/>
    </w:lvl>
  </w:abstractNum>
  <w:abstractNum w:abstractNumId="13">
    <w:lvl w:ilvl="0">
      <w:start w:val="1"/>
      <w:numFmt w:val="decimal"/>
      <w:lvlText w:val="%1."/>
    </w:lvl>
  </w:abstractNum>
  <w:abstractNum w:abstractNumId="19">
    <w:lvl w:ilvl="0">
      <w:start w:val="1"/>
      <w:numFmt w:val="decimal"/>
      <w:lvlText w:val="%1."/>
    </w:lvl>
  </w:abstractNum>
  <w:abstractNum w:abstractNumId="25">
    <w:lvl w:ilvl="0">
      <w:start w:val="1"/>
      <w:numFmt w:val="decimal"/>
      <w:lvlText w:val="%1."/>
    </w:lvl>
  </w:abstractNum>
  <w:abstractNum w:abstractNumId="31">
    <w:lvl w:ilvl="0">
      <w:start w:val="1"/>
      <w:numFmt w:val="decimal"/>
      <w:lvlText w:val="%1."/>
    </w:lvl>
  </w:abstractNum>
  <w:abstractNum w:abstractNumId="37">
    <w:lvl w:ilvl="0">
      <w:start w:val="1"/>
      <w:numFmt w:val="decimal"/>
      <w:lvlText w:val="%1."/>
    </w:lvl>
  </w:abstractNum>
  <w:abstractNum w:abstractNumId="0">
    <w:lvl w:ilvl="0">
      <w:start w:val="1"/>
      <w:numFmt w:val="bullet"/>
      <w:lvlText w:val="•"/>
    </w:lvl>
  </w:abstractNum>
  <w:num w:numId="7">
    <w:abstractNumId w:val="3"/>
  </w:num>
  <w:num w:numId="8">
    <w:abstractNumId w:val="37"/>
  </w:num>
  <w:num w:numId="10">
    <w:abstractNumId w:val="31"/>
  </w:num>
  <w:num w:numId="12">
    <w:abstractNumId w:val="25"/>
  </w:num>
  <w:num w:numId="15">
    <w:abstractNumId w:val="19"/>
  </w:num>
  <w:num w:numId="17">
    <w:abstractNumId w:val="13"/>
  </w:num>
  <w:num w:numId="21">
    <w:abstractNumId w:val="7"/>
  </w:num>
  <w:num w:numId="83">
    <w:abstractNumId w:val="1"/>
  </w:num>
  <w:num w:numId="85">
    <w:abstractNumId w:val="0"/>
  </w:num>
</w:numbering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numbering.xml" Id="docRId0" Type="http://schemas.openxmlformats.org/officeDocument/2006/relationships/numbering" /><Relationship Target="styles.xml" Id="docRId1" Type="http://schemas.openxmlformats.org/officeDocument/2006/relationships/styles" /></Relationships>
</file>