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tblInd w:w="38" w:type="dxa"/>
        <w:tblCellMar>
          <w:left w:w="10" w:type="dxa"/>
          <w:right w:w="10" w:type="dxa"/>
        </w:tblCellMar>
        <w:tblLook w:val="0000"/>
      </w:tblPr>
      <w:tblGrid>
        <w:gridCol w:w="2599"/>
        <w:gridCol w:w="2147"/>
        <w:gridCol w:w="337"/>
        <w:gridCol w:w="334"/>
        <w:gridCol w:w="337"/>
        <w:gridCol w:w="337"/>
        <w:gridCol w:w="337"/>
        <w:gridCol w:w="337"/>
        <w:gridCol w:w="337"/>
        <w:gridCol w:w="337"/>
        <w:gridCol w:w="567"/>
        <w:gridCol w:w="311"/>
        <w:gridCol w:w="311"/>
        <w:gridCol w:w="311"/>
        <w:gridCol w:w="311"/>
      </w:tblGrid>
      <w:tr w:rsidR="000A7F87">
        <w:trPr>
          <w:trHeight w:val="1"/>
        </w:trPr>
        <w:tc>
          <w:tcPr>
            <w:tcW w:w="30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keepNext/>
              <w:spacing w:after="120" w:line="240" w:lineRule="auto"/>
            </w:pPr>
            <w:r>
              <w:rPr>
                <w:rFonts w:ascii="Arial Narrow" w:eastAsia="Arial Narrow" w:hAnsi="Arial Narrow" w:cs="Arial Narrow"/>
              </w:rPr>
              <w:t>5Poznámky (</w:t>
            </w:r>
            <w:proofErr w:type="spellStart"/>
            <w:r>
              <w:rPr>
                <w:rFonts w:ascii="Arial Narrow" w:eastAsia="Arial Narrow" w:hAnsi="Arial Narrow" w:cs="Arial Narrow"/>
              </w:rPr>
              <w:t>Úč</w:t>
            </w:r>
            <w:proofErr w:type="spellEnd"/>
            <w:r>
              <w:rPr>
                <w:rFonts w:ascii="Arial Narrow" w:eastAsia="Arial Narrow" w:hAnsi="Arial Narrow" w:cs="Arial Narrow"/>
              </w:rPr>
              <w:t xml:space="preserve">  NUJ 3 – 01)</w:t>
            </w:r>
          </w:p>
        </w:tc>
        <w:tc>
          <w:tcPr>
            <w:tcW w:w="26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keepNext/>
              <w:spacing w:after="120" w:line="240" w:lineRule="auto"/>
              <w:jc w:val="right"/>
            </w:pPr>
            <w:r>
              <w:rPr>
                <w:rFonts w:ascii="Arial Narrow" w:eastAsia="Arial Narrow" w:hAnsi="Arial Narrow" w:cs="Arial Narrow"/>
                <w:b/>
              </w:rPr>
              <w:t xml:space="preserve">IČO </w:t>
            </w:r>
          </w:p>
        </w:tc>
        <w:tc>
          <w:tcPr>
            <w:tcW w:w="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31038E">
            <w:pPr>
              <w:keepNext/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5</w:t>
            </w:r>
          </w:p>
        </w:tc>
        <w:tc>
          <w:tcPr>
            <w:tcW w:w="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31038E">
            <w:pPr>
              <w:keepNext/>
              <w:spacing w:after="120" w:line="240" w:lineRule="auto"/>
              <w:jc w:val="both"/>
            </w:pPr>
            <w:r>
              <w:rPr>
                <w:rFonts w:ascii="Arial Narrow" w:eastAsia="Arial Narrow" w:hAnsi="Arial Narrow" w:cs="Arial Narrow"/>
                <w:b/>
              </w:rPr>
              <w:t>0</w:t>
            </w:r>
          </w:p>
        </w:tc>
        <w:tc>
          <w:tcPr>
            <w:tcW w:w="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31038E">
            <w:pPr>
              <w:keepNext/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</w:t>
            </w:r>
          </w:p>
        </w:tc>
        <w:tc>
          <w:tcPr>
            <w:tcW w:w="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31038E">
            <w:pPr>
              <w:keepNext/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  <w:tc>
          <w:tcPr>
            <w:tcW w:w="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31038E">
            <w:pPr>
              <w:keepNext/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6</w:t>
            </w:r>
          </w:p>
        </w:tc>
        <w:tc>
          <w:tcPr>
            <w:tcW w:w="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31038E">
            <w:pPr>
              <w:keepNext/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5</w:t>
            </w:r>
          </w:p>
        </w:tc>
        <w:tc>
          <w:tcPr>
            <w:tcW w:w="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31038E">
            <w:pPr>
              <w:keepNext/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</w:t>
            </w:r>
          </w:p>
        </w:tc>
        <w:tc>
          <w:tcPr>
            <w:tcW w:w="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31038E">
            <w:pPr>
              <w:keepNext/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31038E">
            <w:pPr>
              <w:keepNext/>
              <w:spacing w:after="120" w:line="240" w:lineRule="auto"/>
              <w:jc w:val="both"/>
            </w:pPr>
            <w:r>
              <w:rPr>
                <w:rFonts w:ascii="Arial Narrow" w:eastAsia="Arial Narrow" w:hAnsi="Arial Narrow" w:cs="Arial Narrow"/>
                <w:b/>
              </w:rPr>
              <w:t>/SID</w:t>
            </w:r>
          </w:p>
        </w:tc>
        <w:tc>
          <w:tcPr>
            <w:tcW w:w="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keepNext/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keepNext/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keepNext/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keepNext/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</w:tbl>
    <w:p w:rsidR="000A7F87" w:rsidRDefault="000A7F87">
      <w:pPr>
        <w:keepNext/>
        <w:spacing w:after="120" w:line="240" w:lineRule="auto"/>
        <w:jc w:val="both"/>
        <w:rPr>
          <w:rFonts w:ascii="Arial Narrow" w:eastAsia="Arial Narrow" w:hAnsi="Arial Narrow" w:cs="Arial Narrow"/>
          <w:b/>
        </w:rPr>
      </w:pPr>
    </w:p>
    <w:p w:rsidR="000A7F87" w:rsidRDefault="0031038E">
      <w:pPr>
        <w:keepNext/>
        <w:spacing w:after="120" w:line="240" w:lineRule="auto"/>
        <w:jc w:val="center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Čl. I</w:t>
      </w:r>
    </w:p>
    <w:p w:rsidR="000A7F87" w:rsidRDefault="0031038E">
      <w:pPr>
        <w:keepNext/>
        <w:spacing w:after="120" w:line="240" w:lineRule="auto"/>
        <w:jc w:val="center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Všeobecné údaje</w:t>
      </w:r>
    </w:p>
    <w:p w:rsidR="000A7F87" w:rsidRDefault="0031038E">
      <w:pPr>
        <w:spacing w:after="0" w:line="240" w:lineRule="auto"/>
        <w:ind w:left="426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(1) Obchodné meno: </w:t>
      </w:r>
    </w:p>
    <w:p w:rsidR="000A7F87" w:rsidRDefault="0031038E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18"/>
        </w:rPr>
      </w:pPr>
      <w:r>
        <w:rPr>
          <w:rFonts w:ascii="Times New Roman" w:eastAsia="Times New Roman" w:hAnsi="Times New Roman" w:cs="Times New Roman"/>
        </w:rPr>
        <w:t xml:space="preserve">(1) </w:t>
      </w:r>
    </w:p>
    <w:p w:rsidR="000A7F87" w:rsidRDefault="0031038E">
      <w:p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sz w:val="18"/>
        </w:rPr>
      </w:pPr>
      <w:r>
        <w:rPr>
          <w:rFonts w:ascii="Times New Roman" w:eastAsia="Times New Roman" w:hAnsi="Times New Roman" w:cs="Times New Roman"/>
          <w:sz w:val="18"/>
        </w:rPr>
        <w:t xml:space="preserve"> ORTOKAL, </w:t>
      </w:r>
      <w:proofErr w:type="spellStart"/>
      <w:r>
        <w:rPr>
          <w:rFonts w:ascii="Times New Roman" w:eastAsia="Times New Roman" w:hAnsi="Times New Roman" w:cs="Times New Roman"/>
          <w:sz w:val="18"/>
        </w:rPr>
        <w:t>n.o</w:t>
      </w:r>
      <w:proofErr w:type="spellEnd"/>
      <w:r>
        <w:rPr>
          <w:rFonts w:ascii="Times New Roman" w:eastAsia="Times New Roman" w:hAnsi="Times New Roman" w:cs="Times New Roman"/>
          <w:sz w:val="18"/>
        </w:rPr>
        <w:t>.</w:t>
      </w:r>
    </w:p>
    <w:p w:rsidR="000A7F87" w:rsidRDefault="0031038E">
      <w:pPr>
        <w:spacing w:after="0" w:line="240" w:lineRule="auto"/>
        <w:jc w:val="both"/>
        <w:rPr>
          <w:rFonts w:ascii="Times New Roman" w:eastAsia="Times New Roman" w:hAnsi="Times New Roman" w:cs="Times New Roman"/>
          <w:sz w:val="18"/>
        </w:rPr>
      </w:pPr>
      <w:r>
        <w:rPr>
          <w:rFonts w:ascii="Times New Roman" w:eastAsia="Times New Roman" w:hAnsi="Times New Roman" w:cs="Times New Roman"/>
          <w:sz w:val="18"/>
        </w:rPr>
        <w:t xml:space="preserve">         Rastislavova 60</w:t>
      </w:r>
    </w:p>
    <w:p w:rsidR="000A7F87" w:rsidRDefault="0031038E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18"/>
        </w:rPr>
      </w:pPr>
      <w:r>
        <w:rPr>
          <w:rFonts w:ascii="Times New Roman" w:eastAsia="Times New Roman" w:hAnsi="Times New Roman" w:cs="Times New Roman"/>
          <w:sz w:val="18"/>
        </w:rPr>
        <w:t xml:space="preserve">040 01  Košice </w:t>
      </w:r>
    </w:p>
    <w:p w:rsidR="000A7F87" w:rsidRDefault="0031038E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18"/>
        </w:rPr>
      </w:pPr>
      <w:r>
        <w:rPr>
          <w:rFonts w:ascii="Times New Roman" w:eastAsia="Times New Roman" w:hAnsi="Times New Roman" w:cs="Times New Roman"/>
          <w:sz w:val="18"/>
        </w:rPr>
        <w:t xml:space="preserve">Ďalej len </w:t>
      </w:r>
      <w:proofErr w:type="spellStart"/>
      <w:r>
        <w:rPr>
          <w:rFonts w:ascii="Times New Roman" w:eastAsia="Times New Roman" w:hAnsi="Times New Roman" w:cs="Times New Roman"/>
          <w:sz w:val="18"/>
        </w:rPr>
        <w:t>n.o</w:t>
      </w:r>
      <w:proofErr w:type="spellEnd"/>
      <w:r>
        <w:rPr>
          <w:rFonts w:ascii="Times New Roman" w:eastAsia="Times New Roman" w:hAnsi="Times New Roman" w:cs="Times New Roman"/>
          <w:sz w:val="18"/>
        </w:rPr>
        <w:t>.</w:t>
      </w:r>
    </w:p>
    <w:p w:rsidR="000A7F87" w:rsidRDefault="0031038E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18"/>
        </w:rPr>
      </w:pPr>
      <w:r>
        <w:rPr>
          <w:rFonts w:ascii="Times New Roman" w:eastAsia="Times New Roman" w:hAnsi="Times New Roman" w:cs="Times New Roman"/>
        </w:rPr>
        <w:t xml:space="preserve">         </w:t>
      </w:r>
    </w:p>
    <w:p w:rsidR="000A7F87" w:rsidRDefault="0031038E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18"/>
        </w:rPr>
      </w:pPr>
      <w:r>
        <w:rPr>
          <w:rFonts w:ascii="Times New Roman" w:eastAsia="Times New Roman" w:hAnsi="Times New Roman" w:cs="Times New Roman"/>
          <w:sz w:val="18"/>
        </w:rPr>
        <w:t xml:space="preserve">ORTOKAL, </w:t>
      </w:r>
      <w:proofErr w:type="spellStart"/>
      <w:r>
        <w:rPr>
          <w:rFonts w:ascii="Times New Roman" w:eastAsia="Times New Roman" w:hAnsi="Times New Roman" w:cs="Times New Roman"/>
          <w:sz w:val="18"/>
        </w:rPr>
        <w:t>n.o</w:t>
      </w:r>
      <w:proofErr w:type="spellEnd"/>
      <w:r>
        <w:rPr>
          <w:rFonts w:ascii="Times New Roman" w:eastAsia="Times New Roman" w:hAnsi="Times New Roman" w:cs="Times New Roman"/>
          <w:sz w:val="18"/>
        </w:rPr>
        <w:t xml:space="preserve">. (ďalej len </w:t>
      </w:r>
      <w:proofErr w:type="spellStart"/>
      <w:r>
        <w:rPr>
          <w:rFonts w:ascii="Times New Roman" w:eastAsia="Times New Roman" w:hAnsi="Times New Roman" w:cs="Times New Roman"/>
          <w:sz w:val="18"/>
        </w:rPr>
        <w:t>n.o</w:t>
      </w:r>
      <w:proofErr w:type="spellEnd"/>
      <w:r>
        <w:rPr>
          <w:rFonts w:ascii="Times New Roman" w:eastAsia="Times New Roman" w:hAnsi="Times New Roman" w:cs="Times New Roman"/>
          <w:sz w:val="18"/>
        </w:rPr>
        <w:t>.) bola založená 1. decembra 2015 Zakladacou listinou  a na Okresnom úrade v Košiciach  bola zapísaná do registra  pod č. OVVS/63/2015 dňa 18.12.2015 s nadobudnutím právoplatnosti</w:t>
      </w:r>
    </w:p>
    <w:p w:rsidR="000A7F87" w:rsidRPr="00575755" w:rsidRDefault="0031038E" w:rsidP="00575755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18"/>
        </w:rPr>
      </w:pPr>
      <w:r>
        <w:rPr>
          <w:rFonts w:ascii="Times New Roman" w:eastAsia="Times New Roman" w:hAnsi="Times New Roman" w:cs="Times New Roman"/>
          <w:sz w:val="18"/>
        </w:rPr>
        <w:t>dňa 22.12.2015.</w:t>
      </w:r>
      <w:r>
        <w:rPr>
          <w:rFonts w:ascii="Arial Narrow" w:eastAsia="Arial Narrow" w:hAnsi="Arial Narrow" w:cs="Arial Narrow"/>
        </w:rPr>
        <w:t>.</w:t>
      </w:r>
    </w:p>
    <w:p w:rsidR="000A7F87" w:rsidRDefault="0031038E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(2) Informácie o členoch štatutárnych orgánov, dozorných orgánov  a iných orgánov účtovnej jednotky; uvádzajú sa mená a priezviská členov štatutárnych orgánov, dozorných orgánov a iných orgánov účtovnej jednotky.</w:t>
      </w:r>
    </w:p>
    <w:p w:rsidR="000A7F87" w:rsidRDefault="0031038E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ab/>
      </w:r>
      <w:r>
        <w:rPr>
          <w:rFonts w:ascii="Arial Narrow" w:eastAsia="Arial Narrow" w:hAnsi="Arial Narrow" w:cs="Arial Narrow"/>
        </w:rPr>
        <w:tab/>
      </w:r>
      <w:r>
        <w:rPr>
          <w:rFonts w:ascii="Arial Narrow" w:eastAsia="Arial Narrow" w:hAnsi="Arial Narrow" w:cs="Arial Narrow"/>
        </w:rPr>
        <w:tab/>
      </w:r>
      <w:r>
        <w:rPr>
          <w:rFonts w:ascii="Arial Narrow" w:eastAsia="Arial Narrow" w:hAnsi="Arial Narrow" w:cs="Arial Narrow"/>
        </w:rPr>
        <w:tab/>
        <w:t xml:space="preserve">      Štatutárny orgán  - riaditeľ </w:t>
      </w:r>
      <w:proofErr w:type="spellStart"/>
      <w:r>
        <w:rPr>
          <w:rFonts w:ascii="Arial Narrow" w:eastAsia="Arial Narrow" w:hAnsi="Arial Narrow" w:cs="Arial Narrow"/>
        </w:rPr>
        <w:t>n.o</w:t>
      </w:r>
      <w:proofErr w:type="spellEnd"/>
      <w:r>
        <w:rPr>
          <w:rFonts w:ascii="Arial Narrow" w:eastAsia="Arial Narrow" w:hAnsi="Arial Narrow" w:cs="Arial Narrow"/>
        </w:rPr>
        <w:t xml:space="preserve">. MUDr. Ondrej </w:t>
      </w:r>
      <w:proofErr w:type="spellStart"/>
      <w:r>
        <w:rPr>
          <w:rFonts w:ascii="Arial Narrow" w:eastAsia="Arial Narrow" w:hAnsi="Arial Narrow" w:cs="Arial Narrow"/>
        </w:rPr>
        <w:t>Kalanin</w:t>
      </w:r>
      <w:proofErr w:type="spellEnd"/>
      <w:r>
        <w:rPr>
          <w:rFonts w:ascii="Arial Narrow" w:eastAsia="Arial Narrow" w:hAnsi="Arial Narrow" w:cs="Arial Narrow"/>
        </w:rPr>
        <w:t>, MPH</w:t>
      </w:r>
    </w:p>
    <w:p w:rsidR="000A7F87" w:rsidRDefault="0031038E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(3)  Opis činnosti, na účel ktorej bola účtovná jednotka zriadená a opis druhu podnikateľskej činnosti, ak ju účtovná jednotka vykonáva.</w:t>
      </w:r>
    </w:p>
    <w:p w:rsidR="000A7F87" w:rsidRDefault="0031038E">
      <w:pPr>
        <w:spacing w:after="0" w:line="240" w:lineRule="auto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N.O. je zameraná na poskytovanie všeobecných služieb:</w:t>
      </w:r>
    </w:p>
    <w:p w:rsidR="000A7F87" w:rsidRDefault="0031038E">
      <w:pPr>
        <w:spacing w:after="0" w:line="240" w:lineRule="auto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-  podpora ochrany zdravia a vzdelávania,</w:t>
      </w:r>
    </w:p>
    <w:p w:rsidR="000A7F87" w:rsidRDefault="0031038E">
      <w:pPr>
        <w:spacing w:after="0" w:line="240" w:lineRule="auto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- poskytovanie zdravotnej starostlivosti pacientom, podpora zlepšenia vybavenosti </w:t>
      </w:r>
    </w:p>
    <w:p w:rsidR="000A7F87" w:rsidRDefault="0031038E">
      <w:pPr>
        <w:spacing w:after="0" w:line="240" w:lineRule="auto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  </w:t>
      </w:r>
      <w:r w:rsidR="003A4EF4">
        <w:rPr>
          <w:rFonts w:ascii="Times New Roman" w:eastAsia="Times New Roman" w:hAnsi="Times New Roman" w:cs="Times New Roman"/>
        </w:rPr>
        <w:t>ortopedické</w:t>
      </w:r>
      <w:r>
        <w:rPr>
          <w:rFonts w:ascii="Times New Roman" w:eastAsia="Times New Roman" w:hAnsi="Times New Roman" w:cs="Times New Roman"/>
        </w:rPr>
        <w:t xml:space="preserve"> ambulancie a podpora prevencie ortopedických ochorení</w:t>
      </w:r>
    </w:p>
    <w:p w:rsidR="000A7F87" w:rsidRDefault="0031038E">
      <w:pPr>
        <w:spacing w:after="0" w:line="240" w:lineRule="auto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- vzdeláv</w:t>
      </w:r>
      <w:r w:rsidR="003A4EF4">
        <w:rPr>
          <w:rFonts w:ascii="Times New Roman" w:eastAsia="Times New Roman" w:hAnsi="Times New Roman" w:cs="Times New Roman"/>
        </w:rPr>
        <w:t>anie odborného zdravotníckeho p</w:t>
      </w:r>
      <w:r>
        <w:rPr>
          <w:rFonts w:ascii="Times New Roman" w:eastAsia="Times New Roman" w:hAnsi="Times New Roman" w:cs="Times New Roman"/>
        </w:rPr>
        <w:t>ersonálu o</w:t>
      </w:r>
      <w:r w:rsidR="003A4EF4">
        <w:rPr>
          <w:rFonts w:ascii="Times New Roman" w:eastAsia="Times New Roman" w:hAnsi="Times New Roman" w:cs="Times New Roman"/>
        </w:rPr>
        <w:t>r</w:t>
      </w:r>
      <w:r>
        <w:rPr>
          <w:rFonts w:ascii="Times New Roman" w:eastAsia="Times New Roman" w:hAnsi="Times New Roman" w:cs="Times New Roman"/>
        </w:rPr>
        <w:t>topedickej ambulancie, vrátane školení,</w:t>
      </w:r>
    </w:p>
    <w:p w:rsidR="000A7F87" w:rsidRDefault="0031038E">
      <w:pPr>
        <w:spacing w:after="0" w:line="240" w:lineRule="auto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  podujatí a iných odborných aktivít na skvalitnenie ich pracovného prostredia</w:t>
      </w:r>
    </w:p>
    <w:p w:rsidR="000A7F87" w:rsidRDefault="0031038E">
      <w:pPr>
        <w:spacing w:after="0" w:line="240" w:lineRule="auto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- organizácia edukačných akcií, prednášok s tematikou ochorenia pohybového aparátu, </w:t>
      </w:r>
    </w:p>
    <w:p w:rsidR="000A7F87" w:rsidRDefault="003A4EF4">
      <w:pPr>
        <w:spacing w:after="0" w:line="240" w:lineRule="auto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  </w:t>
      </w:r>
      <w:proofErr w:type="spellStart"/>
      <w:r>
        <w:rPr>
          <w:rFonts w:ascii="Times New Roman" w:eastAsia="Times New Roman" w:hAnsi="Times New Roman" w:cs="Times New Roman"/>
        </w:rPr>
        <w:t>degeneratívny</w:t>
      </w:r>
      <w:r w:rsidR="0031038E">
        <w:rPr>
          <w:rFonts w:ascii="Times New Roman" w:eastAsia="Times New Roman" w:hAnsi="Times New Roman" w:cs="Times New Roman"/>
        </w:rPr>
        <w:t>ch</w:t>
      </w:r>
      <w:proofErr w:type="spellEnd"/>
      <w:r w:rsidR="0031038E">
        <w:rPr>
          <w:rFonts w:ascii="Times New Roman" w:eastAsia="Times New Roman" w:hAnsi="Times New Roman" w:cs="Times New Roman"/>
        </w:rPr>
        <w:t xml:space="preserve"> ochorení skeletu a možnostiach ich diagnostiky, liečby a prevencie.</w:t>
      </w:r>
    </w:p>
    <w:p w:rsidR="000A7F87" w:rsidRDefault="0031038E">
      <w:pPr>
        <w:spacing w:after="0" w:line="240" w:lineRule="auto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- podpora nákupu zdravotníckych pomôcok, diagnostických prístrojov, zariadení a materiálu</w:t>
      </w:r>
    </w:p>
    <w:p w:rsidR="000A7F87" w:rsidRDefault="0031038E">
      <w:pPr>
        <w:spacing w:after="0" w:line="240" w:lineRule="auto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  a  kompenzačných pomôcok uľahčujúcich mobilitu postihnutých</w:t>
      </w:r>
    </w:p>
    <w:p w:rsidR="000A7F87" w:rsidRDefault="000A7F87">
      <w:pPr>
        <w:spacing w:after="0" w:line="240" w:lineRule="auto"/>
        <w:jc w:val="both"/>
        <w:rPr>
          <w:rFonts w:ascii="Times New Roman" w:eastAsia="Times New Roman" w:hAnsi="Times New Roman" w:cs="Times New Roman"/>
        </w:rPr>
      </w:pPr>
    </w:p>
    <w:p w:rsidR="000A7F87" w:rsidRDefault="0031038E" w:rsidP="008C697B">
      <w:pPr>
        <w:spacing w:after="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(4) Priemerný prepočítaný počet zamestnancov, a z toho počet vedúcich zamestnancov účtovnej jednotky za účtovné obdobie, za ktoré sa zostavuje účtovná závierka (ďalej len „bežné účtovné obdobie“) a za bezprostredne predchádzajúce účtovné obdobie. Počet dobrovoľníkov vyslaných účtovnou jednotkou a počet dobrovoľníkov, ktorí vykonávali dobrovoľnícku činnosť pre účtovnú jednotku počas bežného účtovného obdobia a bezprostredne predchádzajúceho účtovného obdobia. </w:t>
      </w:r>
    </w:p>
    <w:p w:rsidR="000A7F87" w:rsidRDefault="0031038E">
      <w:pPr>
        <w:spacing w:after="12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   Tabuľka  o počte zamestnancov a dobrovoľníkov</w:t>
      </w:r>
    </w:p>
    <w:tbl>
      <w:tblPr>
        <w:tblW w:w="0" w:type="auto"/>
        <w:tblInd w:w="250" w:type="dxa"/>
        <w:tblCellMar>
          <w:left w:w="10" w:type="dxa"/>
          <w:right w:w="10" w:type="dxa"/>
        </w:tblCellMar>
        <w:tblLook w:val="0000"/>
      </w:tblPr>
      <w:tblGrid>
        <w:gridCol w:w="3474"/>
        <w:gridCol w:w="2782"/>
        <w:gridCol w:w="2782"/>
      </w:tblGrid>
      <w:tr w:rsidR="000A7F87">
        <w:trPr>
          <w:trHeight w:val="1"/>
        </w:trPr>
        <w:tc>
          <w:tcPr>
            <w:tcW w:w="4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numPr>
                <w:ilvl w:val="0"/>
                <w:numId w:val="1"/>
              </w:numPr>
              <w:tabs>
                <w:tab w:val="left" w:pos="1440"/>
              </w:tabs>
              <w:spacing w:after="0" w:line="240" w:lineRule="auto"/>
              <w:ind w:left="1440" w:hanging="360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Bežné  účtovné obdobie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Bezprostredne predchádzajúce účtovné obdobie</w:t>
            </w:r>
          </w:p>
        </w:tc>
      </w:tr>
      <w:tr w:rsidR="000A7F87">
        <w:trPr>
          <w:trHeight w:val="391"/>
        </w:trPr>
        <w:tc>
          <w:tcPr>
            <w:tcW w:w="4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numPr>
                <w:ilvl w:val="0"/>
                <w:numId w:val="2"/>
              </w:numPr>
              <w:tabs>
                <w:tab w:val="left" w:pos="1440"/>
              </w:tabs>
              <w:spacing w:after="0" w:line="240" w:lineRule="auto"/>
              <w:ind w:left="1440" w:hanging="360"/>
            </w:pPr>
            <w:r>
              <w:rPr>
                <w:rFonts w:ascii="Arial Narrow" w:eastAsia="Arial Narrow" w:hAnsi="Arial Narrow" w:cs="Arial Narrow"/>
              </w:rPr>
              <w:t>Priemerný prepočítaný počet zamestnancov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numPr>
                <w:ilvl w:val="0"/>
                <w:numId w:val="2"/>
              </w:numPr>
              <w:tabs>
                <w:tab w:val="left" w:pos="1440"/>
              </w:tabs>
              <w:spacing w:after="0" w:line="240" w:lineRule="auto"/>
              <w:ind w:left="1440" w:hanging="360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numPr>
                <w:ilvl w:val="0"/>
                <w:numId w:val="2"/>
              </w:numPr>
              <w:tabs>
                <w:tab w:val="left" w:pos="1440"/>
              </w:tabs>
              <w:spacing w:after="0" w:line="240" w:lineRule="auto"/>
              <w:ind w:left="1440" w:hanging="360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</w:tr>
      <w:tr w:rsidR="000A7F87">
        <w:trPr>
          <w:trHeight w:val="391"/>
        </w:trPr>
        <w:tc>
          <w:tcPr>
            <w:tcW w:w="4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numPr>
                <w:ilvl w:val="0"/>
                <w:numId w:val="2"/>
              </w:numPr>
              <w:tabs>
                <w:tab w:val="left" w:pos="1440"/>
              </w:tabs>
              <w:spacing w:after="0" w:line="240" w:lineRule="auto"/>
              <w:ind w:left="1440" w:hanging="360"/>
            </w:pPr>
            <w:r>
              <w:rPr>
                <w:rFonts w:ascii="Arial Narrow" w:eastAsia="Arial Narrow" w:hAnsi="Arial Narrow" w:cs="Arial Narrow"/>
              </w:rPr>
              <w:t>z toho  počet vedúcich zamestnancov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numPr>
                <w:ilvl w:val="0"/>
                <w:numId w:val="2"/>
              </w:numPr>
              <w:tabs>
                <w:tab w:val="left" w:pos="1440"/>
              </w:tabs>
              <w:spacing w:after="0" w:line="240" w:lineRule="auto"/>
              <w:ind w:left="1440" w:hanging="360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numPr>
                <w:ilvl w:val="0"/>
                <w:numId w:val="2"/>
              </w:numPr>
              <w:tabs>
                <w:tab w:val="left" w:pos="1440"/>
              </w:tabs>
              <w:spacing w:after="0" w:line="240" w:lineRule="auto"/>
              <w:ind w:left="1440" w:hanging="360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</w:tr>
      <w:tr w:rsidR="000A7F87">
        <w:trPr>
          <w:trHeight w:val="391"/>
        </w:trPr>
        <w:tc>
          <w:tcPr>
            <w:tcW w:w="4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numPr>
                <w:ilvl w:val="0"/>
                <w:numId w:val="2"/>
              </w:numPr>
              <w:tabs>
                <w:tab w:val="left" w:pos="1440"/>
              </w:tabs>
              <w:spacing w:after="0" w:line="240" w:lineRule="auto"/>
              <w:ind w:left="1440" w:hanging="360"/>
            </w:pPr>
            <w:r>
              <w:rPr>
                <w:rFonts w:ascii="Arial Narrow" w:eastAsia="Arial Narrow" w:hAnsi="Arial Narrow" w:cs="Arial Narrow"/>
              </w:rPr>
              <w:t xml:space="preserve">Počet dobrovoľníkov vyslaných účtovnou jednotkou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numPr>
                <w:ilvl w:val="0"/>
                <w:numId w:val="2"/>
              </w:numPr>
              <w:tabs>
                <w:tab w:val="left" w:pos="1440"/>
              </w:tabs>
              <w:spacing w:after="0" w:line="240" w:lineRule="auto"/>
              <w:ind w:left="1440" w:hanging="360"/>
              <w:jc w:val="center"/>
            </w:pPr>
            <w:r>
              <w:rPr>
                <w:rFonts w:ascii="Arial Narrow" w:eastAsia="Arial Narrow" w:hAnsi="Arial Narrow" w:cs="Arial Narrow"/>
              </w:rPr>
              <w:t>0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numPr>
                <w:ilvl w:val="0"/>
                <w:numId w:val="2"/>
              </w:numPr>
              <w:tabs>
                <w:tab w:val="left" w:pos="1440"/>
              </w:tabs>
              <w:spacing w:after="0" w:line="240" w:lineRule="auto"/>
              <w:ind w:left="1440" w:hanging="360"/>
              <w:jc w:val="center"/>
            </w:pPr>
            <w:r>
              <w:rPr>
                <w:rFonts w:ascii="Arial Narrow" w:eastAsia="Arial Narrow" w:hAnsi="Arial Narrow" w:cs="Arial Narrow"/>
              </w:rPr>
              <w:t>0</w:t>
            </w:r>
          </w:p>
        </w:tc>
      </w:tr>
      <w:tr w:rsidR="000A7F87">
        <w:trPr>
          <w:trHeight w:val="391"/>
        </w:trPr>
        <w:tc>
          <w:tcPr>
            <w:tcW w:w="4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numPr>
                <w:ilvl w:val="0"/>
                <w:numId w:val="2"/>
              </w:numPr>
              <w:tabs>
                <w:tab w:val="left" w:pos="1440"/>
              </w:tabs>
              <w:spacing w:after="0" w:line="240" w:lineRule="auto"/>
              <w:ind w:left="1440" w:hanging="360"/>
            </w:pPr>
            <w:r>
              <w:rPr>
                <w:rFonts w:ascii="Arial Narrow" w:eastAsia="Arial Narrow" w:hAnsi="Arial Narrow" w:cs="Arial Narrow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A4EF4">
            <w:pPr>
              <w:numPr>
                <w:ilvl w:val="0"/>
                <w:numId w:val="2"/>
              </w:numPr>
              <w:tabs>
                <w:tab w:val="left" w:pos="1440"/>
              </w:tabs>
              <w:spacing w:after="0" w:line="240" w:lineRule="auto"/>
              <w:ind w:left="1440" w:hanging="360"/>
              <w:jc w:val="center"/>
            </w:pPr>
            <w:r>
              <w:rPr>
                <w:rFonts w:ascii="Arial Narrow" w:eastAsia="Arial Narrow" w:hAnsi="Arial Narrow" w:cs="Arial Narrow"/>
              </w:rPr>
              <w:t>1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numPr>
                <w:ilvl w:val="0"/>
                <w:numId w:val="2"/>
              </w:numPr>
              <w:tabs>
                <w:tab w:val="left" w:pos="1440"/>
              </w:tabs>
              <w:spacing w:after="0" w:line="240" w:lineRule="auto"/>
              <w:ind w:left="1440" w:hanging="360"/>
              <w:jc w:val="center"/>
            </w:pPr>
            <w:r>
              <w:rPr>
                <w:rFonts w:ascii="Arial Narrow" w:eastAsia="Arial Narrow" w:hAnsi="Arial Narrow" w:cs="Arial Narrow"/>
              </w:rPr>
              <w:t>0</w:t>
            </w:r>
          </w:p>
        </w:tc>
      </w:tr>
    </w:tbl>
    <w:p w:rsidR="000A7F87" w:rsidRDefault="000A7F87">
      <w:pPr>
        <w:spacing w:after="120" w:line="240" w:lineRule="auto"/>
        <w:jc w:val="both"/>
        <w:rPr>
          <w:rFonts w:ascii="Arial Narrow" w:eastAsia="Arial Narrow" w:hAnsi="Arial Narrow" w:cs="Arial Narrow"/>
        </w:rPr>
      </w:pPr>
    </w:p>
    <w:p w:rsidR="000A7F87" w:rsidRDefault="0031038E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lastRenderedPageBreak/>
        <w:t>(5) Informácia o organizáciách v zriaďovateľskej pôsobnosti účtovnej jednotky.</w:t>
      </w:r>
    </w:p>
    <w:p w:rsidR="000A7F87" w:rsidRDefault="0031038E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(6) Údaje podľa odseku  4 a čl. III a IV  sa uvádzajú v textovej podobe a tabuľkovej podobe. </w:t>
      </w:r>
    </w:p>
    <w:p w:rsidR="000A7F87" w:rsidRDefault="000A7F87">
      <w:pPr>
        <w:spacing w:after="120" w:line="240" w:lineRule="auto"/>
        <w:jc w:val="both"/>
        <w:rPr>
          <w:rFonts w:ascii="Arial Narrow" w:eastAsia="Arial Narrow" w:hAnsi="Arial Narrow" w:cs="Arial Narrow"/>
        </w:rPr>
      </w:pPr>
    </w:p>
    <w:p w:rsidR="000A7F87" w:rsidRDefault="0031038E">
      <w:pPr>
        <w:keepNext/>
        <w:spacing w:after="120" w:line="240" w:lineRule="auto"/>
        <w:jc w:val="center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Čl. II</w:t>
      </w:r>
    </w:p>
    <w:p w:rsidR="000A7F87" w:rsidRDefault="0031038E">
      <w:pPr>
        <w:keepNext/>
        <w:spacing w:after="120" w:line="240" w:lineRule="auto"/>
        <w:jc w:val="center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Informácie o účtovných zásadách a účtovných metódach</w:t>
      </w:r>
    </w:p>
    <w:p w:rsidR="000A7F87" w:rsidRDefault="0031038E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(1) Informácia, či je účtovná závierka zostavená za splnenia predpokladu, že účtovná jednotka bude nepretržite pokračovať vo svojej činnosti. </w:t>
      </w:r>
    </w:p>
    <w:p w:rsidR="000A7F87" w:rsidRDefault="0031038E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ab/>
        <w:t xml:space="preserve">      Účtovná závierka je zostavená za predpokladu, že účtovná jednotka bude nepretržite pokračovať vo svojej činnosti.</w:t>
      </w:r>
    </w:p>
    <w:p w:rsidR="000A7F87" w:rsidRDefault="0031038E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(2) Zmeny účtovných zásad a zmeny účtovných metód s uvedením dôvodu týchto zmien a vyčíslením ich vplyvu na finančnú hodnotu majetku, záväzkov, základného imania a výsledku hospodárenia účtovnej jednotky.</w:t>
      </w:r>
    </w:p>
    <w:p w:rsidR="000A7F87" w:rsidRDefault="00E53204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Zmeny účtovných zásad a metód v priebehu ro</w:t>
      </w:r>
      <w:r w:rsidR="003A4EF4">
        <w:rPr>
          <w:rFonts w:ascii="Arial Narrow" w:eastAsia="Arial Narrow" w:hAnsi="Arial Narrow" w:cs="Arial Narrow"/>
        </w:rPr>
        <w:t>ka 2020</w:t>
      </w:r>
      <w:r>
        <w:rPr>
          <w:rFonts w:ascii="Arial Narrow" w:eastAsia="Arial Narrow" w:hAnsi="Arial Narrow" w:cs="Arial Narrow"/>
        </w:rPr>
        <w:t xml:space="preserve"> neboli žiadne.</w:t>
      </w:r>
      <w:r w:rsidR="0031038E">
        <w:rPr>
          <w:rFonts w:ascii="Arial Narrow" w:eastAsia="Arial Narrow" w:hAnsi="Arial Narrow" w:cs="Arial Narrow"/>
        </w:rPr>
        <w:t xml:space="preserve">.      . </w:t>
      </w:r>
    </w:p>
    <w:p w:rsidR="000A7F87" w:rsidRDefault="0031038E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(3) Spôsob oceňovania jednotlivých položiek majetku a záväzkov v členení na</w:t>
      </w:r>
    </w:p>
    <w:p w:rsidR="000A7F87" w:rsidRDefault="0031038E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a) dlhodobý nehmotný majetok obstaraný kúpou,</w:t>
      </w:r>
    </w:p>
    <w:p w:rsidR="000A7F87" w:rsidRDefault="0031038E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b) dlhodobý nehmotný majetok obstaraný vlastnou činnosťou,</w:t>
      </w:r>
    </w:p>
    <w:p w:rsidR="000A7F87" w:rsidRDefault="0031038E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c) dlhodobý nehmotný majetok obstaraný iným spôsobom, </w:t>
      </w:r>
    </w:p>
    <w:p w:rsidR="000A7F87" w:rsidRDefault="0031038E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d) dlhodobý hmotný majetok obstaraný kúpou,</w:t>
      </w:r>
    </w:p>
    <w:p w:rsidR="000A7F87" w:rsidRDefault="0031038E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e) dlhodobý hmotný majetok obstaraný vlastnou činnosťou,</w:t>
      </w:r>
    </w:p>
    <w:p w:rsidR="000A7F87" w:rsidRDefault="0031038E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f) dlhodobý hmotný majetok obstaraný iným spôsobom,</w:t>
      </w:r>
    </w:p>
    <w:p w:rsidR="000A7F87" w:rsidRDefault="0031038E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g) dlhodobý finančný majetok,</w:t>
      </w:r>
    </w:p>
    <w:p w:rsidR="000A7F87" w:rsidRDefault="0031038E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h) zásoby obstarané kúpou,</w:t>
      </w:r>
    </w:p>
    <w:p w:rsidR="000A7F87" w:rsidRDefault="0031038E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i) zásoby vytvorené vlastnou činnosťou,</w:t>
      </w:r>
    </w:p>
    <w:p w:rsidR="000A7F87" w:rsidRDefault="0031038E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j) zásoby obstarané iným spôsobom,</w:t>
      </w:r>
    </w:p>
    <w:p w:rsidR="000A7F87" w:rsidRDefault="0031038E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k) pohľadávky,</w:t>
      </w:r>
    </w:p>
    <w:p w:rsidR="000A7F87" w:rsidRDefault="0031038E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l) krátkodobý finančný majetok,</w:t>
      </w:r>
    </w:p>
    <w:p w:rsidR="000A7F87" w:rsidRDefault="0031038E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m) časové rozlíšenie na strane aktív,</w:t>
      </w:r>
    </w:p>
    <w:p w:rsidR="000A7F87" w:rsidRDefault="0031038E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n) záväzky vrátane rezerv, dlhopisov, pôžičiek a úverov,</w:t>
      </w:r>
    </w:p>
    <w:p w:rsidR="000A7F87" w:rsidRDefault="0031038E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o) časové rozlíšenie na strane pasív,</w:t>
      </w:r>
    </w:p>
    <w:p w:rsidR="000A7F87" w:rsidRDefault="0031038E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p) deriváty,</w:t>
      </w:r>
    </w:p>
    <w:p w:rsidR="000A7F87" w:rsidRDefault="0031038E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r) majetok a záväzky zabezpečené derivátmi.</w:t>
      </w:r>
    </w:p>
    <w:p w:rsidR="000A7F87" w:rsidRDefault="0031038E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DNM a DHM sa ku dňu uskutočnenia účtovného prípadu oceňuje:</w:t>
      </w:r>
    </w:p>
    <w:p w:rsidR="000A7F87" w:rsidRDefault="0031038E">
      <w:pPr>
        <w:numPr>
          <w:ilvl w:val="0"/>
          <w:numId w:val="6"/>
        </w:numPr>
        <w:spacing w:after="120" w:line="240" w:lineRule="auto"/>
        <w:ind w:left="990" w:hanging="360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 - obstarávacou cenou (obstarávacia cena je cena, za ktorú sa majetok obstaral vrátane nákladov súvisiacich s jeho obstaraním a uvedením do používania)</w:t>
      </w:r>
    </w:p>
    <w:p w:rsidR="000A7F87" w:rsidRDefault="0031038E">
      <w:pPr>
        <w:numPr>
          <w:ilvl w:val="0"/>
          <w:numId w:val="6"/>
        </w:numPr>
        <w:spacing w:after="120" w:line="240" w:lineRule="auto"/>
        <w:ind w:left="990" w:hanging="360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- reprodukčnou obstarávacou cenou (reprodukčná obstarávacia cena je cena, za ktorú by sa majetok obstaral v čase, keď sa o ňom účtuje. Táto cena sa určuje znaleckým posudkom, alebo podľa podobného alebo rovnakého majetku, ktorý je možné obstarať v čase, kedy sa o ňom účtuje. Touto cenou sa oceňuje majetok nadobudnutý bezodplatne, investičné prebytky a pod.)</w:t>
      </w:r>
    </w:p>
    <w:p w:rsidR="000A7F87" w:rsidRDefault="0031038E">
      <w:pPr>
        <w:numPr>
          <w:ilvl w:val="0"/>
          <w:numId w:val="6"/>
        </w:numPr>
        <w:spacing w:after="120" w:line="240" w:lineRule="auto"/>
        <w:ind w:left="990" w:hanging="360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- vlastnými nákladmi pri majetku vytvorenom vlastnou činnosťou (vlastné náklady sú priame náklady vynaložené na výrobu alebo inú činnosť a nepriame náklady, ktoré sa vzťahujú na výrobu alebo inú činnosť)</w:t>
      </w:r>
    </w:p>
    <w:p w:rsidR="000A7F87" w:rsidRDefault="0031038E">
      <w:pPr>
        <w:spacing w:after="120" w:line="240" w:lineRule="auto"/>
        <w:ind w:left="2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lastRenderedPageBreak/>
        <w:t xml:space="preserve">             Účtovná jednotka nemá DNM a DHM.</w:t>
      </w:r>
    </w:p>
    <w:p w:rsidR="000A7F87" w:rsidRDefault="0031038E">
      <w:pPr>
        <w:spacing w:after="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   Finančný majetok sa oceňuje obstarávacími cenami, vrátane nákladov súvisiacich s obstaraní</w:t>
      </w:r>
      <w:r w:rsidR="003A4EF4">
        <w:rPr>
          <w:rFonts w:ascii="Arial Narrow" w:eastAsia="Arial Narrow" w:hAnsi="Arial Narrow" w:cs="Arial Narrow"/>
        </w:rPr>
        <w:t>m.  Účtovná jednotka v roku 2020</w:t>
      </w:r>
      <w:r>
        <w:rPr>
          <w:rFonts w:ascii="Arial Narrow" w:eastAsia="Arial Narrow" w:hAnsi="Arial Narrow" w:cs="Arial Narrow"/>
        </w:rPr>
        <w:t xml:space="preserve">    neúčtovala o finančnom majetku.</w:t>
      </w:r>
    </w:p>
    <w:p w:rsidR="000A7F87" w:rsidRDefault="0031038E">
      <w:pPr>
        <w:spacing w:after="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   Zásoby nakupované sa oceňujú obstarávacou cenou, ktorá zahrňuje cenu obstarania a náklady súvisiace s obstaraním (clo, prepravu, zľavy a pod.)  Úroky z cudzích zdrojov nie sú súčasťou obstarávacej ceny.  Účtovná jednotka neúčtuje o zásobách</w:t>
      </w:r>
    </w:p>
    <w:p w:rsidR="000A7F87" w:rsidRDefault="000A7F87">
      <w:pPr>
        <w:spacing w:after="0" w:line="240" w:lineRule="auto"/>
        <w:jc w:val="both"/>
        <w:rPr>
          <w:rFonts w:ascii="Arial Narrow" w:eastAsia="Arial Narrow" w:hAnsi="Arial Narrow" w:cs="Arial Narrow"/>
        </w:rPr>
      </w:pPr>
    </w:p>
    <w:p w:rsidR="000A7F87" w:rsidRDefault="0031038E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 (4) Spôsob zostavenia odpisového plánu pre jednotlivé druhy dlhodobého hmotného majetku  a dlhodobého nehmotného majetku, pričom sa uvádza doba odpisovania, použité sadzby odpisov a odpisové metódy pri určení odpisov. </w:t>
      </w:r>
    </w:p>
    <w:p w:rsidR="000A7F87" w:rsidRDefault="00E53204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Účtovná jed</w:t>
      </w:r>
      <w:r w:rsidR="003A4EF4">
        <w:rPr>
          <w:rFonts w:ascii="Arial Narrow" w:eastAsia="Arial Narrow" w:hAnsi="Arial Narrow" w:cs="Arial Narrow"/>
        </w:rPr>
        <w:t>notka v roku 2020</w:t>
      </w:r>
      <w:r w:rsidR="0031038E">
        <w:rPr>
          <w:rFonts w:ascii="Arial Narrow" w:eastAsia="Arial Narrow" w:hAnsi="Arial Narrow" w:cs="Arial Narrow"/>
        </w:rPr>
        <w:t xml:space="preserve"> nerealizovala žiadne odpisy majetku.</w:t>
      </w:r>
    </w:p>
    <w:p w:rsidR="000A7F87" w:rsidRDefault="0031038E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 (5) Zásady pre zohľadnenie zníženia hodnoty majetku. Uvádza sa, či účtovná jednotka uplatňuje opravné položky a rezervy.</w:t>
      </w:r>
    </w:p>
    <w:p w:rsidR="000A7F87" w:rsidRDefault="003A4EF4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Účtovná jednotka v roku 2020</w:t>
      </w:r>
      <w:r w:rsidR="0031038E">
        <w:rPr>
          <w:rFonts w:ascii="Arial Narrow" w:eastAsia="Arial Narrow" w:hAnsi="Arial Narrow" w:cs="Arial Narrow"/>
        </w:rPr>
        <w:t xml:space="preserve"> neuplatnila  opravné položky. Účtovná jednotka v roku 201</w:t>
      </w:r>
      <w:r w:rsidR="0053524F">
        <w:rPr>
          <w:rFonts w:ascii="Arial Narrow" w:eastAsia="Arial Narrow" w:hAnsi="Arial Narrow" w:cs="Arial Narrow"/>
        </w:rPr>
        <w:t>9</w:t>
      </w:r>
      <w:r w:rsidR="0031038E">
        <w:rPr>
          <w:rFonts w:ascii="Arial Narrow" w:eastAsia="Arial Narrow" w:hAnsi="Arial Narrow" w:cs="Arial Narrow"/>
        </w:rPr>
        <w:t xml:space="preserve"> netvorila krátkodobé rezervy.. </w:t>
      </w:r>
    </w:p>
    <w:p w:rsidR="000A7F87" w:rsidRDefault="000A7F87">
      <w:pPr>
        <w:spacing w:after="120" w:line="240" w:lineRule="auto"/>
        <w:jc w:val="both"/>
        <w:rPr>
          <w:rFonts w:ascii="Arial Narrow" w:eastAsia="Arial Narrow" w:hAnsi="Arial Narrow" w:cs="Arial Narrow"/>
        </w:rPr>
      </w:pPr>
    </w:p>
    <w:p w:rsidR="000A7F87" w:rsidRDefault="0031038E">
      <w:pPr>
        <w:keepNext/>
        <w:spacing w:after="120" w:line="240" w:lineRule="auto"/>
        <w:jc w:val="center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Čl. III</w:t>
      </w:r>
    </w:p>
    <w:p w:rsidR="000A7F87" w:rsidRDefault="0031038E">
      <w:pPr>
        <w:keepNext/>
        <w:spacing w:after="120" w:line="240" w:lineRule="auto"/>
        <w:jc w:val="center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Informácie, ktoré dopĺňajú a vysvetľujú údaje v súvahe</w:t>
      </w:r>
    </w:p>
    <w:p w:rsidR="000A7F87" w:rsidRDefault="0031038E">
      <w:pPr>
        <w:numPr>
          <w:ilvl w:val="0"/>
          <w:numId w:val="7"/>
        </w:num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 Údaje o dlhodobom nehmotnom majetku a dlhodobom hmotnom majetku za bežné účtovné obdobie, a to</w:t>
      </w:r>
    </w:p>
    <w:p w:rsidR="000A7F87" w:rsidRDefault="0031038E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a) prehľad o dlhodobom majetku podľa položiek tohto majetku v členení podľa položiek súvahy; uvádza sa stav dlhodobého majetku v prvotnom ocenení na začiatku bežného účtovného obdobia, prírastky, úbytky a presuny tohto majetku a zostatok na konci bežného účtovného obdobia,</w:t>
      </w:r>
    </w:p>
    <w:p w:rsidR="000A7F87" w:rsidRDefault="0031038E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b) prehľad oprávok a opravných položiek k dlhodobému majetku podľa jednotlivých položiek tohto majetku v členení podľa položiek súvahy; uvádza sa stav oprávok a opravných položiek k dlhodobému majetku na začiatku bežného účtovného obdobia, ich prírastky a úbytky počas bežného účtovného obdobia a zostatok na konci bežného účtovného obdobia,</w:t>
      </w:r>
    </w:p>
    <w:p w:rsidR="000A7F87" w:rsidRDefault="0031038E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c) prehľad o zostatkových cenách dlhodobého majetku na začiatku bežného účtovného obdobia a na konci bežného účtovného obdobia.</w:t>
      </w:r>
    </w:p>
    <w:p w:rsidR="000A7F87" w:rsidRDefault="003A4EF4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Účtovná jednotka v roku 2020</w:t>
      </w:r>
      <w:r w:rsidR="0031038E">
        <w:rPr>
          <w:rFonts w:ascii="Arial Narrow" w:eastAsia="Arial Narrow" w:hAnsi="Arial Narrow" w:cs="Arial Narrow"/>
        </w:rPr>
        <w:t xml:space="preserve">  neevidovala dlhodobý nehmotný a dlhodobý hmotný majetok.</w:t>
      </w:r>
    </w:p>
    <w:p w:rsidR="000A7F87" w:rsidRDefault="0031038E">
      <w:pPr>
        <w:numPr>
          <w:ilvl w:val="0"/>
          <w:numId w:val="8"/>
        </w:num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 Prehľad dlhodobého majetku, na ktorý je zriadené záložné právo a dlhodobého majetku, pri ktorom má účtovná jednotka obmedzené právo s ním nakladať.</w:t>
      </w:r>
    </w:p>
    <w:p w:rsidR="000A7F87" w:rsidRDefault="0031038E">
      <w:pPr>
        <w:numPr>
          <w:ilvl w:val="0"/>
          <w:numId w:val="8"/>
        </w:num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 Údaje o spôsobe a výške poistenia dlhodobého nehmotného majetku a dlhodobého hmotného majetku.</w:t>
      </w:r>
    </w:p>
    <w:p w:rsidR="000A7F87" w:rsidRDefault="0031038E">
      <w:pPr>
        <w:numPr>
          <w:ilvl w:val="0"/>
          <w:numId w:val="8"/>
        </w:num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 Údaje o štruktúre dlhodobého finančného majetku za bežné účtovné obdobie a jeho umiestnenie v členení podľa položiek súvahy a o zmenách, ktoré sa uskutočnili v priebehu bežného účtovného obdobia v jednotlivých položkách dlhodobého  finančného  majetku.</w:t>
      </w:r>
    </w:p>
    <w:p w:rsidR="000A7F87" w:rsidRDefault="00E53204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Úč</w:t>
      </w:r>
      <w:r w:rsidR="0053524F">
        <w:rPr>
          <w:rFonts w:ascii="Arial Narrow" w:eastAsia="Arial Narrow" w:hAnsi="Arial Narrow" w:cs="Arial Narrow"/>
        </w:rPr>
        <w:t>tov</w:t>
      </w:r>
      <w:r w:rsidR="003A4EF4">
        <w:rPr>
          <w:rFonts w:ascii="Arial Narrow" w:eastAsia="Arial Narrow" w:hAnsi="Arial Narrow" w:cs="Arial Narrow"/>
        </w:rPr>
        <w:t>ná jednotka v roku 2020</w:t>
      </w:r>
      <w:r w:rsidR="0031038E">
        <w:rPr>
          <w:rFonts w:ascii="Arial Narrow" w:eastAsia="Arial Narrow" w:hAnsi="Arial Narrow" w:cs="Arial Narrow"/>
        </w:rPr>
        <w:t xml:space="preserve"> neevidovala dlhodobý finančný majetok.</w:t>
      </w:r>
    </w:p>
    <w:p w:rsidR="000A7F87" w:rsidRDefault="0031038E">
      <w:pPr>
        <w:numPr>
          <w:ilvl w:val="0"/>
          <w:numId w:val="9"/>
        </w:num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 Informácia o výške tvorby, zníženia a zúčtovania opravných položiek k dlhodobému finančnému majetku a opis dôvodu ich tvorby, zníženia a zúčtovania.</w:t>
      </w:r>
    </w:p>
    <w:p w:rsidR="000A7F87" w:rsidRDefault="0031038E">
      <w:pPr>
        <w:numPr>
          <w:ilvl w:val="0"/>
          <w:numId w:val="9"/>
        </w:num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 Prehľad o významných položkách krátkodobého finančného majetku a  o ocenení krátkodobého finančného majetku  reálnou hodnotou ku dňu, ku ktorému sa zostavuje účtovná závierka, pričom sa uvádza vplyv takéhoto ocenenia na výsledok hospodárenia účtovnej jednotky.</w:t>
      </w:r>
    </w:p>
    <w:p w:rsidR="000A7F87" w:rsidRDefault="003A4EF4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Účtovná jednotka v roku 2020</w:t>
      </w:r>
      <w:r w:rsidR="0031038E">
        <w:rPr>
          <w:rFonts w:ascii="Arial Narrow" w:eastAsia="Arial Narrow" w:hAnsi="Arial Narrow" w:cs="Arial Narrow"/>
        </w:rPr>
        <w:t xml:space="preserve"> neevidovala cenné papiere.</w:t>
      </w:r>
    </w:p>
    <w:p w:rsidR="000A7F87" w:rsidRDefault="0031038E">
      <w:pPr>
        <w:numPr>
          <w:ilvl w:val="0"/>
          <w:numId w:val="10"/>
        </w:num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 Prehľad  opravných položiek k zásobám, pričom sa uvádza ich stav na začiatku bežného účtovného obdobia, tvorba, zníženie alebo zúčtovanie opravných položiek počas bežného účtovného obdobia a stav na </w:t>
      </w:r>
      <w:r>
        <w:rPr>
          <w:rFonts w:ascii="Arial Narrow" w:eastAsia="Arial Narrow" w:hAnsi="Arial Narrow" w:cs="Arial Narrow"/>
        </w:rPr>
        <w:lastRenderedPageBreak/>
        <w:t>konci bežného účtovného obdobia, ako aj dôvod tvorby, zníženia alebo zúčtovania opravných položiek k zásobám.</w:t>
      </w:r>
    </w:p>
    <w:p w:rsidR="000A7F87" w:rsidRDefault="003A4EF4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Účtovná jednotka v roku 2020</w:t>
      </w:r>
      <w:r w:rsidR="0031038E">
        <w:rPr>
          <w:rFonts w:ascii="Arial Narrow" w:eastAsia="Arial Narrow" w:hAnsi="Arial Narrow" w:cs="Arial Narrow"/>
        </w:rPr>
        <w:t xml:space="preserve"> neúčtovala o zásobách a opravných položkách k zásobám.</w:t>
      </w:r>
    </w:p>
    <w:p w:rsidR="000A7F87" w:rsidRDefault="0031038E">
      <w:pPr>
        <w:numPr>
          <w:ilvl w:val="0"/>
          <w:numId w:val="11"/>
        </w:num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 Opis významných pohľadávok v nadväznosti na položky súvahy a v členení na pohľadávky za hlavnú nezdaňovanú  činnosť,  zdaňovanú činnosť a podnikateľskú činnosť.</w:t>
      </w:r>
    </w:p>
    <w:p w:rsidR="000A7F87" w:rsidRDefault="003A4EF4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Účtovná jednotka k 31.12.2020</w:t>
      </w:r>
      <w:r w:rsidR="0031038E">
        <w:rPr>
          <w:rFonts w:ascii="Arial Narrow" w:eastAsia="Arial Narrow" w:hAnsi="Arial Narrow" w:cs="Arial Narrow"/>
        </w:rPr>
        <w:t xml:space="preserve">  neevidovala žiadnu  pohľadávku .</w:t>
      </w:r>
    </w:p>
    <w:p w:rsidR="000A7F87" w:rsidRDefault="0031038E">
      <w:pPr>
        <w:numPr>
          <w:ilvl w:val="0"/>
          <w:numId w:val="12"/>
        </w:num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 Prehľad  opravných položiek k pohľadávkam,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 pohľadávkam.</w:t>
      </w:r>
    </w:p>
    <w:p w:rsidR="000A7F87" w:rsidRDefault="0031038E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Účtovná jedn</w:t>
      </w:r>
      <w:r w:rsidR="003A4EF4">
        <w:rPr>
          <w:rFonts w:ascii="Arial Narrow" w:eastAsia="Arial Narrow" w:hAnsi="Arial Narrow" w:cs="Arial Narrow"/>
        </w:rPr>
        <w:t>otka v roku 2020</w:t>
      </w:r>
      <w:r>
        <w:rPr>
          <w:rFonts w:ascii="Arial Narrow" w:eastAsia="Arial Narrow" w:hAnsi="Arial Narrow" w:cs="Arial Narrow"/>
        </w:rPr>
        <w:t xml:space="preserve"> neúčtovala opravné položky k pohľadávkam.</w:t>
      </w:r>
    </w:p>
    <w:p w:rsidR="000A7F87" w:rsidRDefault="0031038E">
      <w:pPr>
        <w:numPr>
          <w:ilvl w:val="0"/>
          <w:numId w:val="13"/>
        </w:num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 Prehľad  pohľadávok do lehoty splatnosti a po lehote splatnosti.</w:t>
      </w:r>
    </w:p>
    <w:p w:rsidR="000A7F87" w:rsidRDefault="003A4EF4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Pohľadávky k 31.12.2020</w:t>
      </w:r>
      <w:r w:rsidR="0031038E">
        <w:rPr>
          <w:rFonts w:ascii="Arial Narrow" w:eastAsia="Arial Narrow" w:hAnsi="Arial Narrow" w:cs="Arial Narrow"/>
        </w:rPr>
        <w:t xml:space="preserve"> neboli evidované žiadne.</w:t>
      </w:r>
    </w:p>
    <w:p w:rsidR="000A7F87" w:rsidRDefault="0031038E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.  Prehľad významných položiek časového rozlíšenia nákladov budúcich období a príjmov budúcich období.</w:t>
      </w:r>
    </w:p>
    <w:p w:rsidR="000A7F87" w:rsidRDefault="00E53204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Účtovná jednotka k 31.12.</w:t>
      </w:r>
      <w:r w:rsidR="003A4EF4">
        <w:rPr>
          <w:rFonts w:ascii="Arial Narrow" w:eastAsia="Arial Narrow" w:hAnsi="Arial Narrow" w:cs="Arial Narrow"/>
        </w:rPr>
        <w:t>2020</w:t>
      </w:r>
      <w:r w:rsidR="0031038E">
        <w:rPr>
          <w:rFonts w:ascii="Arial Narrow" w:eastAsia="Arial Narrow" w:hAnsi="Arial Narrow" w:cs="Arial Narrow"/>
        </w:rPr>
        <w:t xml:space="preserve"> neevidovala náklady budúcich období .:</w:t>
      </w:r>
    </w:p>
    <w:p w:rsidR="000A7F87" w:rsidRDefault="003A4EF4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Účtovná jednotka k 31.12.2020</w:t>
      </w:r>
      <w:r w:rsidR="0031038E">
        <w:rPr>
          <w:rFonts w:ascii="Arial Narrow" w:eastAsia="Arial Narrow" w:hAnsi="Arial Narrow" w:cs="Arial Narrow"/>
        </w:rPr>
        <w:t xml:space="preserve"> neevidovala príjmy  budúcich období .</w:t>
      </w:r>
    </w:p>
    <w:p w:rsidR="000A7F87" w:rsidRDefault="0031038E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 </w:t>
      </w:r>
    </w:p>
    <w:p w:rsidR="000A7F87" w:rsidRDefault="0031038E">
      <w:pPr>
        <w:numPr>
          <w:ilvl w:val="0"/>
          <w:numId w:val="14"/>
        </w:num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 Opis a výška zmien vlastných zdrojov krytia neobežného majetku a obežného majetku podľa položiek súvahy za bežné účtovné obdobie, a to </w:t>
      </w:r>
    </w:p>
    <w:p w:rsidR="000A7F87" w:rsidRDefault="0031038E">
      <w:pPr>
        <w:spacing w:before="120" w:after="120" w:line="240" w:lineRule="auto"/>
        <w:ind w:left="180" w:hanging="180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a) opis základného imania, nadačného imania v nadáciách, výška vkladov zakladateľov alebo zriaďovateľov, prioritný majetok v neziskových organizáciách poskytujúcich všeobecne prospešné služby, prevody zdrojov z fondov účtovnej jednotky a podobne; za jednotlivé položky sa uvádza stav na začiatku bežného účtovného obdobia, jednotlivé prírastky, úbytky, presuny a zostatok na konci bežného účtovného obdobia,</w:t>
      </w:r>
    </w:p>
    <w:p w:rsidR="000A7F87" w:rsidRDefault="000A7F87">
      <w:pPr>
        <w:spacing w:before="120" w:after="120" w:line="240" w:lineRule="auto"/>
        <w:ind w:left="180" w:hanging="180"/>
        <w:jc w:val="both"/>
        <w:rPr>
          <w:rFonts w:ascii="Arial Narrow" w:eastAsia="Arial Narrow" w:hAnsi="Arial Narrow" w:cs="Arial Narrow"/>
        </w:rPr>
      </w:pPr>
    </w:p>
    <w:p w:rsidR="000A7F87" w:rsidRDefault="0031038E">
      <w:pPr>
        <w:spacing w:after="120" w:line="240" w:lineRule="auto"/>
        <w:ind w:left="142" w:hanging="142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b) opis jednotlivých druhov fondov, ktoré tvorí účtovná jednotka, stav na začiatku bežného účtovného obdobia, prírastky, úbytky, presuny a zostatok na konci bežného účtovného obdobia. </w:t>
      </w:r>
    </w:p>
    <w:p w:rsidR="000A7F87" w:rsidRDefault="0031038E">
      <w:pPr>
        <w:spacing w:after="120" w:line="240" w:lineRule="auto"/>
        <w:ind w:left="142" w:hanging="142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Viď. tabuľka k čl. III ods. 12 o zmenách vlastných zdrojov krytia neobežného majetku a obežného majetku  </w:t>
      </w:r>
    </w:p>
    <w:p w:rsidR="000A7F87" w:rsidRDefault="0031038E">
      <w:pPr>
        <w:numPr>
          <w:ilvl w:val="0"/>
          <w:numId w:val="15"/>
        </w:num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 Informácia o rozdelení účtovného zisku alebo </w:t>
      </w:r>
      <w:proofErr w:type="spellStart"/>
      <w:r>
        <w:rPr>
          <w:rFonts w:ascii="Arial Narrow" w:eastAsia="Arial Narrow" w:hAnsi="Arial Narrow" w:cs="Arial Narrow"/>
        </w:rPr>
        <w:t>vysporiadaní</w:t>
      </w:r>
      <w:proofErr w:type="spellEnd"/>
      <w:r>
        <w:rPr>
          <w:rFonts w:ascii="Arial Narrow" w:eastAsia="Arial Narrow" w:hAnsi="Arial Narrow" w:cs="Arial Narrow"/>
        </w:rPr>
        <w:t xml:space="preserve"> účtovnej straty vykázanej v minulých účtovných obdobiach.</w:t>
      </w:r>
    </w:p>
    <w:p w:rsidR="000A7F87" w:rsidRDefault="0031038E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Viď tabuľka k čl. III ods. 13 o rozdelení účtovného zisku alebo </w:t>
      </w:r>
      <w:proofErr w:type="spellStart"/>
      <w:r>
        <w:rPr>
          <w:rFonts w:ascii="Arial Narrow" w:eastAsia="Arial Narrow" w:hAnsi="Arial Narrow" w:cs="Arial Narrow"/>
        </w:rPr>
        <w:t>vysporiadaní</w:t>
      </w:r>
      <w:proofErr w:type="spellEnd"/>
      <w:r>
        <w:rPr>
          <w:rFonts w:ascii="Arial Narrow" w:eastAsia="Arial Narrow" w:hAnsi="Arial Narrow" w:cs="Arial Narrow"/>
        </w:rPr>
        <w:t xml:space="preserve"> účtovnej straty.</w:t>
      </w:r>
    </w:p>
    <w:p w:rsidR="000A7F87" w:rsidRDefault="0031038E">
      <w:pPr>
        <w:numPr>
          <w:ilvl w:val="0"/>
          <w:numId w:val="16"/>
        </w:num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 Opis a výška cudzích zdrojov, a to</w:t>
      </w:r>
    </w:p>
    <w:p w:rsidR="000A7F87" w:rsidRDefault="0031038E">
      <w:pPr>
        <w:numPr>
          <w:ilvl w:val="0"/>
          <w:numId w:val="16"/>
        </w:numPr>
        <w:spacing w:before="120" w:after="120" w:line="240" w:lineRule="auto"/>
        <w:ind w:left="720" w:hanging="360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údaje o jednotlivých druhoch rezerv, ktoré tvorí účtovná jednotka; uvádza sa stav rezerv na začiatku bežného účtovného obdobia, ich tvorba, zníženie, použitie alebo zrušenie počas bežného účtovného obdobia a zostatok rezervy na konci bežného účtovného obdobia, pričom sa uvedie predpokladaný rok použitia rezervy,</w:t>
      </w:r>
    </w:p>
    <w:p w:rsidR="000A7F87" w:rsidRDefault="0031038E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Viď tabuľka k čl. III ods. 14 písm. a) o  tvorbe a použití rezerv</w:t>
      </w:r>
    </w:p>
    <w:p w:rsidR="000A7F87" w:rsidRDefault="0031038E">
      <w:pPr>
        <w:spacing w:before="120" w:after="120" w:line="240" w:lineRule="auto"/>
        <w:ind w:left="240" w:hanging="240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b) údaje o významných položkách na účtoch 325 -  Ostatné záväzky a 379 – Iné záväzky; uvádza sa začiatočný stav, prírastky, úbytky a konečný zostatok podľa jednotlivých druhov  záväzkov,</w:t>
      </w:r>
    </w:p>
    <w:p w:rsidR="000A7F87" w:rsidRDefault="0031038E">
      <w:pPr>
        <w:spacing w:before="120"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c) prehľad  o výške záväzkov do lehoty splatnosti a po lehote splatnosti,</w:t>
      </w:r>
    </w:p>
    <w:p w:rsidR="000A7F87" w:rsidRDefault="0031038E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Viď tabuľka k čl. III ods. 14 písm. c) a d) o záväzkoch</w:t>
      </w:r>
    </w:p>
    <w:p w:rsidR="000A7F87" w:rsidRDefault="0031038E">
      <w:pPr>
        <w:spacing w:before="120" w:after="120" w:line="240" w:lineRule="auto"/>
        <w:ind w:left="180" w:hanging="180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d) prehľad o výške záväzkov podľa zostatkovej doby splatnosti v členení podľa položiek súvahy </w:t>
      </w:r>
    </w:p>
    <w:p w:rsidR="000A7F87" w:rsidRDefault="0031038E">
      <w:pPr>
        <w:spacing w:before="120" w:after="120" w:line="240" w:lineRule="auto"/>
        <w:ind w:left="180" w:hanging="180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ab/>
        <w:t>1. do jedného roka vrátane,</w:t>
      </w:r>
    </w:p>
    <w:p w:rsidR="000A7F87" w:rsidRDefault="0031038E">
      <w:pPr>
        <w:spacing w:before="120" w:after="120" w:line="240" w:lineRule="auto"/>
        <w:ind w:left="180" w:hanging="180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lastRenderedPageBreak/>
        <w:tab/>
        <w:t>2. od jedného roka do piatich rokov vrátane,</w:t>
      </w:r>
    </w:p>
    <w:p w:rsidR="000A7F87" w:rsidRDefault="0031038E">
      <w:pPr>
        <w:spacing w:before="120" w:after="120" w:line="240" w:lineRule="auto"/>
        <w:ind w:left="180" w:hanging="180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ab/>
        <w:t>3. viac ako päť rokov,</w:t>
      </w:r>
    </w:p>
    <w:p w:rsidR="000A7F87" w:rsidRDefault="0031038E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Viď tabuľka k čl. III ods. 14 písm. c) a d) o záväzkoch</w:t>
      </w:r>
    </w:p>
    <w:p w:rsidR="000A7F87" w:rsidRDefault="0031038E">
      <w:pPr>
        <w:spacing w:before="120" w:after="120" w:line="240" w:lineRule="auto"/>
        <w:ind w:left="180" w:hanging="180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e) prehľad o záväzkoch zo sociálneho fondu; uvádza sa začiatočný stav, tvorba a čerpanie sociálneho fondu počas účtovného obdobia a zostatok na konci účtovného obdobia,</w:t>
      </w:r>
    </w:p>
    <w:p w:rsidR="000A7F87" w:rsidRDefault="0031038E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Viď tabuľka k čl. III ods. 14 písm. e) o vývoji sociálneho fondu</w:t>
      </w:r>
    </w:p>
    <w:p w:rsidR="000A7F87" w:rsidRDefault="0031038E">
      <w:pPr>
        <w:spacing w:before="120" w:after="120" w:line="240" w:lineRule="auto"/>
        <w:ind w:left="180" w:hanging="180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f) 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:rsidR="000A7F87" w:rsidRDefault="0031038E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Viď tabuľka k čl. III ods. 14 písm. f) o bankových úveroch, pôžičkách a návratných finančných výpomociach</w:t>
      </w:r>
    </w:p>
    <w:p w:rsidR="000A7F87" w:rsidRDefault="0031038E">
      <w:pPr>
        <w:spacing w:after="24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g) prehľad o významných položkách časového rozlíšenia výdavkov budúcich období.</w:t>
      </w:r>
    </w:p>
    <w:p w:rsidR="000A7F87" w:rsidRDefault="003A4EF4">
      <w:pPr>
        <w:spacing w:after="24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Účtovná jednotka v roku 2020</w:t>
      </w:r>
      <w:r w:rsidR="0031038E">
        <w:rPr>
          <w:rFonts w:ascii="Arial Narrow" w:eastAsia="Arial Narrow" w:hAnsi="Arial Narrow" w:cs="Arial Narrow"/>
        </w:rPr>
        <w:t xml:space="preserve"> neevidovala výdavky budúcich období.</w:t>
      </w:r>
    </w:p>
    <w:p w:rsidR="000A7F87" w:rsidRDefault="0031038E">
      <w:pPr>
        <w:numPr>
          <w:ilvl w:val="0"/>
          <w:numId w:val="17"/>
        </w:num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 Prehľad o významných položkách výnosov budúcich období v členení najmä na</w:t>
      </w:r>
    </w:p>
    <w:p w:rsidR="000A7F87" w:rsidRDefault="0031038E">
      <w:pPr>
        <w:spacing w:before="120"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a) zostatkovú hodnotu bezodplatne nadobudnutého dlhodobého majetku,</w:t>
      </w:r>
    </w:p>
    <w:p w:rsidR="000A7F87" w:rsidRDefault="0031038E">
      <w:pPr>
        <w:spacing w:before="120"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b) zostatkovú hodnotu dlhodobého majetku obstaraného z dotácie,</w:t>
      </w:r>
    </w:p>
    <w:p w:rsidR="000A7F87" w:rsidRDefault="0031038E">
      <w:pPr>
        <w:spacing w:before="120"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c) zostatok nepoužitej dotácie alebo grantu,</w:t>
      </w:r>
    </w:p>
    <w:p w:rsidR="000A7F87" w:rsidRDefault="0031038E">
      <w:pPr>
        <w:spacing w:before="120"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d) zostatok nepoužitej časti podielu zaplatenej dane,</w:t>
      </w:r>
    </w:p>
    <w:p w:rsidR="000A7F87" w:rsidRDefault="0031038E">
      <w:pPr>
        <w:spacing w:before="120" w:after="24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e) zostatkovú hodnotu dlhodobého majetku obstaraného z podielu zaplatenej dane.</w:t>
      </w:r>
    </w:p>
    <w:p w:rsidR="000A7F87" w:rsidRDefault="003A4EF4">
      <w:pPr>
        <w:spacing w:after="24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Účtovná jednotka v roku 2020</w:t>
      </w:r>
      <w:r w:rsidR="0031038E">
        <w:rPr>
          <w:rFonts w:ascii="Arial Narrow" w:eastAsia="Arial Narrow" w:hAnsi="Arial Narrow" w:cs="Arial Narrow"/>
        </w:rPr>
        <w:t xml:space="preserve"> neevidovala výnosy budúcich období.</w:t>
      </w:r>
    </w:p>
    <w:p w:rsidR="000A7F87" w:rsidRDefault="0031038E">
      <w:pPr>
        <w:numPr>
          <w:ilvl w:val="0"/>
          <w:numId w:val="18"/>
        </w:num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 Údaje o majetku prenajatom formou finančného prenájmu, a to</w:t>
      </w:r>
    </w:p>
    <w:p w:rsidR="000A7F87" w:rsidRDefault="0031038E">
      <w:pPr>
        <w:spacing w:before="120"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a) celková suma dohodnutých platieb ku dňu, ku ktorému sa zostavuje účtovná závierka, v členení na istinu a finančný náklad,</w:t>
      </w:r>
    </w:p>
    <w:p w:rsidR="000A7F87" w:rsidRDefault="0031038E">
      <w:pPr>
        <w:spacing w:before="120" w:after="120" w:line="240" w:lineRule="auto"/>
        <w:ind w:left="240" w:hanging="240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b) suma istiny a finančného nákladu podľa doby splatnosti </w:t>
      </w:r>
    </w:p>
    <w:p w:rsidR="000A7F87" w:rsidRDefault="0031038E">
      <w:pPr>
        <w:spacing w:before="120" w:after="120" w:line="240" w:lineRule="auto"/>
        <w:ind w:left="240" w:hanging="240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ab/>
        <w:t>1. do jedného roka vrátane,</w:t>
      </w:r>
    </w:p>
    <w:p w:rsidR="000A7F87" w:rsidRDefault="0031038E">
      <w:pPr>
        <w:spacing w:before="120" w:after="120" w:line="240" w:lineRule="auto"/>
        <w:ind w:left="240" w:hanging="240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ab/>
        <w:t>2. od jedného roka do piatich rokov vrátane,</w:t>
      </w:r>
    </w:p>
    <w:p w:rsidR="000A7F87" w:rsidRDefault="0031038E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     3. viac ako päť rokov.</w:t>
      </w:r>
    </w:p>
    <w:p w:rsidR="000A7F87" w:rsidRDefault="00E53204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Účtovná jednotka v roku</w:t>
      </w:r>
      <w:r w:rsidR="003A4EF4">
        <w:rPr>
          <w:rFonts w:ascii="Arial Narrow" w:eastAsia="Arial Narrow" w:hAnsi="Arial Narrow" w:cs="Arial Narrow"/>
        </w:rPr>
        <w:t xml:space="preserve"> 2020</w:t>
      </w:r>
      <w:r w:rsidR="0031038E">
        <w:rPr>
          <w:rFonts w:ascii="Arial Narrow" w:eastAsia="Arial Narrow" w:hAnsi="Arial Narrow" w:cs="Arial Narrow"/>
        </w:rPr>
        <w:t xml:space="preserve"> neevidovala majetok prenajatý formou finančného prenájmu.</w:t>
      </w:r>
    </w:p>
    <w:p w:rsidR="000A7F87" w:rsidRDefault="0031038E">
      <w:pPr>
        <w:keepNext/>
        <w:spacing w:after="120" w:line="240" w:lineRule="auto"/>
        <w:jc w:val="center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Čl. IV</w:t>
      </w:r>
    </w:p>
    <w:p w:rsidR="000A7F87" w:rsidRDefault="0031038E">
      <w:pPr>
        <w:keepNext/>
        <w:spacing w:after="120" w:line="240" w:lineRule="auto"/>
        <w:jc w:val="center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Informácie, ktoré dopĺňajú a vysvetľujú údaje vo výkaze ziskov a strát</w:t>
      </w:r>
    </w:p>
    <w:p w:rsidR="000A7F87" w:rsidRDefault="0031038E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(1) Prehľad tržieb za vlastné výkony a tovar s uvedením ich opisu a vyčíslením hodnoty tržieb podľa jednotlivých hlavných druhov výrobkov,  služieb hlavnej činnosti a podnikateľskej činnosti účtovnej jednotky.</w:t>
      </w:r>
    </w:p>
    <w:p w:rsidR="000A7F87" w:rsidRDefault="003A4EF4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Účtovná jednotka v roku 2020</w:t>
      </w:r>
      <w:r w:rsidR="0031038E">
        <w:rPr>
          <w:rFonts w:ascii="Arial Narrow" w:eastAsia="Arial Narrow" w:hAnsi="Arial Narrow" w:cs="Arial Narrow"/>
        </w:rPr>
        <w:t xml:space="preserve"> mala  výnosy z podielu zaplatenej dane  vo výške </w:t>
      </w:r>
      <w:r>
        <w:rPr>
          <w:rFonts w:ascii="Arial Narrow" w:eastAsia="Arial Narrow" w:hAnsi="Arial Narrow" w:cs="Arial Narrow"/>
        </w:rPr>
        <w:t xml:space="preserve"> 232,53</w:t>
      </w:r>
      <w:r w:rsidR="0031038E">
        <w:rPr>
          <w:rFonts w:ascii="Arial Narrow" w:eastAsia="Arial Narrow" w:hAnsi="Arial Narrow" w:cs="Arial Narrow"/>
        </w:rPr>
        <w:t xml:space="preserve"> Eur..</w:t>
      </w:r>
    </w:p>
    <w:p w:rsidR="000A7F87" w:rsidRDefault="0031038E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(2) Opis a vyčíslenie hodnoty významných položiek prijatých darov, osobitných výnosov, zákonných poplatkov a iných ostatných výnosov. </w:t>
      </w:r>
    </w:p>
    <w:p w:rsidR="000A7F87" w:rsidRDefault="003A4EF4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Účtovná jednotka v roku 2020</w:t>
      </w:r>
      <w:r w:rsidR="0031038E">
        <w:rPr>
          <w:rFonts w:ascii="Arial Narrow" w:eastAsia="Arial Narrow" w:hAnsi="Arial Narrow" w:cs="Arial Narrow"/>
        </w:rPr>
        <w:t xml:space="preserve"> nemala tržby z ostatných výnosov , darov..</w:t>
      </w:r>
    </w:p>
    <w:p w:rsidR="000A7F87" w:rsidRDefault="0031038E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(3) Prehľad  dotácií a grantov, ktoré účtovná jednotka prijala v priebehu bežného účtovného obdobia.</w:t>
      </w:r>
    </w:p>
    <w:p w:rsidR="000A7F87" w:rsidRDefault="0031038E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Účtovná jednotka v roku</w:t>
      </w:r>
      <w:r w:rsidR="003A4EF4">
        <w:rPr>
          <w:rFonts w:ascii="Arial Narrow" w:eastAsia="Arial Narrow" w:hAnsi="Arial Narrow" w:cs="Arial Narrow"/>
        </w:rPr>
        <w:t xml:space="preserve"> 2020</w:t>
      </w:r>
      <w:r w:rsidR="00E53204">
        <w:rPr>
          <w:rFonts w:ascii="Arial Narrow" w:eastAsia="Arial Narrow" w:hAnsi="Arial Narrow" w:cs="Arial Narrow"/>
        </w:rPr>
        <w:t xml:space="preserve"> </w:t>
      </w:r>
      <w:r>
        <w:rPr>
          <w:rFonts w:ascii="Arial Narrow" w:eastAsia="Arial Narrow" w:hAnsi="Arial Narrow" w:cs="Arial Narrow"/>
        </w:rPr>
        <w:t>neprijala žiadne  dotácie.</w:t>
      </w:r>
    </w:p>
    <w:p w:rsidR="000A7F87" w:rsidRDefault="0031038E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lastRenderedPageBreak/>
        <w:t>(4) Opis a suma významných položiek finančných výnosov; uvádza sa aj celková suma kurzových ziskov, pričom  osobitne sa uvádza hodnota kurzových ziskov účtovaná ku dňu, ku ktorému sa zostavuje účtovná závierka.</w:t>
      </w:r>
    </w:p>
    <w:p w:rsidR="000A7F87" w:rsidRDefault="0031038E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Účtovná jedno</w:t>
      </w:r>
      <w:r w:rsidR="003A4EF4">
        <w:rPr>
          <w:rFonts w:ascii="Arial Narrow" w:eastAsia="Arial Narrow" w:hAnsi="Arial Narrow" w:cs="Arial Narrow"/>
        </w:rPr>
        <w:t>tka v roku 2020</w:t>
      </w:r>
      <w:r>
        <w:rPr>
          <w:rFonts w:ascii="Arial Narrow" w:eastAsia="Arial Narrow" w:hAnsi="Arial Narrow" w:cs="Arial Narrow"/>
        </w:rPr>
        <w:t xml:space="preserve"> nemala finančné  výnosy.</w:t>
      </w:r>
    </w:p>
    <w:p w:rsidR="000A7F87" w:rsidRDefault="0031038E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(5) Opis a vyčíslenie hodnoty významných položiek nákladov, nákladov na ostatné služby, osobitných nákladov a iných ostatných nákladov. </w:t>
      </w:r>
    </w:p>
    <w:p w:rsidR="000A7F87" w:rsidRDefault="000A7F87">
      <w:pPr>
        <w:spacing w:after="120" w:line="240" w:lineRule="auto"/>
        <w:jc w:val="both"/>
        <w:rPr>
          <w:rFonts w:ascii="Arial Narrow" w:eastAsia="Arial Narrow" w:hAnsi="Arial Narrow" w:cs="Arial Narrow"/>
        </w:rPr>
      </w:pPr>
    </w:p>
    <w:tbl>
      <w:tblPr>
        <w:tblW w:w="0" w:type="auto"/>
        <w:tblInd w:w="250" w:type="dxa"/>
        <w:tblCellMar>
          <w:left w:w="10" w:type="dxa"/>
          <w:right w:w="10" w:type="dxa"/>
        </w:tblCellMar>
        <w:tblLook w:val="0000"/>
      </w:tblPr>
      <w:tblGrid>
        <w:gridCol w:w="4706"/>
        <w:gridCol w:w="2262"/>
        <w:gridCol w:w="2070"/>
      </w:tblGrid>
      <w:tr w:rsidR="000A7F87">
        <w:trPr>
          <w:trHeight w:val="1"/>
        </w:trPr>
        <w:tc>
          <w:tcPr>
            <w:tcW w:w="4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numPr>
                <w:ilvl w:val="0"/>
                <w:numId w:val="19"/>
              </w:numPr>
              <w:tabs>
                <w:tab w:val="left" w:pos="1440"/>
              </w:tabs>
              <w:spacing w:after="0" w:line="240" w:lineRule="auto"/>
              <w:ind w:left="1440" w:hanging="360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účtovné obdobie</w:t>
            </w:r>
          </w:p>
        </w:tc>
        <w:tc>
          <w:tcPr>
            <w:tcW w:w="2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31038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Bežné  účtovné obdobie</w:t>
            </w:r>
          </w:p>
        </w:tc>
      </w:tr>
      <w:tr w:rsidR="000A7F87">
        <w:trPr>
          <w:trHeight w:val="391"/>
        </w:trPr>
        <w:tc>
          <w:tcPr>
            <w:tcW w:w="4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numPr>
                <w:ilvl w:val="0"/>
                <w:numId w:val="20"/>
              </w:numPr>
              <w:tabs>
                <w:tab w:val="left" w:pos="1440"/>
              </w:tabs>
              <w:spacing w:after="0" w:line="240" w:lineRule="auto"/>
              <w:ind w:left="1440" w:hanging="360"/>
            </w:pPr>
            <w:r>
              <w:rPr>
                <w:rFonts w:ascii="Arial Narrow" w:eastAsia="Arial Narrow" w:hAnsi="Arial Narrow" w:cs="Arial Narrow"/>
              </w:rPr>
              <w:t>Náklady na opravy a udržiavanie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tabs>
                <w:tab w:val="left" w:pos="1440"/>
              </w:tabs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0</w:t>
            </w:r>
          </w:p>
        </w:tc>
        <w:tc>
          <w:tcPr>
            <w:tcW w:w="2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31038E">
            <w:pPr>
              <w:tabs>
                <w:tab w:val="left" w:pos="1440"/>
              </w:tabs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</w:tr>
      <w:tr w:rsidR="000A7F87">
        <w:trPr>
          <w:trHeight w:val="361"/>
        </w:trPr>
        <w:tc>
          <w:tcPr>
            <w:tcW w:w="4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numPr>
                <w:ilvl w:val="0"/>
                <w:numId w:val="21"/>
              </w:numPr>
              <w:tabs>
                <w:tab w:val="left" w:pos="1440"/>
              </w:tabs>
              <w:spacing w:after="0" w:line="240" w:lineRule="auto"/>
              <w:ind w:left="1440" w:hanging="360"/>
            </w:pPr>
            <w:r>
              <w:rPr>
                <w:rFonts w:ascii="Arial Narrow" w:eastAsia="Arial Narrow" w:hAnsi="Arial Narrow" w:cs="Arial Narrow"/>
              </w:rPr>
              <w:t>Náklady na cestovné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tabs>
                <w:tab w:val="left" w:pos="1440"/>
              </w:tabs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0</w:t>
            </w:r>
          </w:p>
        </w:tc>
        <w:tc>
          <w:tcPr>
            <w:tcW w:w="2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31038E">
            <w:pPr>
              <w:tabs>
                <w:tab w:val="left" w:pos="1440"/>
              </w:tabs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</w:tr>
      <w:tr w:rsidR="000A7F87">
        <w:trPr>
          <w:trHeight w:val="391"/>
        </w:trPr>
        <w:tc>
          <w:tcPr>
            <w:tcW w:w="4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numPr>
                <w:ilvl w:val="0"/>
                <w:numId w:val="22"/>
              </w:numPr>
              <w:tabs>
                <w:tab w:val="left" w:pos="1440"/>
              </w:tabs>
              <w:spacing w:after="0" w:line="240" w:lineRule="auto"/>
              <w:ind w:left="1440" w:hanging="360"/>
            </w:pPr>
            <w:r>
              <w:rPr>
                <w:rFonts w:ascii="Arial Narrow" w:eastAsia="Arial Narrow" w:hAnsi="Arial Narrow" w:cs="Arial Narrow"/>
              </w:rPr>
              <w:t>Náklady na reprezentáciu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tabs>
                <w:tab w:val="left" w:pos="1440"/>
              </w:tabs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  <w:tc>
          <w:tcPr>
            <w:tcW w:w="2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31038E">
            <w:pPr>
              <w:tabs>
                <w:tab w:val="left" w:pos="1440"/>
              </w:tabs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</w:tr>
      <w:tr w:rsidR="000A7F87">
        <w:trPr>
          <w:trHeight w:val="391"/>
        </w:trPr>
        <w:tc>
          <w:tcPr>
            <w:tcW w:w="4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numPr>
                <w:ilvl w:val="0"/>
                <w:numId w:val="23"/>
              </w:numPr>
              <w:tabs>
                <w:tab w:val="left" w:pos="1440"/>
              </w:tabs>
              <w:spacing w:after="0" w:line="240" w:lineRule="auto"/>
              <w:ind w:left="1440" w:hanging="360"/>
            </w:pPr>
            <w:r>
              <w:rPr>
                <w:rFonts w:ascii="Arial Narrow" w:eastAsia="Arial Narrow" w:hAnsi="Arial Narrow" w:cs="Arial Narrow"/>
              </w:rPr>
              <w:t>Nájomné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tabs>
                <w:tab w:val="left" w:pos="1440"/>
              </w:tabs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  <w:tc>
          <w:tcPr>
            <w:tcW w:w="2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C707A3">
            <w:pPr>
              <w:tabs>
                <w:tab w:val="left" w:pos="1440"/>
              </w:tabs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</w:tr>
      <w:tr w:rsidR="000A7F87">
        <w:trPr>
          <w:trHeight w:val="391"/>
        </w:trPr>
        <w:tc>
          <w:tcPr>
            <w:tcW w:w="4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numPr>
                <w:ilvl w:val="0"/>
                <w:numId w:val="24"/>
              </w:numPr>
              <w:tabs>
                <w:tab w:val="left" w:pos="1440"/>
              </w:tabs>
              <w:spacing w:after="0" w:line="240" w:lineRule="auto"/>
              <w:ind w:left="1440" w:hanging="360"/>
            </w:pPr>
            <w:r>
              <w:rPr>
                <w:rFonts w:ascii="Arial Narrow" w:eastAsia="Arial Narrow" w:hAnsi="Arial Narrow" w:cs="Arial Narrow"/>
              </w:rPr>
              <w:t>Telefón, internet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tabs>
                <w:tab w:val="left" w:pos="1440"/>
              </w:tabs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  <w:tc>
          <w:tcPr>
            <w:tcW w:w="2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31038E">
            <w:pPr>
              <w:tabs>
                <w:tab w:val="left" w:pos="1440"/>
              </w:tabs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</w:tr>
      <w:tr w:rsidR="000A7F87">
        <w:trPr>
          <w:trHeight w:val="421"/>
        </w:trPr>
        <w:tc>
          <w:tcPr>
            <w:tcW w:w="4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numPr>
                <w:ilvl w:val="0"/>
                <w:numId w:val="25"/>
              </w:numPr>
              <w:tabs>
                <w:tab w:val="left" w:pos="1440"/>
              </w:tabs>
              <w:spacing w:after="0" w:line="240" w:lineRule="auto"/>
              <w:ind w:left="1440" w:hanging="360"/>
            </w:pPr>
            <w:r>
              <w:rPr>
                <w:rFonts w:ascii="Arial Narrow" w:eastAsia="Arial Narrow" w:hAnsi="Arial Narrow" w:cs="Arial Narrow"/>
              </w:rPr>
              <w:t>poštovné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tabs>
                <w:tab w:val="left" w:pos="1440"/>
              </w:tabs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0</w:t>
            </w:r>
          </w:p>
        </w:tc>
        <w:tc>
          <w:tcPr>
            <w:tcW w:w="2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31038E">
            <w:pPr>
              <w:tabs>
                <w:tab w:val="left" w:pos="1440"/>
              </w:tabs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</w:tr>
      <w:tr w:rsidR="000A7F87">
        <w:trPr>
          <w:trHeight w:val="391"/>
        </w:trPr>
        <w:tc>
          <w:tcPr>
            <w:tcW w:w="4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numPr>
                <w:ilvl w:val="0"/>
                <w:numId w:val="26"/>
              </w:numPr>
              <w:tabs>
                <w:tab w:val="left" w:pos="1440"/>
              </w:tabs>
              <w:spacing w:after="0" w:line="240" w:lineRule="auto"/>
              <w:ind w:left="1440" w:hanging="360"/>
            </w:pPr>
            <w:r>
              <w:rPr>
                <w:rFonts w:ascii="Arial Narrow" w:eastAsia="Arial Narrow" w:hAnsi="Arial Narrow" w:cs="Arial Narrow"/>
              </w:rPr>
              <w:t>Ostatné služby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A4EF4">
            <w:pPr>
              <w:tabs>
                <w:tab w:val="left" w:pos="1440"/>
              </w:tabs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130</w:t>
            </w:r>
          </w:p>
        </w:tc>
        <w:tc>
          <w:tcPr>
            <w:tcW w:w="2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E53204">
            <w:pPr>
              <w:tabs>
                <w:tab w:val="left" w:pos="1440"/>
              </w:tabs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130</w:t>
            </w:r>
          </w:p>
        </w:tc>
      </w:tr>
      <w:tr w:rsidR="000A7F87">
        <w:trPr>
          <w:trHeight w:val="391"/>
        </w:trPr>
        <w:tc>
          <w:tcPr>
            <w:tcW w:w="4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numPr>
                <w:ilvl w:val="0"/>
                <w:numId w:val="27"/>
              </w:numPr>
              <w:tabs>
                <w:tab w:val="left" w:pos="1440"/>
              </w:tabs>
              <w:spacing w:after="0" w:line="240" w:lineRule="auto"/>
              <w:ind w:left="1440" w:hanging="360"/>
            </w:pPr>
            <w:r>
              <w:rPr>
                <w:rFonts w:ascii="Arial Narrow" w:eastAsia="Arial Narrow" w:hAnsi="Arial Narrow" w:cs="Arial Narrow"/>
              </w:rPr>
              <w:t>Spotreba materiálu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A4EF4">
            <w:pPr>
              <w:tabs>
                <w:tab w:val="left" w:pos="1440"/>
              </w:tabs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16,28</w:t>
            </w:r>
          </w:p>
        </w:tc>
        <w:tc>
          <w:tcPr>
            <w:tcW w:w="2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3A4EF4">
            <w:pPr>
              <w:tabs>
                <w:tab w:val="left" w:pos="1440"/>
              </w:tabs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306,87</w:t>
            </w:r>
          </w:p>
        </w:tc>
      </w:tr>
      <w:tr w:rsidR="000A7F87">
        <w:trPr>
          <w:trHeight w:val="391"/>
        </w:trPr>
        <w:tc>
          <w:tcPr>
            <w:tcW w:w="4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numPr>
                <w:ilvl w:val="0"/>
                <w:numId w:val="28"/>
              </w:numPr>
              <w:tabs>
                <w:tab w:val="left" w:pos="1440"/>
              </w:tabs>
              <w:spacing w:after="0" w:line="240" w:lineRule="auto"/>
              <w:ind w:left="1440" w:hanging="360"/>
            </w:pPr>
            <w:r>
              <w:rPr>
                <w:rFonts w:ascii="Arial Narrow" w:eastAsia="Arial Narrow" w:hAnsi="Arial Narrow" w:cs="Arial Narrow"/>
              </w:rPr>
              <w:t>Dane a poplatky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A4EF4">
            <w:pPr>
              <w:tabs>
                <w:tab w:val="left" w:pos="1440"/>
              </w:tabs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78</w:t>
            </w:r>
          </w:p>
        </w:tc>
        <w:tc>
          <w:tcPr>
            <w:tcW w:w="2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C707A3">
            <w:pPr>
              <w:tabs>
                <w:tab w:val="left" w:pos="1440"/>
              </w:tabs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78</w:t>
            </w:r>
          </w:p>
        </w:tc>
      </w:tr>
      <w:tr w:rsidR="000A7F87">
        <w:trPr>
          <w:trHeight w:val="391"/>
        </w:trPr>
        <w:tc>
          <w:tcPr>
            <w:tcW w:w="4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0A7F87">
            <w:pPr>
              <w:numPr>
                <w:ilvl w:val="0"/>
                <w:numId w:val="29"/>
              </w:numPr>
              <w:tabs>
                <w:tab w:val="left" w:pos="1440"/>
              </w:tabs>
              <w:spacing w:after="0" w:line="240" w:lineRule="auto"/>
              <w:ind w:left="1440" w:hanging="360"/>
              <w:rPr>
                <w:rFonts w:ascii="Calibri" w:eastAsia="Calibri" w:hAnsi="Calibri" w:cs="Calibri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0A7F87">
            <w:pPr>
              <w:tabs>
                <w:tab w:val="left" w:pos="1440"/>
              </w:tabs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tabs>
                <w:tab w:val="left" w:pos="1440"/>
              </w:tabs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0A7F87">
        <w:trPr>
          <w:trHeight w:val="391"/>
        </w:trPr>
        <w:tc>
          <w:tcPr>
            <w:tcW w:w="4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numPr>
                <w:ilvl w:val="0"/>
                <w:numId w:val="30"/>
              </w:numPr>
              <w:tabs>
                <w:tab w:val="left" w:pos="1440"/>
              </w:tabs>
              <w:spacing w:after="0" w:line="240" w:lineRule="auto"/>
              <w:ind w:left="1440" w:hanging="360"/>
            </w:pPr>
            <w:r>
              <w:rPr>
                <w:rFonts w:ascii="Arial Narrow" w:eastAsia="Arial Narrow" w:hAnsi="Arial Narrow" w:cs="Arial Narrow"/>
              </w:rPr>
              <w:t>Spotreba energií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tabs>
                <w:tab w:val="left" w:pos="1440"/>
              </w:tabs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  <w:tc>
          <w:tcPr>
            <w:tcW w:w="2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31038E">
            <w:pPr>
              <w:tabs>
                <w:tab w:val="left" w:pos="1440"/>
              </w:tabs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</w:tr>
      <w:tr w:rsidR="000A7F87">
        <w:trPr>
          <w:trHeight w:val="391"/>
        </w:trPr>
        <w:tc>
          <w:tcPr>
            <w:tcW w:w="4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numPr>
                <w:ilvl w:val="0"/>
                <w:numId w:val="31"/>
              </w:numPr>
              <w:tabs>
                <w:tab w:val="left" w:pos="1440"/>
              </w:tabs>
              <w:spacing w:after="0" w:line="240" w:lineRule="auto"/>
              <w:ind w:left="1440" w:hanging="360"/>
            </w:pPr>
            <w:r>
              <w:rPr>
                <w:rFonts w:ascii="Arial Narrow" w:eastAsia="Arial Narrow" w:hAnsi="Arial Narrow" w:cs="Arial Narrow"/>
              </w:rPr>
              <w:t>Mzdové náklady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tabs>
                <w:tab w:val="left" w:pos="1440"/>
              </w:tabs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0</w:t>
            </w:r>
          </w:p>
        </w:tc>
        <w:tc>
          <w:tcPr>
            <w:tcW w:w="2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31038E">
            <w:pPr>
              <w:tabs>
                <w:tab w:val="left" w:pos="1440"/>
              </w:tabs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</w:tr>
      <w:tr w:rsidR="000A7F87">
        <w:trPr>
          <w:trHeight w:val="391"/>
        </w:trPr>
        <w:tc>
          <w:tcPr>
            <w:tcW w:w="4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numPr>
                <w:ilvl w:val="0"/>
                <w:numId w:val="32"/>
              </w:numPr>
              <w:tabs>
                <w:tab w:val="left" w:pos="1440"/>
              </w:tabs>
              <w:spacing w:after="0" w:line="240" w:lineRule="auto"/>
              <w:ind w:left="1440" w:hanging="360"/>
            </w:pPr>
            <w:r>
              <w:rPr>
                <w:rFonts w:ascii="Arial Narrow" w:eastAsia="Arial Narrow" w:hAnsi="Arial Narrow" w:cs="Arial Narrow"/>
              </w:rPr>
              <w:t>Zákonné sociálne náklady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tabs>
                <w:tab w:val="left" w:pos="1440"/>
              </w:tabs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0</w:t>
            </w:r>
          </w:p>
        </w:tc>
        <w:tc>
          <w:tcPr>
            <w:tcW w:w="2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31038E">
            <w:pPr>
              <w:tabs>
                <w:tab w:val="left" w:pos="1440"/>
              </w:tabs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</w:tr>
      <w:tr w:rsidR="000A7F87">
        <w:trPr>
          <w:trHeight w:val="391"/>
        </w:trPr>
        <w:tc>
          <w:tcPr>
            <w:tcW w:w="4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numPr>
                <w:ilvl w:val="0"/>
                <w:numId w:val="33"/>
              </w:numPr>
              <w:tabs>
                <w:tab w:val="left" w:pos="1440"/>
              </w:tabs>
              <w:spacing w:after="0" w:line="240" w:lineRule="auto"/>
              <w:ind w:left="1440" w:hanging="360"/>
            </w:pPr>
            <w:r>
              <w:rPr>
                <w:rFonts w:ascii="Arial Narrow" w:eastAsia="Arial Narrow" w:hAnsi="Arial Narrow" w:cs="Arial Narrow"/>
              </w:rPr>
              <w:t>Dary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tabs>
                <w:tab w:val="left" w:pos="1440"/>
              </w:tabs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0</w:t>
            </w:r>
          </w:p>
        </w:tc>
        <w:tc>
          <w:tcPr>
            <w:tcW w:w="2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31038E">
            <w:pPr>
              <w:tabs>
                <w:tab w:val="left" w:pos="1440"/>
              </w:tabs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</w:tr>
      <w:tr w:rsidR="000A7F87">
        <w:trPr>
          <w:trHeight w:val="391"/>
        </w:trPr>
        <w:tc>
          <w:tcPr>
            <w:tcW w:w="4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numPr>
                <w:ilvl w:val="0"/>
                <w:numId w:val="34"/>
              </w:numPr>
              <w:tabs>
                <w:tab w:val="left" w:pos="1440"/>
              </w:tabs>
              <w:spacing w:after="0" w:line="240" w:lineRule="auto"/>
              <w:ind w:left="1440" w:hanging="360"/>
            </w:pPr>
            <w:r>
              <w:rPr>
                <w:rFonts w:ascii="Arial Narrow" w:eastAsia="Arial Narrow" w:hAnsi="Arial Narrow" w:cs="Arial Narrow"/>
              </w:rPr>
              <w:t>Poistenie, bankové poplatky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tabs>
                <w:tab w:val="left" w:pos="1440"/>
              </w:tabs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4</w:t>
            </w:r>
          </w:p>
        </w:tc>
        <w:tc>
          <w:tcPr>
            <w:tcW w:w="2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E53204">
            <w:pPr>
              <w:tabs>
                <w:tab w:val="left" w:pos="1440"/>
              </w:tabs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4</w:t>
            </w:r>
          </w:p>
        </w:tc>
      </w:tr>
      <w:tr w:rsidR="000A7F87">
        <w:trPr>
          <w:trHeight w:val="391"/>
        </w:trPr>
        <w:tc>
          <w:tcPr>
            <w:tcW w:w="4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numPr>
                <w:ilvl w:val="0"/>
                <w:numId w:val="35"/>
              </w:numPr>
              <w:tabs>
                <w:tab w:val="left" w:pos="1440"/>
              </w:tabs>
              <w:spacing w:after="0" w:line="240" w:lineRule="auto"/>
              <w:ind w:left="1440" w:hanging="360"/>
            </w:pPr>
            <w:r>
              <w:rPr>
                <w:rFonts w:ascii="Arial Narrow" w:eastAsia="Arial Narrow" w:hAnsi="Arial Narrow" w:cs="Arial Narrow"/>
                <w:b/>
              </w:rPr>
              <w:t>Náklady celkom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CC10F9">
            <w:pPr>
              <w:tabs>
                <w:tab w:val="left" w:pos="1440"/>
              </w:tabs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228,28</w:t>
            </w:r>
          </w:p>
        </w:tc>
        <w:tc>
          <w:tcPr>
            <w:tcW w:w="2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CC10F9">
            <w:pPr>
              <w:tabs>
                <w:tab w:val="left" w:pos="1440"/>
              </w:tabs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518,47</w:t>
            </w:r>
          </w:p>
        </w:tc>
      </w:tr>
    </w:tbl>
    <w:p w:rsidR="000A7F87" w:rsidRDefault="000A7F87">
      <w:pPr>
        <w:spacing w:after="120" w:line="240" w:lineRule="auto"/>
        <w:jc w:val="both"/>
        <w:rPr>
          <w:rFonts w:ascii="Arial Narrow" w:eastAsia="Arial Narrow" w:hAnsi="Arial Narrow" w:cs="Arial Narrow"/>
        </w:rPr>
      </w:pPr>
    </w:p>
    <w:p w:rsidR="000A7F87" w:rsidRDefault="0031038E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(6) Prehľad o účele a výške použitia podielu zaplatenej dane za bežné účtovné obdobie.</w:t>
      </w:r>
    </w:p>
    <w:p w:rsidR="000A7F87" w:rsidRDefault="0031038E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Účtovná jednotka v</w:t>
      </w:r>
      <w:r w:rsidR="00E53204">
        <w:rPr>
          <w:rFonts w:ascii="Arial Narrow" w:eastAsia="Arial Narrow" w:hAnsi="Arial Narrow" w:cs="Arial Narrow"/>
        </w:rPr>
        <w:t> </w:t>
      </w:r>
      <w:r>
        <w:rPr>
          <w:rFonts w:ascii="Arial Narrow" w:eastAsia="Arial Narrow" w:hAnsi="Arial Narrow" w:cs="Arial Narrow"/>
        </w:rPr>
        <w:t>roku</w:t>
      </w:r>
      <w:r w:rsidR="00CC10F9">
        <w:rPr>
          <w:rFonts w:ascii="Arial Narrow" w:eastAsia="Arial Narrow" w:hAnsi="Arial Narrow" w:cs="Arial Narrow"/>
        </w:rPr>
        <w:t xml:space="preserve"> 2020</w:t>
      </w:r>
      <w:r w:rsidR="00E53204">
        <w:rPr>
          <w:rFonts w:ascii="Arial Narrow" w:eastAsia="Arial Narrow" w:hAnsi="Arial Narrow" w:cs="Arial Narrow"/>
        </w:rPr>
        <w:t xml:space="preserve"> získala</w:t>
      </w:r>
      <w:r w:rsidR="00CC10F9">
        <w:rPr>
          <w:rFonts w:ascii="Arial Narrow" w:eastAsia="Arial Narrow" w:hAnsi="Arial Narrow" w:cs="Arial Narrow"/>
        </w:rPr>
        <w:t xml:space="preserve"> z podielu zaplatenej dane 232,53</w:t>
      </w:r>
      <w:r w:rsidR="00E53204">
        <w:rPr>
          <w:rFonts w:ascii="Arial Narrow" w:eastAsia="Arial Narrow" w:hAnsi="Arial Narrow" w:cs="Arial Narrow"/>
        </w:rPr>
        <w:t xml:space="preserve"> € a</w:t>
      </w:r>
      <w:r w:rsidR="00CC10F9">
        <w:rPr>
          <w:rFonts w:ascii="Arial Narrow" w:eastAsia="Arial Narrow" w:hAnsi="Arial Narrow" w:cs="Arial Narrow"/>
        </w:rPr>
        <w:t> v plnej výške boli použité na</w:t>
      </w:r>
      <w:r w:rsidR="00D23D46">
        <w:rPr>
          <w:rFonts w:ascii="Arial Narrow" w:eastAsia="Arial Narrow" w:hAnsi="Arial Narrow" w:cs="Arial Narrow"/>
        </w:rPr>
        <w:t xml:space="preserve"> prevádzkové účely </w:t>
      </w:r>
      <w:proofErr w:type="spellStart"/>
      <w:r w:rsidR="00D23D46">
        <w:rPr>
          <w:rFonts w:ascii="Arial Narrow" w:eastAsia="Arial Narrow" w:hAnsi="Arial Narrow" w:cs="Arial Narrow"/>
        </w:rPr>
        <w:t>n.o</w:t>
      </w:r>
      <w:proofErr w:type="spellEnd"/>
      <w:r w:rsidR="00D23D46">
        <w:rPr>
          <w:rFonts w:ascii="Arial Narrow" w:eastAsia="Arial Narrow" w:hAnsi="Arial Narrow" w:cs="Arial Narrow"/>
        </w:rPr>
        <w:t>.</w:t>
      </w:r>
    </w:p>
    <w:p w:rsidR="000A7F87" w:rsidRDefault="00E53204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 </w:t>
      </w:r>
      <w:r w:rsidR="0031038E">
        <w:rPr>
          <w:rFonts w:ascii="Arial Narrow" w:eastAsia="Arial Narrow" w:hAnsi="Arial Narrow" w:cs="Arial Narrow"/>
        </w:rPr>
        <w:t>(7) Opis a suma významných položiek finančných nákladov; uvádza sa aj celková suma kurzových strát, pričom osobitne sa uvádza hodnota kurzových strát účtovaná ku dňu, ku ktorému sa zostavuje účtovná závierka.</w:t>
      </w:r>
    </w:p>
    <w:p w:rsidR="00575755" w:rsidRDefault="0031038E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Účtov</w:t>
      </w:r>
      <w:r w:rsidR="00CC10F9">
        <w:rPr>
          <w:rFonts w:ascii="Arial Narrow" w:eastAsia="Arial Narrow" w:hAnsi="Arial Narrow" w:cs="Arial Narrow"/>
        </w:rPr>
        <w:t>ná jednotka v roku 2020</w:t>
      </w:r>
    </w:p>
    <w:p w:rsidR="000A7F87" w:rsidRDefault="0031038E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  nemala finančné náklady.</w:t>
      </w:r>
    </w:p>
    <w:p w:rsidR="000A7F87" w:rsidRDefault="0031038E">
      <w:pPr>
        <w:spacing w:before="120"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(8) V účtovnej jednotke, ktorá má povinnosť overenia účtovnej závierky audítorom, sa uvedie vymedzenie a suma nákladov za účtovné obdobie v členení na náklady za</w:t>
      </w:r>
    </w:p>
    <w:p w:rsidR="000A7F87" w:rsidRDefault="0031038E">
      <w:pPr>
        <w:spacing w:before="120"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a) overenie účtovnej závierky,</w:t>
      </w:r>
    </w:p>
    <w:p w:rsidR="000A7F87" w:rsidRDefault="00575755">
      <w:pPr>
        <w:spacing w:before="120"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b) z</w:t>
      </w:r>
      <w:r w:rsidR="0031038E">
        <w:rPr>
          <w:rFonts w:ascii="Arial Narrow" w:eastAsia="Arial Narrow" w:hAnsi="Arial Narrow" w:cs="Arial Narrow"/>
        </w:rPr>
        <w:t>isťovacie audítorské služby okrem  overenia účtovnej závierky,</w:t>
      </w:r>
    </w:p>
    <w:p w:rsidR="000A7F87" w:rsidRDefault="0031038E">
      <w:pPr>
        <w:spacing w:before="120"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c) súvisiace audítorské služby,</w:t>
      </w:r>
    </w:p>
    <w:p w:rsidR="000A7F87" w:rsidRDefault="0031038E">
      <w:pPr>
        <w:spacing w:before="120"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d) daňové poradenstvo,</w:t>
      </w:r>
    </w:p>
    <w:p w:rsidR="000A7F87" w:rsidRDefault="0031038E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lastRenderedPageBreak/>
        <w:t>e) ostatné neaudítorské služby.</w:t>
      </w:r>
    </w:p>
    <w:p w:rsidR="00E53204" w:rsidRDefault="00E53204">
      <w:pPr>
        <w:spacing w:after="120" w:line="240" w:lineRule="auto"/>
        <w:jc w:val="both"/>
        <w:rPr>
          <w:rFonts w:ascii="Arial Narrow" w:eastAsia="Arial Narrow" w:hAnsi="Arial Narrow" w:cs="Arial Narrow"/>
        </w:rPr>
      </w:pPr>
    </w:p>
    <w:p w:rsidR="000A7F87" w:rsidRDefault="0031038E">
      <w:pPr>
        <w:keepNext/>
        <w:spacing w:after="120" w:line="240" w:lineRule="auto"/>
        <w:jc w:val="center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Čl. V</w:t>
      </w:r>
    </w:p>
    <w:p w:rsidR="000A7F87" w:rsidRDefault="0031038E">
      <w:pPr>
        <w:keepNext/>
        <w:spacing w:after="120" w:line="240" w:lineRule="auto"/>
        <w:jc w:val="center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Opis údajov na podsúvahových účtoch</w:t>
      </w:r>
    </w:p>
    <w:p w:rsidR="000A7F87" w:rsidRDefault="0031038E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Významné položky prenajatého majetku, majetku prijatého do úschovy,  odpísané pohľadávky a prípadné ďalšie položky.</w:t>
      </w:r>
    </w:p>
    <w:p w:rsidR="00E53204" w:rsidRDefault="00E53204">
      <w:pPr>
        <w:spacing w:after="120" w:line="240" w:lineRule="auto"/>
        <w:jc w:val="both"/>
        <w:rPr>
          <w:rFonts w:ascii="Arial Narrow" w:eastAsia="Arial Narrow" w:hAnsi="Arial Narrow" w:cs="Arial Narrow"/>
        </w:rPr>
      </w:pPr>
    </w:p>
    <w:p w:rsidR="000A7F87" w:rsidRDefault="0031038E">
      <w:pPr>
        <w:keepNext/>
        <w:spacing w:after="120" w:line="240" w:lineRule="auto"/>
        <w:jc w:val="center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Čl. VI</w:t>
      </w:r>
    </w:p>
    <w:p w:rsidR="000A7F87" w:rsidRDefault="0031038E">
      <w:pPr>
        <w:keepNext/>
        <w:spacing w:after="120" w:line="240" w:lineRule="auto"/>
        <w:jc w:val="center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Ďalšie informácie</w:t>
      </w:r>
    </w:p>
    <w:p w:rsidR="000A7F87" w:rsidRDefault="0031038E">
      <w:pPr>
        <w:numPr>
          <w:ilvl w:val="0"/>
          <w:numId w:val="36"/>
        </w:numPr>
        <w:tabs>
          <w:tab w:val="left" w:pos="1440"/>
        </w:tabs>
        <w:spacing w:before="120" w:after="120" w:line="240" w:lineRule="auto"/>
        <w:ind w:left="1440" w:hanging="360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(1) 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p w:rsidR="000A7F87" w:rsidRDefault="0031038E">
      <w:pPr>
        <w:numPr>
          <w:ilvl w:val="0"/>
          <w:numId w:val="36"/>
        </w:numPr>
        <w:tabs>
          <w:tab w:val="left" w:pos="1440"/>
        </w:tabs>
        <w:spacing w:before="120" w:after="120" w:line="240" w:lineRule="auto"/>
        <w:ind w:left="1440" w:hanging="360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(2) Opis a hodnota iných pasív vyplývajúcich zo súdnych rozhodnutí, z poskytnutých záruk, zo všeobecne záväzných právnych predpisov, z ručenia podľa jednotlivých druhov ručenia;  takýmito inými pasívami sú:</w:t>
      </w:r>
    </w:p>
    <w:p w:rsidR="000A7F87" w:rsidRDefault="0031038E">
      <w:pPr>
        <w:numPr>
          <w:ilvl w:val="0"/>
          <w:numId w:val="36"/>
        </w:numPr>
        <w:tabs>
          <w:tab w:val="left" w:pos="1440"/>
        </w:tabs>
        <w:spacing w:before="120" w:after="120" w:line="240" w:lineRule="auto"/>
        <w:ind w:left="1440" w:hanging="360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a)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0A7F87" w:rsidRDefault="0031038E">
      <w:pPr>
        <w:numPr>
          <w:ilvl w:val="0"/>
          <w:numId w:val="36"/>
        </w:numPr>
        <w:tabs>
          <w:tab w:val="left" w:pos="1440"/>
        </w:tabs>
        <w:spacing w:before="120" w:after="120" w:line="240" w:lineRule="auto"/>
        <w:ind w:left="1440" w:hanging="360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b)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0A7F87" w:rsidRDefault="0031038E">
      <w:pPr>
        <w:numPr>
          <w:ilvl w:val="0"/>
          <w:numId w:val="36"/>
        </w:numPr>
        <w:tabs>
          <w:tab w:val="left" w:pos="1440"/>
        </w:tabs>
        <w:spacing w:before="120" w:after="120" w:line="240" w:lineRule="auto"/>
        <w:ind w:left="1440" w:hanging="360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(3) Opis významných položiek ostatných finančných povinností, ktoré sa nesledujú v účtovníctve a neuvádzajú sa v súvahe; pri každej položke sa uvádza jej opis, výška a údaj, či sa týka spriaznených osôb, a to</w:t>
      </w:r>
    </w:p>
    <w:p w:rsidR="000A7F87" w:rsidRDefault="0031038E">
      <w:pPr>
        <w:numPr>
          <w:ilvl w:val="0"/>
          <w:numId w:val="36"/>
        </w:numPr>
        <w:tabs>
          <w:tab w:val="left" w:pos="1440"/>
        </w:tabs>
        <w:spacing w:before="120" w:after="120" w:line="240" w:lineRule="auto"/>
        <w:ind w:left="1440" w:hanging="360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a) povinnosť z devízových termínovaných obchodov a iných finančných derivátov,</w:t>
      </w:r>
    </w:p>
    <w:p w:rsidR="000A7F87" w:rsidRDefault="0031038E">
      <w:pPr>
        <w:numPr>
          <w:ilvl w:val="0"/>
          <w:numId w:val="36"/>
        </w:numPr>
        <w:tabs>
          <w:tab w:val="left" w:pos="1440"/>
        </w:tabs>
        <w:spacing w:before="120" w:after="120" w:line="240" w:lineRule="auto"/>
        <w:ind w:left="1440" w:hanging="360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b) povinnosť z opčných obchodov,</w:t>
      </w:r>
    </w:p>
    <w:p w:rsidR="000A7F87" w:rsidRDefault="0031038E">
      <w:pPr>
        <w:numPr>
          <w:ilvl w:val="0"/>
          <w:numId w:val="36"/>
        </w:numPr>
        <w:tabs>
          <w:tab w:val="left" w:pos="1440"/>
        </w:tabs>
        <w:spacing w:before="120" w:after="120" w:line="240" w:lineRule="auto"/>
        <w:ind w:left="1440" w:hanging="360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c) zákonná povinnosť alebo zmluvná povinnosť odobrať určité produkty alebo služby, napríklad z dodávateľských alebo odberateľských zmlúv,</w:t>
      </w:r>
    </w:p>
    <w:p w:rsidR="000A7F87" w:rsidRDefault="0031038E">
      <w:pPr>
        <w:numPr>
          <w:ilvl w:val="0"/>
          <w:numId w:val="36"/>
        </w:numPr>
        <w:tabs>
          <w:tab w:val="left" w:pos="1440"/>
        </w:tabs>
        <w:spacing w:before="120" w:after="120" w:line="240" w:lineRule="auto"/>
        <w:ind w:left="1440" w:hanging="360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d) povinnosť z leasingových, nájomných, servisných, poistných, koncesionárskych, licenčných zmlúv a podobných zmlúv,</w:t>
      </w:r>
    </w:p>
    <w:p w:rsidR="000A7F87" w:rsidRDefault="0031038E">
      <w:pPr>
        <w:numPr>
          <w:ilvl w:val="0"/>
          <w:numId w:val="36"/>
        </w:numPr>
        <w:tabs>
          <w:tab w:val="left" w:pos="1440"/>
        </w:tabs>
        <w:spacing w:before="120" w:after="120" w:line="240" w:lineRule="auto"/>
        <w:ind w:left="1440" w:hanging="360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e) iné povinnosti. </w:t>
      </w:r>
    </w:p>
    <w:p w:rsidR="000A7F87" w:rsidRDefault="0031038E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(4) Prehľad nehnuteľných kultúrnych pamiatok, ktoré sú v správe alebo vo vlastníctve účtovnej jednotky.</w:t>
      </w:r>
    </w:p>
    <w:p w:rsidR="000A7F87" w:rsidRDefault="0031038E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(5) Informácie o významných skutočnostiach, ktoré nastali medzi dňom, ku ktorému sa zostavuje účtovná závierka a dňom jej zostavenia.</w:t>
      </w:r>
    </w:p>
    <w:p w:rsidR="00E53204" w:rsidRDefault="00E53204">
      <w:pPr>
        <w:spacing w:after="120" w:line="240" w:lineRule="auto"/>
        <w:jc w:val="both"/>
        <w:rPr>
          <w:rFonts w:ascii="Arial Narrow" w:eastAsia="Arial Narrow" w:hAnsi="Arial Narrow" w:cs="Arial Narrow"/>
          <w:b/>
        </w:rPr>
      </w:pPr>
    </w:p>
    <w:p w:rsidR="00E53204" w:rsidRDefault="00E53204">
      <w:pPr>
        <w:spacing w:after="120" w:line="240" w:lineRule="auto"/>
        <w:jc w:val="both"/>
        <w:rPr>
          <w:rFonts w:ascii="Arial Narrow" w:eastAsia="Arial Narrow" w:hAnsi="Arial Narrow" w:cs="Arial Narrow"/>
          <w:b/>
        </w:rPr>
      </w:pPr>
    </w:p>
    <w:p w:rsidR="00E53204" w:rsidRDefault="00E53204">
      <w:pPr>
        <w:spacing w:after="120" w:line="240" w:lineRule="auto"/>
        <w:jc w:val="both"/>
        <w:rPr>
          <w:rFonts w:ascii="Arial Narrow" w:eastAsia="Arial Narrow" w:hAnsi="Arial Narrow" w:cs="Arial Narrow"/>
          <w:b/>
        </w:rPr>
      </w:pPr>
    </w:p>
    <w:p w:rsidR="00E53204" w:rsidRDefault="00E53204">
      <w:pPr>
        <w:spacing w:after="120" w:line="240" w:lineRule="auto"/>
        <w:jc w:val="both"/>
        <w:rPr>
          <w:rFonts w:ascii="Arial Narrow" w:eastAsia="Arial Narrow" w:hAnsi="Arial Narrow" w:cs="Arial Narrow"/>
          <w:b/>
        </w:rPr>
      </w:pPr>
    </w:p>
    <w:p w:rsidR="00E53204" w:rsidRDefault="00E53204">
      <w:pPr>
        <w:spacing w:after="120" w:line="240" w:lineRule="auto"/>
        <w:jc w:val="both"/>
        <w:rPr>
          <w:rFonts w:ascii="Arial Narrow" w:eastAsia="Arial Narrow" w:hAnsi="Arial Narrow" w:cs="Arial Narrow"/>
          <w:b/>
        </w:rPr>
      </w:pPr>
    </w:p>
    <w:p w:rsidR="000A7F87" w:rsidRDefault="0031038E">
      <w:pPr>
        <w:spacing w:after="120" w:line="240" w:lineRule="auto"/>
        <w:jc w:val="both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lastRenderedPageBreak/>
        <w:t>Tabuľka  k čl. III ods. 1 o stave a pohybe dlhodobého nehmotného majetku a dlhodobého hmotného majetku</w:t>
      </w:r>
    </w:p>
    <w:p w:rsidR="000A7F87" w:rsidRDefault="0031038E">
      <w:pPr>
        <w:spacing w:after="120" w:line="240" w:lineRule="auto"/>
        <w:jc w:val="both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Tabuľka č. 1</w:t>
      </w:r>
    </w:p>
    <w:tbl>
      <w:tblPr>
        <w:tblW w:w="0" w:type="auto"/>
        <w:tblInd w:w="38" w:type="dxa"/>
        <w:tblCellMar>
          <w:left w:w="10" w:type="dxa"/>
          <w:right w:w="10" w:type="dxa"/>
        </w:tblCellMar>
        <w:tblLook w:val="0000"/>
      </w:tblPr>
      <w:tblGrid>
        <w:gridCol w:w="1374"/>
        <w:gridCol w:w="1268"/>
        <w:gridCol w:w="844"/>
        <w:gridCol w:w="1196"/>
        <w:gridCol w:w="1147"/>
        <w:gridCol w:w="1284"/>
        <w:gridCol w:w="1215"/>
        <w:gridCol w:w="922"/>
      </w:tblGrid>
      <w:tr w:rsidR="000A7F87">
        <w:trPr>
          <w:trHeight w:val="1"/>
        </w:trPr>
        <w:tc>
          <w:tcPr>
            <w:tcW w:w="2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0A7F8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sz w:val="18"/>
              </w:rPr>
              <w:t>Nehmotné výsledky z vývojovej a obdobnej činnosti</w:t>
            </w:r>
          </w:p>
        </w:tc>
        <w:tc>
          <w:tcPr>
            <w:tcW w:w="1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sz w:val="18"/>
              </w:rPr>
              <w:t>Softvér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sz w:val="18"/>
              </w:rPr>
              <w:t>Oceniteľné práva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sz w:val="18"/>
              </w:rPr>
              <w:t>Ostatný dlhodobý nehmotný majetok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sz w:val="18"/>
              </w:rPr>
              <w:t>Obstaranie dlhodobého nehmotného majetku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sz w:val="18"/>
              </w:rPr>
              <w:t>Poskytnuté preddavky na dlhodobý nehmotný majetok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sz w:val="18"/>
              </w:rPr>
              <w:t>Spolu</w:t>
            </w:r>
          </w:p>
        </w:tc>
      </w:tr>
      <w:tr w:rsidR="000A7F87">
        <w:trPr>
          <w:trHeight w:val="1"/>
        </w:trPr>
        <w:tc>
          <w:tcPr>
            <w:tcW w:w="2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  <w:sz w:val="18"/>
              </w:rPr>
              <w:t>Prvotné ocenenie</w:t>
            </w:r>
            <w:r>
              <w:rPr>
                <w:rFonts w:ascii="Arial Narrow" w:eastAsia="Arial Narrow" w:hAnsi="Arial Narrow" w:cs="Arial Narrow"/>
                <w:sz w:val="18"/>
              </w:rPr>
              <w:t xml:space="preserve"> - stav na začiatku bežného účtovného obdobia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0A7F87">
        <w:trPr>
          <w:trHeight w:val="403"/>
        </w:trPr>
        <w:tc>
          <w:tcPr>
            <w:tcW w:w="2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sz w:val="18"/>
              </w:rPr>
              <w:t xml:space="preserve">prírastky 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0A7F87">
        <w:trPr>
          <w:trHeight w:val="403"/>
        </w:trPr>
        <w:tc>
          <w:tcPr>
            <w:tcW w:w="2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sz w:val="18"/>
              </w:rPr>
              <w:t xml:space="preserve">úbytky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0A7F87">
        <w:trPr>
          <w:trHeight w:val="403"/>
        </w:trPr>
        <w:tc>
          <w:tcPr>
            <w:tcW w:w="2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sz w:val="18"/>
              </w:rPr>
              <w:t>presuny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0A7F87">
        <w:trPr>
          <w:trHeight w:val="1"/>
        </w:trPr>
        <w:tc>
          <w:tcPr>
            <w:tcW w:w="2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sz w:val="18"/>
              </w:rPr>
              <w:t>Stav na konci bežného účtovného obdobia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0A7F87">
        <w:trPr>
          <w:trHeight w:val="1"/>
        </w:trPr>
        <w:tc>
          <w:tcPr>
            <w:tcW w:w="2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Oprávky – </w:t>
            </w:r>
            <w:r>
              <w:rPr>
                <w:rFonts w:ascii="Arial Narrow" w:eastAsia="Arial Narrow" w:hAnsi="Arial Narrow" w:cs="Arial Narrow"/>
                <w:sz w:val="18"/>
              </w:rPr>
              <w:t>stav na začiatku bežného účtovného obdobia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0A7F87">
        <w:trPr>
          <w:trHeight w:val="403"/>
        </w:trPr>
        <w:tc>
          <w:tcPr>
            <w:tcW w:w="2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sz w:val="18"/>
              </w:rPr>
              <w:t xml:space="preserve">prírastky 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0A7F87">
        <w:trPr>
          <w:trHeight w:val="403"/>
        </w:trPr>
        <w:tc>
          <w:tcPr>
            <w:tcW w:w="2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sz w:val="18"/>
              </w:rPr>
              <w:t xml:space="preserve">úbytky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0A7F87">
        <w:trPr>
          <w:trHeight w:val="1"/>
        </w:trPr>
        <w:tc>
          <w:tcPr>
            <w:tcW w:w="2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sz w:val="18"/>
              </w:rPr>
              <w:t>Stav na konci bežného účtovného obdobia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0A7F87">
        <w:trPr>
          <w:trHeight w:val="1"/>
        </w:trPr>
        <w:tc>
          <w:tcPr>
            <w:tcW w:w="2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  <w:sz w:val="18"/>
              </w:rPr>
              <w:t>Opravné položky</w:t>
            </w:r>
            <w:r>
              <w:rPr>
                <w:rFonts w:ascii="Arial Narrow" w:eastAsia="Arial Narrow" w:hAnsi="Arial Narrow" w:cs="Arial Narrow"/>
                <w:sz w:val="18"/>
              </w:rPr>
              <w:t xml:space="preserve"> – stav na začiatku bežného účtovného obdobia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0A7F87">
        <w:trPr>
          <w:trHeight w:val="309"/>
        </w:trPr>
        <w:tc>
          <w:tcPr>
            <w:tcW w:w="2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sz w:val="18"/>
              </w:rPr>
              <w:t xml:space="preserve">prírastky 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0A7F87">
        <w:trPr>
          <w:trHeight w:val="337"/>
        </w:trPr>
        <w:tc>
          <w:tcPr>
            <w:tcW w:w="2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sz w:val="18"/>
              </w:rPr>
              <w:t xml:space="preserve">úbytky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0A7F87">
        <w:trPr>
          <w:trHeight w:val="337"/>
        </w:trPr>
        <w:tc>
          <w:tcPr>
            <w:tcW w:w="2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sz w:val="18"/>
              </w:rPr>
              <w:t>Stav na konci bežného účtovného obdobia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0A7F87">
        <w:trPr>
          <w:trHeight w:val="337"/>
        </w:trPr>
        <w:tc>
          <w:tcPr>
            <w:tcW w:w="15474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  <w:sz w:val="18"/>
              </w:rPr>
              <w:t>Zostatková hodnota</w:t>
            </w:r>
          </w:p>
        </w:tc>
      </w:tr>
      <w:tr w:rsidR="000A7F87">
        <w:trPr>
          <w:trHeight w:val="361"/>
        </w:trPr>
        <w:tc>
          <w:tcPr>
            <w:tcW w:w="2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sz w:val="18"/>
              </w:rPr>
              <w:t>Stav na začiatku bežného účtovného obdobia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0A7F87">
        <w:trPr>
          <w:trHeight w:val="361"/>
        </w:trPr>
        <w:tc>
          <w:tcPr>
            <w:tcW w:w="2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sz w:val="18"/>
              </w:rPr>
              <w:t>Stav na konci bežného účtovného obdobia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</w:tbl>
    <w:p w:rsidR="000A7F87" w:rsidRDefault="000A7F87">
      <w:pPr>
        <w:spacing w:after="120" w:line="240" w:lineRule="auto"/>
        <w:jc w:val="both"/>
        <w:rPr>
          <w:rFonts w:ascii="Arial Narrow" w:eastAsia="Arial Narrow" w:hAnsi="Arial Narrow" w:cs="Arial Narrow"/>
          <w:b/>
        </w:rPr>
      </w:pPr>
    </w:p>
    <w:p w:rsidR="000A7F87" w:rsidRDefault="0031038E">
      <w:pPr>
        <w:spacing w:after="120" w:line="240" w:lineRule="auto"/>
        <w:jc w:val="both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Tabuľka č. 2</w:t>
      </w:r>
    </w:p>
    <w:tbl>
      <w:tblPr>
        <w:tblW w:w="0" w:type="auto"/>
        <w:tblInd w:w="38" w:type="dxa"/>
        <w:tblCellMar>
          <w:left w:w="10" w:type="dxa"/>
          <w:right w:w="10" w:type="dxa"/>
        </w:tblCellMar>
        <w:tblLook w:val="0000"/>
      </w:tblPr>
      <w:tblGrid>
        <w:gridCol w:w="750"/>
        <w:gridCol w:w="716"/>
        <w:gridCol w:w="755"/>
        <w:gridCol w:w="595"/>
        <w:gridCol w:w="870"/>
        <w:gridCol w:w="844"/>
        <w:gridCol w:w="998"/>
        <w:gridCol w:w="716"/>
        <w:gridCol w:w="755"/>
        <w:gridCol w:w="876"/>
        <w:gridCol w:w="838"/>
        <w:gridCol w:w="537"/>
      </w:tblGrid>
      <w:tr w:rsidR="000A7F87">
        <w:trPr>
          <w:trHeight w:val="1"/>
        </w:trPr>
        <w:tc>
          <w:tcPr>
            <w:tcW w:w="1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0A7F8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sz w:val="18"/>
              </w:rPr>
              <w:t>Pozem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lastRenderedPageBreak/>
              <w:t>ky</w:t>
            </w:r>
          </w:p>
        </w:tc>
        <w:tc>
          <w:tcPr>
            <w:tcW w:w="1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sz w:val="18"/>
              </w:rPr>
              <w:lastRenderedPageBreak/>
              <w:t>Umelec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lastRenderedPageBreak/>
              <w:t>ké diela a zbierky</w:t>
            </w:r>
          </w:p>
        </w:tc>
        <w:tc>
          <w:tcPr>
            <w:tcW w:w="1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sz w:val="18"/>
              </w:rPr>
              <w:lastRenderedPageBreak/>
              <w:t>Stav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lastRenderedPageBreak/>
              <w:t>by</w:t>
            </w: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sz w:val="18"/>
              </w:rPr>
              <w:lastRenderedPageBreak/>
              <w:t>Samosta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lastRenderedPageBreak/>
              <w:t>tné hnuteľné veci a súbory hnuteľných vecí</w:t>
            </w:r>
          </w:p>
        </w:tc>
        <w:tc>
          <w:tcPr>
            <w:tcW w:w="1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sz w:val="18"/>
              </w:rPr>
              <w:lastRenderedPageBreak/>
              <w:t>Dopravn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lastRenderedPageBreak/>
              <w:t>é prostriedky</w:t>
            </w: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sz w:val="18"/>
              </w:rPr>
              <w:lastRenderedPageBreak/>
              <w:t>Pestovateľ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lastRenderedPageBreak/>
              <w:t>ské celky trvalých porastov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sz w:val="18"/>
              </w:rPr>
              <w:lastRenderedPageBreak/>
              <w:t>Základ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lastRenderedPageBreak/>
              <w:t>né stádo a ťažné zvieratá</w:t>
            </w:r>
          </w:p>
        </w:tc>
        <w:tc>
          <w:tcPr>
            <w:tcW w:w="1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sz w:val="18"/>
              </w:rPr>
              <w:lastRenderedPageBreak/>
              <w:t xml:space="preserve">Drobný 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lastRenderedPageBreak/>
              <w:t>a ostatný dlhodobý hmotný majetok</w:t>
            </w: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sz w:val="18"/>
              </w:rPr>
              <w:lastRenderedPageBreak/>
              <w:t>Obstaran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lastRenderedPageBreak/>
              <w:t>ie dlhodobého hmotného majetku</w:t>
            </w:r>
          </w:p>
        </w:tc>
        <w:tc>
          <w:tcPr>
            <w:tcW w:w="1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sz w:val="18"/>
              </w:rPr>
              <w:lastRenderedPageBreak/>
              <w:t>Poskytn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lastRenderedPageBreak/>
              <w:t>uté preddavky na dlhodobý hmotný majetok</w:t>
            </w:r>
          </w:p>
        </w:tc>
        <w:tc>
          <w:tcPr>
            <w:tcW w:w="1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sz w:val="18"/>
              </w:rPr>
              <w:lastRenderedPageBreak/>
              <w:t>Spol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lastRenderedPageBreak/>
              <w:t>u</w:t>
            </w:r>
          </w:p>
        </w:tc>
      </w:tr>
      <w:tr w:rsidR="000A7F87">
        <w:trPr>
          <w:trHeight w:val="1"/>
        </w:trPr>
        <w:tc>
          <w:tcPr>
            <w:tcW w:w="1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  <w:sz w:val="18"/>
              </w:rPr>
              <w:lastRenderedPageBreak/>
              <w:t>Prvotné ocenenie</w:t>
            </w:r>
            <w:r>
              <w:rPr>
                <w:rFonts w:ascii="Arial Narrow" w:eastAsia="Arial Narrow" w:hAnsi="Arial Narrow" w:cs="Arial Narrow"/>
                <w:sz w:val="18"/>
              </w:rPr>
              <w:t xml:space="preserve"> - stav na začiatku bežného účtovného obdobia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0A7F87">
        <w:trPr>
          <w:trHeight w:val="401"/>
        </w:trPr>
        <w:tc>
          <w:tcPr>
            <w:tcW w:w="1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sz w:val="18"/>
              </w:rPr>
              <w:t xml:space="preserve">prírastky  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0A7F87">
        <w:trPr>
          <w:trHeight w:val="421"/>
        </w:trPr>
        <w:tc>
          <w:tcPr>
            <w:tcW w:w="1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sz w:val="18"/>
              </w:rPr>
              <w:t xml:space="preserve">úbytky 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0A7F87">
        <w:trPr>
          <w:trHeight w:val="421"/>
        </w:trPr>
        <w:tc>
          <w:tcPr>
            <w:tcW w:w="1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sz w:val="18"/>
              </w:rPr>
              <w:t>presuny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0A7F87">
        <w:trPr>
          <w:trHeight w:val="1"/>
        </w:trPr>
        <w:tc>
          <w:tcPr>
            <w:tcW w:w="1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sz w:val="18"/>
              </w:rPr>
              <w:t>Stav na konci bežného účtovného obdobia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0A7F87">
        <w:trPr>
          <w:trHeight w:val="1"/>
        </w:trPr>
        <w:tc>
          <w:tcPr>
            <w:tcW w:w="1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Oprávky – </w:t>
            </w:r>
            <w:r>
              <w:rPr>
                <w:rFonts w:ascii="Arial Narrow" w:eastAsia="Arial Narrow" w:hAnsi="Arial Narrow" w:cs="Arial Narrow"/>
                <w:sz w:val="18"/>
              </w:rPr>
              <w:t>stav na začiatku bežného účtovného obdobia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0A7F87">
        <w:trPr>
          <w:trHeight w:val="426"/>
        </w:trPr>
        <w:tc>
          <w:tcPr>
            <w:tcW w:w="1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sz w:val="18"/>
              </w:rPr>
              <w:t xml:space="preserve">prírastky  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0A7F87">
        <w:trPr>
          <w:trHeight w:val="439"/>
        </w:trPr>
        <w:tc>
          <w:tcPr>
            <w:tcW w:w="1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sz w:val="18"/>
              </w:rPr>
              <w:t xml:space="preserve">úbytky 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0A7F87">
        <w:trPr>
          <w:trHeight w:val="1"/>
        </w:trPr>
        <w:tc>
          <w:tcPr>
            <w:tcW w:w="1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sz w:val="18"/>
              </w:rPr>
              <w:t>Stav na konci bežného účtovného obdobia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0A7F87">
        <w:trPr>
          <w:trHeight w:val="1"/>
        </w:trPr>
        <w:tc>
          <w:tcPr>
            <w:tcW w:w="1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  <w:sz w:val="18"/>
              </w:rPr>
              <w:t>Opravné položky</w:t>
            </w:r>
            <w:r>
              <w:rPr>
                <w:rFonts w:ascii="Arial Narrow" w:eastAsia="Arial Narrow" w:hAnsi="Arial Narrow" w:cs="Arial Narrow"/>
                <w:sz w:val="18"/>
              </w:rPr>
              <w:t xml:space="preserve"> – stav na začiatku bežného účtovného obdobia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0A7F87">
        <w:trPr>
          <w:trHeight w:val="309"/>
        </w:trPr>
        <w:tc>
          <w:tcPr>
            <w:tcW w:w="1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sz w:val="18"/>
              </w:rPr>
              <w:t>prírastk</w:t>
            </w:r>
            <w:r>
              <w:rPr>
                <w:rFonts w:ascii="Arial Narrow" w:eastAsia="Arial Narrow" w:hAnsi="Arial Narrow" w:cs="Arial Narrow"/>
                <w:sz w:val="18"/>
              </w:rPr>
              <w:lastRenderedPageBreak/>
              <w:t xml:space="preserve">y  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0A7F87">
        <w:trPr>
          <w:trHeight w:val="337"/>
        </w:trPr>
        <w:tc>
          <w:tcPr>
            <w:tcW w:w="1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sz w:val="18"/>
              </w:rPr>
              <w:lastRenderedPageBreak/>
              <w:t xml:space="preserve">úbytky 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0A7F87">
        <w:trPr>
          <w:trHeight w:val="337"/>
        </w:trPr>
        <w:tc>
          <w:tcPr>
            <w:tcW w:w="1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sz w:val="18"/>
              </w:rPr>
              <w:t>Stav na konci bežného účtovného obdobia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0A7F87">
        <w:trPr>
          <w:trHeight w:val="361"/>
        </w:trPr>
        <w:tc>
          <w:tcPr>
            <w:tcW w:w="15685" w:type="dxa"/>
            <w:gridSpan w:val="1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  <w:sz w:val="18"/>
              </w:rPr>
              <w:t>Zostatková hodnota</w:t>
            </w:r>
          </w:p>
        </w:tc>
      </w:tr>
      <w:tr w:rsidR="000A7F87">
        <w:trPr>
          <w:trHeight w:val="361"/>
        </w:trPr>
        <w:tc>
          <w:tcPr>
            <w:tcW w:w="1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sz w:val="18"/>
              </w:rPr>
              <w:t>Stav na začiatku bežného účtovného obdobia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0A7F87">
        <w:trPr>
          <w:trHeight w:val="361"/>
        </w:trPr>
        <w:tc>
          <w:tcPr>
            <w:tcW w:w="1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sz w:val="18"/>
              </w:rPr>
              <w:t>Stav na konci bežného účtovného obdobia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</w:tbl>
    <w:p w:rsidR="000A7F87" w:rsidRDefault="000A7F87">
      <w:pPr>
        <w:spacing w:after="120" w:line="240" w:lineRule="auto"/>
        <w:jc w:val="both"/>
        <w:rPr>
          <w:rFonts w:ascii="Arial Narrow" w:eastAsia="Arial Narrow" w:hAnsi="Arial Narrow" w:cs="Arial Narrow"/>
        </w:rPr>
      </w:pPr>
    </w:p>
    <w:p w:rsidR="000A7F87" w:rsidRDefault="0031038E">
      <w:pPr>
        <w:spacing w:after="120" w:line="240" w:lineRule="auto"/>
        <w:jc w:val="both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Tabuľka k čl. III ods. 4 a 5  o štruktúre a o zmenách jednotlivých položiek dlhodobého finančného majetku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1419"/>
        <w:gridCol w:w="1082"/>
        <w:gridCol w:w="1270"/>
        <w:gridCol w:w="904"/>
        <w:gridCol w:w="933"/>
        <w:gridCol w:w="863"/>
        <w:gridCol w:w="1082"/>
        <w:gridCol w:w="1022"/>
        <w:gridCol w:w="557"/>
      </w:tblGrid>
      <w:tr w:rsidR="000A7F87">
        <w:trPr>
          <w:trHeight w:val="1393"/>
          <w:jc w:val="center"/>
        </w:trPr>
        <w:tc>
          <w:tcPr>
            <w:tcW w:w="28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0A7F87" w:rsidRDefault="000A7F87">
            <w:pPr>
              <w:spacing w:after="12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0A7F87" w:rsidRDefault="0031038E">
            <w:pPr>
              <w:spacing w:after="12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Podielové cenné papiere a podiely v ovládanej obchodnej spoločnosti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0A7F87" w:rsidRDefault="0031038E">
            <w:pPr>
              <w:spacing w:after="12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Podielové cenné papiere a podiely v obchodnej spoločnosti s podstatným vplyvom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0A7F87" w:rsidRDefault="0031038E">
            <w:pPr>
              <w:spacing w:after="12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Dlhové cenné papiere držané do splatnosti</w:t>
            </w:r>
          </w:p>
        </w:tc>
        <w:tc>
          <w:tcPr>
            <w:tcW w:w="1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0A7F87" w:rsidRDefault="0031038E">
            <w:pPr>
              <w:spacing w:after="12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Pôžičky podnikom v skupine a ostatné pôžičky</w:t>
            </w:r>
          </w:p>
        </w:tc>
        <w:tc>
          <w:tcPr>
            <w:tcW w:w="1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0A7F87" w:rsidRDefault="0031038E">
            <w:pPr>
              <w:spacing w:after="12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Ostatný dlhodobý finančný majetok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0A7F87" w:rsidRDefault="0031038E">
            <w:pPr>
              <w:spacing w:after="12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Obstaranie dlhodobého finančného majetku</w:t>
            </w:r>
          </w:p>
        </w:tc>
        <w:tc>
          <w:tcPr>
            <w:tcW w:w="1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0A7F87" w:rsidRDefault="0031038E">
            <w:pPr>
              <w:spacing w:after="12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Poskytnuté preddavky na dlhodobý finančný  majetok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0A7F87" w:rsidRDefault="0031038E">
            <w:pPr>
              <w:spacing w:after="12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Spolu</w:t>
            </w:r>
          </w:p>
        </w:tc>
      </w:tr>
      <w:tr w:rsidR="000A7F87">
        <w:trPr>
          <w:trHeight w:val="278"/>
          <w:jc w:val="center"/>
        </w:trPr>
        <w:tc>
          <w:tcPr>
            <w:tcW w:w="15254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Prvotné ocenenie</w:t>
            </w:r>
          </w:p>
        </w:tc>
      </w:tr>
      <w:tr w:rsidR="000A7F87">
        <w:trPr>
          <w:trHeight w:val="278"/>
          <w:jc w:val="center"/>
        </w:trPr>
        <w:tc>
          <w:tcPr>
            <w:tcW w:w="28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Stav  na začiatku bežného účtovného obdobia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0A7F87">
        <w:trPr>
          <w:trHeight w:val="278"/>
          <w:jc w:val="center"/>
        </w:trPr>
        <w:tc>
          <w:tcPr>
            <w:tcW w:w="28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Prírastky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0A7F87">
        <w:trPr>
          <w:trHeight w:val="278"/>
          <w:jc w:val="center"/>
        </w:trPr>
        <w:tc>
          <w:tcPr>
            <w:tcW w:w="28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Úbytky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0A7F87">
        <w:trPr>
          <w:trHeight w:val="278"/>
          <w:jc w:val="center"/>
        </w:trPr>
        <w:tc>
          <w:tcPr>
            <w:tcW w:w="28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Presuny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0A7F87">
        <w:trPr>
          <w:trHeight w:val="278"/>
          <w:jc w:val="center"/>
        </w:trPr>
        <w:tc>
          <w:tcPr>
            <w:tcW w:w="28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Stav na konci bežného účtovného obdobia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0A7F87">
        <w:trPr>
          <w:trHeight w:val="278"/>
          <w:jc w:val="center"/>
        </w:trPr>
        <w:tc>
          <w:tcPr>
            <w:tcW w:w="15254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Opravné položky</w:t>
            </w:r>
          </w:p>
        </w:tc>
      </w:tr>
      <w:tr w:rsidR="000A7F87">
        <w:trPr>
          <w:trHeight w:val="278"/>
          <w:jc w:val="center"/>
        </w:trPr>
        <w:tc>
          <w:tcPr>
            <w:tcW w:w="28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Stav na začiatku bežného účtovného obdobia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0A7F87">
        <w:trPr>
          <w:trHeight w:val="278"/>
          <w:jc w:val="center"/>
        </w:trPr>
        <w:tc>
          <w:tcPr>
            <w:tcW w:w="28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lastRenderedPageBreak/>
              <w:t>Prírastky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0A7F87">
        <w:trPr>
          <w:trHeight w:val="278"/>
          <w:jc w:val="center"/>
        </w:trPr>
        <w:tc>
          <w:tcPr>
            <w:tcW w:w="28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Úbytky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0A7F87">
        <w:trPr>
          <w:trHeight w:val="278"/>
          <w:jc w:val="center"/>
        </w:trPr>
        <w:tc>
          <w:tcPr>
            <w:tcW w:w="28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Stav na konci bežného účtovného obdobia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0A7F87">
        <w:trPr>
          <w:trHeight w:val="278"/>
          <w:jc w:val="center"/>
        </w:trPr>
        <w:tc>
          <w:tcPr>
            <w:tcW w:w="15254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Zostatková hodnota </w:t>
            </w:r>
          </w:p>
        </w:tc>
      </w:tr>
      <w:tr w:rsidR="000A7F87">
        <w:trPr>
          <w:trHeight w:val="278"/>
          <w:jc w:val="center"/>
        </w:trPr>
        <w:tc>
          <w:tcPr>
            <w:tcW w:w="28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Stav na začiatku bežného účtovného obdobia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0A7F87">
        <w:trPr>
          <w:trHeight w:val="290"/>
          <w:jc w:val="center"/>
        </w:trPr>
        <w:tc>
          <w:tcPr>
            <w:tcW w:w="28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Stav na konci bežného účtovného obdobia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</w:tbl>
    <w:p w:rsidR="000A7F87" w:rsidRDefault="000A7F87">
      <w:pPr>
        <w:spacing w:after="120" w:line="240" w:lineRule="auto"/>
        <w:jc w:val="both"/>
        <w:rPr>
          <w:rFonts w:ascii="Arial Narrow" w:eastAsia="Arial Narrow" w:hAnsi="Arial Narrow" w:cs="Arial Narrow"/>
        </w:rPr>
      </w:pPr>
    </w:p>
    <w:p w:rsidR="000A7F87" w:rsidRDefault="000A7F87">
      <w:pPr>
        <w:spacing w:after="120" w:line="240" w:lineRule="auto"/>
        <w:jc w:val="both"/>
        <w:rPr>
          <w:rFonts w:ascii="Arial Narrow" w:eastAsia="Arial Narrow" w:hAnsi="Arial Narrow" w:cs="Arial Narrow"/>
          <w:b/>
        </w:rPr>
      </w:pPr>
    </w:p>
    <w:p w:rsidR="000A7F87" w:rsidRDefault="000A7F87">
      <w:pPr>
        <w:spacing w:after="120" w:line="240" w:lineRule="auto"/>
        <w:jc w:val="both"/>
        <w:rPr>
          <w:rFonts w:ascii="Arial Narrow" w:eastAsia="Arial Narrow" w:hAnsi="Arial Narrow" w:cs="Arial Narrow"/>
          <w:b/>
        </w:rPr>
      </w:pPr>
    </w:p>
    <w:p w:rsidR="000A7F87" w:rsidRDefault="000A7F87">
      <w:pPr>
        <w:spacing w:after="120" w:line="240" w:lineRule="auto"/>
        <w:jc w:val="both"/>
        <w:rPr>
          <w:rFonts w:ascii="Arial Narrow" w:eastAsia="Arial Narrow" w:hAnsi="Arial Narrow" w:cs="Arial Narrow"/>
          <w:b/>
        </w:rPr>
      </w:pPr>
    </w:p>
    <w:p w:rsidR="000A7F87" w:rsidRDefault="000A7F87">
      <w:pPr>
        <w:spacing w:after="120" w:line="240" w:lineRule="auto"/>
        <w:jc w:val="both"/>
        <w:rPr>
          <w:rFonts w:ascii="Arial Narrow" w:eastAsia="Arial Narrow" w:hAnsi="Arial Narrow" w:cs="Arial Narrow"/>
          <w:b/>
        </w:rPr>
      </w:pPr>
    </w:p>
    <w:p w:rsidR="000A7F87" w:rsidRDefault="0031038E">
      <w:pPr>
        <w:spacing w:after="120" w:line="240" w:lineRule="auto"/>
        <w:jc w:val="both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 xml:space="preserve">Tabuľka k čl. III ods. 4 o štruktúre dlhodobého finančného majetku </w:t>
      </w:r>
    </w:p>
    <w:tbl>
      <w:tblPr>
        <w:tblW w:w="0" w:type="auto"/>
        <w:tblInd w:w="38" w:type="dxa"/>
        <w:tblCellMar>
          <w:left w:w="10" w:type="dxa"/>
          <w:right w:w="10" w:type="dxa"/>
        </w:tblCellMar>
        <w:tblLook w:val="0000"/>
      </w:tblPr>
      <w:tblGrid>
        <w:gridCol w:w="1199"/>
        <w:gridCol w:w="1121"/>
        <w:gridCol w:w="1218"/>
        <w:gridCol w:w="1102"/>
        <w:gridCol w:w="1754"/>
        <w:gridCol w:w="1102"/>
        <w:gridCol w:w="1754"/>
      </w:tblGrid>
      <w:tr w:rsidR="000A7F87">
        <w:trPr>
          <w:trHeight w:val="399"/>
        </w:trPr>
        <w:tc>
          <w:tcPr>
            <w:tcW w:w="163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12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Názov spoločnosti</w:t>
            </w:r>
          </w:p>
        </w:tc>
        <w:tc>
          <w:tcPr>
            <w:tcW w:w="212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12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Podiel na základnom imaní (v %)</w:t>
            </w:r>
          </w:p>
        </w:tc>
        <w:tc>
          <w:tcPr>
            <w:tcW w:w="255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12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Podiel účtovnej jednotky na hlasovacích právach</w:t>
            </w:r>
          </w:p>
          <w:p w:rsidR="000A7F87" w:rsidRDefault="0031038E">
            <w:pPr>
              <w:spacing w:after="12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(v %)</w:t>
            </w:r>
          </w:p>
        </w:tc>
        <w:tc>
          <w:tcPr>
            <w:tcW w:w="425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12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Hodnota vlastného imania ku koncu</w:t>
            </w:r>
          </w:p>
        </w:tc>
        <w:tc>
          <w:tcPr>
            <w:tcW w:w="467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12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Účtovná hodnota ku koncu</w:t>
            </w:r>
          </w:p>
        </w:tc>
      </w:tr>
      <w:tr w:rsidR="000A7F87">
        <w:trPr>
          <w:trHeight w:val="1073"/>
        </w:trPr>
        <w:tc>
          <w:tcPr>
            <w:tcW w:w="16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212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255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12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bežného účtovného obdobia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12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bezprostredne predchádzajúceho účtovného obdobia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12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bežného účtovného obdobia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12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bezprostredne predchádzajúceho účtovného obdobia</w:t>
            </w:r>
          </w:p>
        </w:tc>
      </w:tr>
      <w:tr w:rsidR="000A7F87">
        <w:trPr>
          <w:trHeight w:val="283"/>
        </w:trPr>
        <w:tc>
          <w:tcPr>
            <w:tcW w:w="1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0A7F87">
        <w:trPr>
          <w:trHeight w:val="283"/>
        </w:trPr>
        <w:tc>
          <w:tcPr>
            <w:tcW w:w="1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0A7F87">
        <w:trPr>
          <w:trHeight w:val="283"/>
        </w:trPr>
        <w:tc>
          <w:tcPr>
            <w:tcW w:w="1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</w:tbl>
    <w:p w:rsidR="000A7F87" w:rsidRDefault="000A7F87">
      <w:pPr>
        <w:spacing w:after="120" w:line="240" w:lineRule="auto"/>
        <w:jc w:val="both"/>
        <w:rPr>
          <w:rFonts w:ascii="Arial" w:eastAsia="Arial" w:hAnsi="Arial" w:cs="Arial"/>
          <w:sz w:val="16"/>
        </w:rPr>
      </w:pPr>
    </w:p>
    <w:p w:rsidR="000A7F87" w:rsidRDefault="000A7F87">
      <w:pPr>
        <w:spacing w:after="120" w:line="240" w:lineRule="auto"/>
        <w:jc w:val="both"/>
        <w:rPr>
          <w:rFonts w:ascii="Arial Narrow" w:eastAsia="Arial Narrow" w:hAnsi="Arial Narrow" w:cs="Arial Narrow"/>
          <w:b/>
        </w:rPr>
      </w:pPr>
    </w:p>
    <w:p w:rsidR="000A7F87" w:rsidRDefault="0031038E">
      <w:pPr>
        <w:spacing w:after="120" w:line="240" w:lineRule="auto"/>
        <w:jc w:val="both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Tabuľka k čl. III ods. 6 o položkách krátkodobého finančného majetku</w:t>
      </w:r>
    </w:p>
    <w:p w:rsidR="000A7F87" w:rsidRDefault="000A7F87">
      <w:pPr>
        <w:spacing w:after="120" w:line="240" w:lineRule="auto"/>
        <w:jc w:val="both"/>
        <w:rPr>
          <w:rFonts w:ascii="Arial Narrow" w:eastAsia="Arial Narrow" w:hAnsi="Arial Narrow" w:cs="Arial Narrow"/>
          <w:b/>
        </w:rPr>
      </w:pPr>
    </w:p>
    <w:p w:rsidR="000A7F87" w:rsidRDefault="0031038E">
      <w:pPr>
        <w:spacing w:after="120" w:line="240" w:lineRule="auto"/>
        <w:jc w:val="both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 xml:space="preserve">Tabuľka č. 1 </w:t>
      </w:r>
    </w:p>
    <w:tbl>
      <w:tblPr>
        <w:tblW w:w="0" w:type="auto"/>
        <w:tblInd w:w="38" w:type="dxa"/>
        <w:tblCellMar>
          <w:left w:w="10" w:type="dxa"/>
          <w:right w:w="10" w:type="dxa"/>
        </w:tblCellMar>
        <w:tblLook w:val="0000"/>
      </w:tblPr>
      <w:tblGrid>
        <w:gridCol w:w="2329"/>
        <w:gridCol w:w="2241"/>
        <w:gridCol w:w="1299"/>
        <w:gridCol w:w="1202"/>
        <w:gridCol w:w="2179"/>
      </w:tblGrid>
      <w:tr w:rsidR="000A7F87">
        <w:trPr>
          <w:trHeight w:val="1"/>
        </w:trPr>
        <w:tc>
          <w:tcPr>
            <w:tcW w:w="36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12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Krátkodobý finančný majetok</w:t>
            </w:r>
          </w:p>
        </w:tc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12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Stav na začiatku bežného účtovného obdobia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12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Prírastky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12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Úbytky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12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Stav na konci bežného účtovného obdobia</w:t>
            </w:r>
          </w:p>
        </w:tc>
      </w:tr>
      <w:tr w:rsidR="000A7F87">
        <w:trPr>
          <w:trHeight w:val="1"/>
        </w:trPr>
        <w:tc>
          <w:tcPr>
            <w:tcW w:w="36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31038E">
            <w:pPr>
              <w:spacing w:after="12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Majetkové cenné papiere na obchodovanie</w:t>
            </w:r>
          </w:p>
        </w:tc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0A7F87">
        <w:trPr>
          <w:trHeight w:val="1"/>
        </w:trPr>
        <w:tc>
          <w:tcPr>
            <w:tcW w:w="36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31038E">
            <w:pPr>
              <w:spacing w:after="12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 xml:space="preserve">Dlhové cenné papiere na obchodovanie </w:t>
            </w:r>
          </w:p>
        </w:tc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0A7F87">
        <w:trPr>
          <w:trHeight w:val="1"/>
        </w:trPr>
        <w:tc>
          <w:tcPr>
            <w:tcW w:w="36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31038E">
            <w:pPr>
              <w:spacing w:after="12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 xml:space="preserve">Dlhové cenné papiere so splatnosťou do jedného </w:t>
            </w:r>
            <w:r>
              <w:rPr>
                <w:rFonts w:ascii="Arial Narrow" w:eastAsia="Arial Narrow" w:hAnsi="Arial Narrow" w:cs="Arial Narrow"/>
              </w:rPr>
              <w:lastRenderedPageBreak/>
              <w:t xml:space="preserve">roka držané do splatnosti </w:t>
            </w:r>
          </w:p>
        </w:tc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0A7F87">
        <w:trPr>
          <w:trHeight w:val="1"/>
        </w:trPr>
        <w:tc>
          <w:tcPr>
            <w:tcW w:w="36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31038E">
            <w:pPr>
              <w:spacing w:after="12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lastRenderedPageBreak/>
              <w:t>Ostatné realizovateľné cenné papiere</w:t>
            </w:r>
          </w:p>
        </w:tc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0A7F87">
        <w:trPr>
          <w:trHeight w:val="1"/>
        </w:trPr>
        <w:tc>
          <w:tcPr>
            <w:tcW w:w="36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31038E">
            <w:pPr>
              <w:spacing w:after="120" w:line="240" w:lineRule="auto"/>
            </w:pPr>
            <w:r>
              <w:rPr>
                <w:rFonts w:ascii="Arial Narrow" w:eastAsia="Arial Narrow" w:hAnsi="Arial Narrow" w:cs="Arial Narrow"/>
              </w:rPr>
              <w:t>Obstarávanie krátkodobého finančného majetku</w:t>
            </w:r>
          </w:p>
        </w:tc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0A7F87">
        <w:trPr>
          <w:trHeight w:val="1"/>
        </w:trPr>
        <w:tc>
          <w:tcPr>
            <w:tcW w:w="36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31038E">
            <w:pPr>
              <w:spacing w:after="120" w:line="240" w:lineRule="auto"/>
              <w:jc w:val="both"/>
            </w:pPr>
            <w:r>
              <w:rPr>
                <w:rFonts w:ascii="Arial Narrow" w:eastAsia="Arial Narrow" w:hAnsi="Arial Narrow" w:cs="Arial Narrow"/>
                <w:b/>
              </w:rPr>
              <w:t>Krátkodobý finančný majetok spolu</w:t>
            </w:r>
          </w:p>
        </w:tc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</w:tbl>
    <w:p w:rsidR="000A7F87" w:rsidRDefault="000A7F87">
      <w:pPr>
        <w:spacing w:after="120" w:line="240" w:lineRule="auto"/>
        <w:jc w:val="both"/>
        <w:rPr>
          <w:rFonts w:ascii="Arial Narrow" w:eastAsia="Arial Narrow" w:hAnsi="Arial Narrow" w:cs="Arial Narrow"/>
          <w:b/>
        </w:rPr>
      </w:pPr>
    </w:p>
    <w:p w:rsidR="000A7F87" w:rsidRDefault="0031038E">
      <w:pPr>
        <w:spacing w:after="120" w:line="240" w:lineRule="auto"/>
        <w:jc w:val="both"/>
        <w:rPr>
          <w:rFonts w:ascii="Arial" w:eastAsia="Arial" w:hAnsi="Arial" w:cs="Arial"/>
          <w:b/>
        </w:rPr>
      </w:pPr>
      <w:r>
        <w:rPr>
          <w:rFonts w:ascii="Arial" w:eastAsia="Arial" w:hAnsi="Arial" w:cs="Arial"/>
          <w:b/>
        </w:rPr>
        <w:t>Tabuľka č. 2</w:t>
      </w:r>
    </w:p>
    <w:tbl>
      <w:tblPr>
        <w:tblW w:w="0" w:type="auto"/>
        <w:tblInd w:w="38" w:type="dxa"/>
        <w:tblCellMar>
          <w:left w:w="10" w:type="dxa"/>
          <w:right w:w="10" w:type="dxa"/>
        </w:tblCellMar>
        <w:tblLook w:val="0000"/>
      </w:tblPr>
      <w:tblGrid>
        <w:gridCol w:w="2490"/>
        <w:gridCol w:w="1739"/>
        <w:gridCol w:w="2883"/>
        <w:gridCol w:w="2138"/>
      </w:tblGrid>
      <w:tr w:rsidR="000A7F87">
        <w:trPr>
          <w:trHeight w:val="1"/>
        </w:trPr>
        <w:tc>
          <w:tcPr>
            <w:tcW w:w="3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120" w:line="240" w:lineRule="auto"/>
              <w:jc w:val="center"/>
            </w:pPr>
            <w:r>
              <w:rPr>
                <w:rFonts w:ascii="Arial" w:eastAsia="Arial" w:hAnsi="Arial" w:cs="Arial"/>
                <w:b/>
                <w:sz w:val="16"/>
              </w:rPr>
              <w:t>Krátkodobý finančný  majetok</w:t>
            </w:r>
          </w:p>
        </w:tc>
        <w:tc>
          <w:tcPr>
            <w:tcW w:w="2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120" w:line="240" w:lineRule="auto"/>
              <w:jc w:val="center"/>
              <w:rPr>
                <w:rFonts w:ascii="Arial" w:eastAsia="Arial" w:hAnsi="Arial" w:cs="Arial"/>
                <w:b/>
                <w:sz w:val="16"/>
              </w:rPr>
            </w:pPr>
            <w:r>
              <w:rPr>
                <w:rFonts w:ascii="Arial" w:eastAsia="Arial" w:hAnsi="Arial" w:cs="Arial"/>
                <w:b/>
                <w:sz w:val="16"/>
              </w:rPr>
              <w:t>Zvýšenie/ zníženie hodnoty</w:t>
            </w:r>
          </w:p>
          <w:p w:rsidR="000A7F87" w:rsidRDefault="0031038E">
            <w:pPr>
              <w:spacing w:after="120" w:line="240" w:lineRule="auto"/>
              <w:jc w:val="center"/>
            </w:pPr>
            <w:r>
              <w:rPr>
                <w:rFonts w:ascii="Arial" w:eastAsia="Arial" w:hAnsi="Arial" w:cs="Arial"/>
                <w:b/>
                <w:sz w:val="16"/>
              </w:rPr>
              <w:t>(+/-)</w:t>
            </w:r>
          </w:p>
        </w:tc>
        <w:tc>
          <w:tcPr>
            <w:tcW w:w="42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120" w:line="240" w:lineRule="auto"/>
              <w:jc w:val="center"/>
            </w:pPr>
            <w:r>
              <w:rPr>
                <w:rFonts w:ascii="Arial" w:eastAsia="Arial" w:hAnsi="Arial" w:cs="Arial"/>
                <w:b/>
                <w:sz w:val="16"/>
              </w:rPr>
              <w:t>Vplyv ocenenia na výsledok hospodárenia bežného účtovného obdobia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120" w:line="240" w:lineRule="auto"/>
              <w:jc w:val="center"/>
            </w:pPr>
            <w:r>
              <w:rPr>
                <w:rFonts w:ascii="Arial" w:eastAsia="Arial" w:hAnsi="Arial" w:cs="Arial"/>
                <w:b/>
                <w:sz w:val="16"/>
              </w:rPr>
              <w:t>Vplyv ocenenia na vlastné imanie</w:t>
            </w:r>
          </w:p>
        </w:tc>
      </w:tr>
      <w:tr w:rsidR="000A7F87">
        <w:trPr>
          <w:trHeight w:val="1"/>
        </w:trPr>
        <w:tc>
          <w:tcPr>
            <w:tcW w:w="3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120" w:line="240" w:lineRule="auto"/>
            </w:pPr>
            <w:r>
              <w:rPr>
                <w:rFonts w:ascii="Arial Narrow" w:eastAsia="Arial Narrow" w:hAnsi="Arial Narrow" w:cs="Arial Narrow"/>
              </w:rPr>
              <w:t>Majetkové cenné papiere na obchodovanie</w:t>
            </w:r>
          </w:p>
        </w:tc>
        <w:tc>
          <w:tcPr>
            <w:tcW w:w="2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42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0A7F87">
        <w:trPr>
          <w:trHeight w:val="1"/>
        </w:trPr>
        <w:tc>
          <w:tcPr>
            <w:tcW w:w="3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120" w:line="240" w:lineRule="auto"/>
            </w:pPr>
            <w:r>
              <w:rPr>
                <w:rFonts w:ascii="Arial Narrow" w:eastAsia="Arial Narrow" w:hAnsi="Arial Narrow" w:cs="Arial Narrow"/>
              </w:rPr>
              <w:t>Dlhové cenné papiere na obchodovanie</w:t>
            </w:r>
          </w:p>
        </w:tc>
        <w:tc>
          <w:tcPr>
            <w:tcW w:w="2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42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0A7F87">
        <w:trPr>
          <w:trHeight w:val="1"/>
        </w:trPr>
        <w:tc>
          <w:tcPr>
            <w:tcW w:w="3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120" w:line="240" w:lineRule="auto"/>
            </w:pPr>
            <w:r>
              <w:rPr>
                <w:rFonts w:ascii="Arial Narrow" w:eastAsia="Arial Narrow" w:hAnsi="Arial Narrow" w:cs="Arial Narrow"/>
              </w:rPr>
              <w:t>Ostatné realizovateľné cenné papiere</w:t>
            </w:r>
          </w:p>
        </w:tc>
        <w:tc>
          <w:tcPr>
            <w:tcW w:w="2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42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0A7F87">
        <w:trPr>
          <w:trHeight w:val="1"/>
        </w:trPr>
        <w:tc>
          <w:tcPr>
            <w:tcW w:w="3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12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Krátkodobý finančný  majetok spolu</w:t>
            </w:r>
          </w:p>
        </w:tc>
        <w:tc>
          <w:tcPr>
            <w:tcW w:w="2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42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</w:tbl>
    <w:p w:rsidR="000A7F87" w:rsidRDefault="000A7F87">
      <w:pPr>
        <w:spacing w:after="120" w:line="240" w:lineRule="auto"/>
        <w:jc w:val="both"/>
        <w:rPr>
          <w:rFonts w:ascii="Arial Narrow" w:eastAsia="Arial Narrow" w:hAnsi="Arial Narrow" w:cs="Arial Narrow"/>
          <w:b/>
        </w:rPr>
      </w:pPr>
    </w:p>
    <w:p w:rsidR="000A7F87" w:rsidRDefault="000A7F87">
      <w:pPr>
        <w:spacing w:after="120" w:line="240" w:lineRule="auto"/>
        <w:jc w:val="both"/>
        <w:rPr>
          <w:rFonts w:ascii="Arial Narrow" w:eastAsia="Arial Narrow" w:hAnsi="Arial Narrow" w:cs="Arial Narrow"/>
          <w:b/>
        </w:rPr>
      </w:pPr>
    </w:p>
    <w:p w:rsidR="000A7F87" w:rsidRDefault="0031038E">
      <w:pPr>
        <w:spacing w:after="120" w:line="240" w:lineRule="auto"/>
        <w:jc w:val="both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 xml:space="preserve">Tabuľka k čl. III ods. 7 o vývoji opravných položiek k zásobám </w:t>
      </w:r>
    </w:p>
    <w:tbl>
      <w:tblPr>
        <w:tblW w:w="0" w:type="auto"/>
        <w:tblInd w:w="38" w:type="dxa"/>
        <w:tblCellMar>
          <w:left w:w="10" w:type="dxa"/>
          <w:right w:w="10" w:type="dxa"/>
        </w:tblCellMar>
        <w:tblLook w:val="0000"/>
      </w:tblPr>
      <w:tblGrid>
        <w:gridCol w:w="1614"/>
        <w:gridCol w:w="1595"/>
        <w:gridCol w:w="1522"/>
        <w:gridCol w:w="1348"/>
        <w:gridCol w:w="1529"/>
        <w:gridCol w:w="1642"/>
      </w:tblGrid>
      <w:tr w:rsidR="000A7F87">
        <w:trPr>
          <w:trHeight w:val="1"/>
        </w:trPr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Druh zásob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Stav na začiatku bežného účtovného obdobia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Tvorba opravnej položky (zvýšenie)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Zníženie opravnej položky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Zúčtovanie  opravnej položky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Stav na konci bežného účtovného obdobia</w:t>
            </w:r>
          </w:p>
        </w:tc>
      </w:tr>
      <w:tr w:rsidR="000A7F87">
        <w:trPr>
          <w:trHeight w:val="477"/>
        </w:trPr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Materiál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0A7F87">
        <w:trPr>
          <w:trHeight w:val="1"/>
        </w:trPr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Nedokončená výroba  a polotovary vlastnej výroby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0A7F87">
        <w:trPr>
          <w:trHeight w:val="499"/>
        </w:trPr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 xml:space="preserve">Výrobky 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0A7F87">
        <w:trPr>
          <w:trHeight w:val="499"/>
        </w:trPr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Zvieratá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0A7F87">
        <w:trPr>
          <w:trHeight w:val="499"/>
        </w:trPr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Tovar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0A7F87">
        <w:trPr>
          <w:trHeight w:val="499"/>
        </w:trPr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Poskytnutý preddavok na zásoby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0A7F87">
        <w:trPr>
          <w:trHeight w:val="499"/>
        </w:trPr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Zásoby spolu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</w:tbl>
    <w:p w:rsidR="000A7F87" w:rsidRDefault="000A7F87">
      <w:pPr>
        <w:spacing w:after="120" w:line="240" w:lineRule="auto"/>
        <w:jc w:val="both"/>
        <w:rPr>
          <w:rFonts w:ascii="Arial Narrow" w:eastAsia="Arial Narrow" w:hAnsi="Arial Narrow" w:cs="Arial Narrow"/>
        </w:rPr>
      </w:pPr>
    </w:p>
    <w:p w:rsidR="000A7F87" w:rsidRDefault="000A7F87">
      <w:pPr>
        <w:spacing w:after="120" w:line="240" w:lineRule="auto"/>
        <w:jc w:val="both"/>
        <w:rPr>
          <w:rFonts w:ascii="Arial Narrow" w:eastAsia="Arial Narrow" w:hAnsi="Arial Narrow" w:cs="Arial Narrow"/>
        </w:rPr>
      </w:pPr>
    </w:p>
    <w:p w:rsidR="000A7F87" w:rsidRDefault="000A7F87">
      <w:pPr>
        <w:spacing w:after="120" w:line="240" w:lineRule="auto"/>
        <w:jc w:val="both"/>
        <w:rPr>
          <w:rFonts w:ascii="Arial Narrow" w:eastAsia="Arial Narrow" w:hAnsi="Arial Narrow" w:cs="Arial Narrow"/>
        </w:rPr>
      </w:pPr>
    </w:p>
    <w:p w:rsidR="000A7F87" w:rsidRDefault="000A7F87">
      <w:pPr>
        <w:spacing w:after="120" w:line="240" w:lineRule="auto"/>
        <w:jc w:val="both"/>
        <w:rPr>
          <w:rFonts w:ascii="Arial Narrow" w:eastAsia="Arial Narrow" w:hAnsi="Arial Narrow" w:cs="Arial Narrow"/>
        </w:rPr>
      </w:pPr>
    </w:p>
    <w:p w:rsidR="000A7F87" w:rsidRDefault="0031038E">
      <w:pPr>
        <w:spacing w:after="120" w:line="240" w:lineRule="auto"/>
        <w:jc w:val="both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Tabuľka k čl. III ods. 9  o vývoji opravných položiek k pohľadávkam</w:t>
      </w:r>
    </w:p>
    <w:tbl>
      <w:tblPr>
        <w:tblW w:w="0" w:type="auto"/>
        <w:tblInd w:w="38" w:type="dxa"/>
        <w:tblCellMar>
          <w:left w:w="10" w:type="dxa"/>
          <w:right w:w="10" w:type="dxa"/>
        </w:tblCellMar>
        <w:tblLook w:val="0000"/>
      </w:tblPr>
      <w:tblGrid>
        <w:gridCol w:w="1625"/>
        <w:gridCol w:w="1593"/>
        <w:gridCol w:w="1520"/>
        <w:gridCol w:w="1346"/>
        <w:gridCol w:w="1527"/>
        <w:gridCol w:w="1639"/>
      </w:tblGrid>
      <w:tr w:rsidR="000A7F87">
        <w:trPr>
          <w:trHeight w:val="1"/>
        </w:trPr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Druh pohľadávok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Stav na začiatku bežného účtovného obdobia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Tvorba opravnej položky (zvýšenie)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Zníženie opravnej položky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Zúčtovanie  opravnej položky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Stav na konci bežného účtovného obdobia</w:t>
            </w:r>
          </w:p>
        </w:tc>
      </w:tr>
      <w:tr w:rsidR="000A7F87">
        <w:trPr>
          <w:trHeight w:val="1"/>
        </w:trPr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Pohľadávky z obchodného styku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31038E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31038E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</w:tr>
      <w:tr w:rsidR="000A7F87">
        <w:trPr>
          <w:trHeight w:val="499"/>
        </w:trPr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Ostatné pohľadávky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0A7F87">
        <w:trPr>
          <w:trHeight w:val="499"/>
        </w:trPr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Pohľadávky voči účastníkom združení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0A7F87">
        <w:trPr>
          <w:trHeight w:val="499"/>
        </w:trPr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Iné pohľadávky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0A7F87">
        <w:trPr>
          <w:trHeight w:val="499"/>
        </w:trPr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Pohľadávky spolu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31038E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31038E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</w:tr>
    </w:tbl>
    <w:p w:rsidR="000A7F87" w:rsidRDefault="000A7F87">
      <w:pPr>
        <w:spacing w:after="120" w:line="240" w:lineRule="auto"/>
        <w:jc w:val="both"/>
        <w:rPr>
          <w:rFonts w:ascii="Arial Narrow" w:eastAsia="Arial Narrow" w:hAnsi="Arial Narrow" w:cs="Arial Narrow"/>
          <w:b/>
        </w:rPr>
      </w:pPr>
    </w:p>
    <w:p w:rsidR="000A7F87" w:rsidRDefault="000A7F87">
      <w:pPr>
        <w:spacing w:after="120" w:line="240" w:lineRule="auto"/>
        <w:jc w:val="both"/>
        <w:rPr>
          <w:rFonts w:ascii="Arial Narrow" w:eastAsia="Arial Narrow" w:hAnsi="Arial Narrow" w:cs="Arial Narrow"/>
          <w:b/>
        </w:rPr>
      </w:pPr>
    </w:p>
    <w:p w:rsidR="000A7F87" w:rsidRDefault="0031038E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  <w:b/>
        </w:rPr>
        <w:t xml:space="preserve">Tabuľka k čl. III ods. 10  o pohľadávkach do lehoty splatnosti a po lehote splatnosti </w:t>
      </w:r>
    </w:p>
    <w:tbl>
      <w:tblPr>
        <w:tblW w:w="0" w:type="auto"/>
        <w:tblInd w:w="38" w:type="dxa"/>
        <w:tblCellMar>
          <w:left w:w="10" w:type="dxa"/>
          <w:right w:w="10" w:type="dxa"/>
        </w:tblCellMar>
        <w:tblLook w:val="0000"/>
      </w:tblPr>
      <w:tblGrid>
        <w:gridCol w:w="3110"/>
        <w:gridCol w:w="2766"/>
        <w:gridCol w:w="3374"/>
      </w:tblGrid>
      <w:tr w:rsidR="000A7F87">
        <w:trPr>
          <w:trHeight w:val="397"/>
        </w:trPr>
        <w:tc>
          <w:tcPr>
            <w:tcW w:w="432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822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12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Stav na konci</w:t>
            </w:r>
          </w:p>
        </w:tc>
      </w:tr>
      <w:tr w:rsidR="000A7F87">
        <w:trPr>
          <w:trHeight w:val="1"/>
        </w:trPr>
        <w:tc>
          <w:tcPr>
            <w:tcW w:w="432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12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bežného účtovného obdobia</w:t>
            </w:r>
          </w:p>
        </w:tc>
        <w:tc>
          <w:tcPr>
            <w:tcW w:w="4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12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bezprostredne predchádzajúceho účtovného obdobia</w:t>
            </w:r>
          </w:p>
        </w:tc>
      </w:tr>
      <w:tr w:rsidR="000A7F87">
        <w:trPr>
          <w:trHeight w:val="1"/>
        </w:trPr>
        <w:tc>
          <w:tcPr>
            <w:tcW w:w="4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120" w:line="240" w:lineRule="auto"/>
            </w:pPr>
            <w:r>
              <w:rPr>
                <w:rFonts w:ascii="Arial Narrow" w:eastAsia="Arial Narrow" w:hAnsi="Arial Narrow" w:cs="Arial Narrow"/>
              </w:rPr>
              <w:t>Pohľadávky do lehoty splatnosti</w:t>
            </w:r>
          </w:p>
        </w:tc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0A7F87">
            <w:pPr>
              <w:spacing w:after="12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4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0A7F87">
            <w:pPr>
              <w:spacing w:after="120" w:line="240" w:lineRule="auto"/>
              <w:rPr>
                <w:rFonts w:ascii="Calibri" w:eastAsia="Calibri" w:hAnsi="Calibri" w:cs="Calibri"/>
              </w:rPr>
            </w:pPr>
          </w:p>
        </w:tc>
      </w:tr>
      <w:tr w:rsidR="000A7F87">
        <w:trPr>
          <w:trHeight w:val="1"/>
        </w:trPr>
        <w:tc>
          <w:tcPr>
            <w:tcW w:w="4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120" w:line="240" w:lineRule="auto"/>
            </w:pPr>
            <w:r>
              <w:rPr>
                <w:rFonts w:ascii="Arial Narrow" w:eastAsia="Arial Narrow" w:hAnsi="Arial Narrow" w:cs="Arial Narrow"/>
              </w:rPr>
              <w:t>Pohľadávky po lehote splatnosti</w:t>
            </w:r>
          </w:p>
        </w:tc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12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  <w:tc>
          <w:tcPr>
            <w:tcW w:w="4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12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</w:tr>
      <w:tr w:rsidR="000A7F87">
        <w:trPr>
          <w:trHeight w:val="1"/>
        </w:trPr>
        <w:tc>
          <w:tcPr>
            <w:tcW w:w="4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12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Pohľadávky spolu</w:t>
            </w:r>
          </w:p>
        </w:tc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12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  <w:tc>
          <w:tcPr>
            <w:tcW w:w="4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12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</w:tr>
    </w:tbl>
    <w:p w:rsidR="000A7F87" w:rsidRDefault="000A7F87">
      <w:pPr>
        <w:spacing w:after="120" w:line="240" w:lineRule="auto"/>
        <w:jc w:val="both"/>
        <w:rPr>
          <w:rFonts w:ascii="Arial Narrow" w:eastAsia="Arial Narrow" w:hAnsi="Arial Narrow" w:cs="Arial Narrow"/>
        </w:rPr>
      </w:pPr>
    </w:p>
    <w:p w:rsidR="000A7F87" w:rsidRDefault="000A7F87">
      <w:pPr>
        <w:spacing w:after="120" w:line="240" w:lineRule="auto"/>
        <w:jc w:val="both"/>
        <w:rPr>
          <w:rFonts w:ascii="Arial Narrow" w:eastAsia="Arial Narrow" w:hAnsi="Arial Narrow" w:cs="Arial Narrow"/>
          <w:b/>
        </w:rPr>
      </w:pPr>
    </w:p>
    <w:p w:rsidR="000A7F87" w:rsidRDefault="000A7F87">
      <w:pPr>
        <w:spacing w:after="120" w:line="240" w:lineRule="auto"/>
        <w:jc w:val="both"/>
        <w:rPr>
          <w:rFonts w:ascii="Arial Narrow" w:eastAsia="Arial Narrow" w:hAnsi="Arial Narrow" w:cs="Arial Narrow"/>
          <w:b/>
        </w:rPr>
      </w:pPr>
    </w:p>
    <w:p w:rsidR="000A7F87" w:rsidRDefault="000A7F87">
      <w:pPr>
        <w:spacing w:after="120" w:line="240" w:lineRule="auto"/>
        <w:jc w:val="both"/>
        <w:rPr>
          <w:rFonts w:ascii="Arial Narrow" w:eastAsia="Arial Narrow" w:hAnsi="Arial Narrow" w:cs="Arial Narrow"/>
          <w:b/>
        </w:rPr>
      </w:pPr>
    </w:p>
    <w:p w:rsidR="000A7F87" w:rsidRDefault="000A7F87">
      <w:pPr>
        <w:spacing w:after="120" w:line="240" w:lineRule="auto"/>
        <w:jc w:val="both"/>
        <w:rPr>
          <w:rFonts w:ascii="Arial Narrow" w:eastAsia="Arial Narrow" w:hAnsi="Arial Narrow" w:cs="Arial Narrow"/>
          <w:b/>
        </w:rPr>
      </w:pPr>
    </w:p>
    <w:p w:rsidR="000A7F87" w:rsidRDefault="000A7F87">
      <w:pPr>
        <w:spacing w:after="120" w:line="240" w:lineRule="auto"/>
        <w:jc w:val="both"/>
        <w:rPr>
          <w:rFonts w:ascii="Arial Narrow" w:eastAsia="Arial Narrow" w:hAnsi="Arial Narrow" w:cs="Arial Narrow"/>
          <w:b/>
        </w:rPr>
      </w:pPr>
    </w:p>
    <w:p w:rsidR="000A7F87" w:rsidRDefault="000A7F87">
      <w:pPr>
        <w:spacing w:after="120" w:line="240" w:lineRule="auto"/>
        <w:jc w:val="both"/>
        <w:rPr>
          <w:rFonts w:ascii="Arial Narrow" w:eastAsia="Arial Narrow" w:hAnsi="Arial Narrow" w:cs="Arial Narrow"/>
          <w:b/>
        </w:rPr>
      </w:pPr>
    </w:p>
    <w:p w:rsidR="000A7F87" w:rsidRDefault="0031038E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  <w:b/>
        </w:rPr>
        <w:t>Tabuľka k čl. III ods. 12 o zmenách vlastných zdrojov krytia neobežného majetku a obežného majetku</w:t>
      </w:r>
      <w:r>
        <w:rPr>
          <w:rFonts w:ascii="Arial Narrow" w:eastAsia="Arial Narrow" w:hAnsi="Arial Narrow" w:cs="Arial Narrow"/>
        </w:rPr>
        <w:t xml:space="preserve">    </w:t>
      </w:r>
    </w:p>
    <w:tbl>
      <w:tblPr>
        <w:tblW w:w="0" w:type="auto"/>
        <w:tblInd w:w="38" w:type="dxa"/>
        <w:tblCellMar>
          <w:left w:w="10" w:type="dxa"/>
          <w:right w:w="10" w:type="dxa"/>
        </w:tblCellMar>
        <w:tblLook w:val="0000"/>
      </w:tblPr>
      <w:tblGrid>
        <w:gridCol w:w="1904"/>
        <w:gridCol w:w="1785"/>
        <w:gridCol w:w="1342"/>
        <w:gridCol w:w="1182"/>
        <w:gridCol w:w="1303"/>
        <w:gridCol w:w="1734"/>
      </w:tblGrid>
      <w:tr w:rsidR="000A7F87">
        <w:trPr>
          <w:trHeight w:val="1"/>
        </w:trPr>
        <w:tc>
          <w:tcPr>
            <w:tcW w:w="2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0A7F8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31038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Stav na začiatku bežného účtovného obdobia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31038E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Prírastky</w:t>
            </w:r>
          </w:p>
          <w:p w:rsidR="000A7F87" w:rsidRDefault="0031038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(+)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31038E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Úbytky</w:t>
            </w:r>
          </w:p>
          <w:p w:rsidR="000A7F87" w:rsidRDefault="0031038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(-)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31038E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Presuny</w:t>
            </w:r>
          </w:p>
          <w:p w:rsidR="000A7F87" w:rsidRDefault="0031038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(+, -)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31038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Stav na konci bežného účtovného obdobia</w:t>
            </w:r>
          </w:p>
        </w:tc>
      </w:tr>
      <w:tr w:rsidR="000A7F87">
        <w:trPr>
          <w:trHeight w:val="391"/>
        </w:trPr>
        <w:tc>
          <w:tcPr>
            <w:tcW w:w="14245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Imanie a fondy</w:t>
            </w:r>
          </w:p>
        </w:tc>
      </w:tr>
      <w:tr w:rsidR="000A7F87">
        <w:trPr>
          <w:trHeight w:val="391"/>
        </w:trPr>
        <w:tc>
          <w:tcPr>
            <w:tcW w:w="2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Základné imanie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0A7F87">
        <w:trPr>
          <w:trHeight w:val="1"/>
        </w:trPr>
        <w:tc>
          <w:tcPr>
            <w:tcW w:w="2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 xml:space="preserve">z toho: </w:t>
            </w:r>
          </w:p>
          <w:p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lastRenderedPageBreak/>
              <w:t>nadačné imanie v nadácii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0A7F87">
        <w:trPr>
          <w:trHeight w:val="391"/>
        </w:trPr>
        <w:tc>
          <w:tcPr>
            <w:tcW w:w="2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lastRenderedPageBreak/>
              <w:t>vklady zakladateľov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0A7F8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0A7F8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0A7F8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0A7F8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0A7F8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0A7F87">
        <w:trPr>
          <w:trHeight w:val="391"/>
        </w:trPr>
        <w:tc>
          <w:tcPr>
            <w:tcW w:w="2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prioritný majetok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0A7F8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0A7F8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0A7F8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0A7F8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0A7F8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0A7F87">
        <w:trPr>
          <w:trHeight w:val="1"/>
        </w:trPr>
        <w:tc>
          <w:tcPr>
            <w:tcW w:w="2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Fondy tvorené podľa osobitného predpisu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0A7F87">
        <w:trPr>
          <w:trHeight w:val="391"/>
        </w:trPr>
        <w:tc>
          <w:tcPr>
            <w:tcW w:w="2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Fond reprodukcie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0A7F87">
        <w:trPr>
          <w:trHeight w:val="1"/>
        </w:trPr>
        <w:tc>
          <w:tcPr>
            <w:tcW w:w="2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Oceňovacie rozdiely z precenenia majetku a záväzkov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0A7F87">
        <w:trPr>
          <w:trHeight w:val="1"/>
        </w:trPr>
        <w:tc>
          <w:tcPr>
            <w:tcW w:w="2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Oceňovacie rozdiely z precenenia kapitálových účastín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ind w:right="-1800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0A7F87">
        <w:trPr>
          <w:trHeight w:val="391"/>
        </w:trPr>
        <w:tc>
          <w:tcPr>
            <w:tcW w:w="14245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  <w:b/>
              </w:rPr>
              <w:t>Fondy zo zisku</w:t>
            </w:r>
          </w:p>
        </w:tc>
      </w:tr>
      <w:tr w:rsidR="000A7F87">
        <w:trPr>
          <w:trHeight w:val="391"/>
        </w:trPr>
        <w:tc>
          <w:tcPr>
            <w:tcW w:w="2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Rezervný fond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0A7F87">
        <w:trPr>
          <w:trHeight w:val="391"/>
        </w:trPr>
        <w:tc>
          <w:tcPr>
            <w:tcW w:w="2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Fondy tvorené zo zisku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0A7F87">
        <w:trPr>
          <w:trHeight w:val="391"/>
        </w:trPr>
        <w:tc>
          <w:tcPr>
            <w:tcW w:w="2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Ostatné fondy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0A7F87">
        <w:trPr>
          <w:trHeight w:val="1"/>
        </w:trPr>
        <w:tc>
          <w:tcPr>
            <w:tcW w:w="2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</w:pPr>
            <w:proofErr w:type="spellStart"/>
            <w:r>
              <w:rPr>
                <w:rFonts w:ascii="Arial Narrow" w:eastAsia="Arial Narrow" w:hAnsi="Arial Narrow" w:cs="Arial Narrow"/>
              </w:rPr>
              <w:t>Nevysporiadaný</w:t>
            </w:r>
            <w:proofErr w:type="spellEnd"/>
            <w:r>
              <w:rPr>
                <w:rFonts w:ascii="Arial Narrow" w:eastAsia="Arial Narrow" w:hAnsi="Arial Narrow" w:cs="Arial Narrow"/>
              </w:rPr>
              <w:t xml:space="preserve"> výsledok hospodárenia minulých rokov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0A7F87">
        <w:trPr>
          <w:trHeight w:val="1"/>
        </w:trPr>
        <w:tc>
          <w:tcPr>
            <w:tcW w:w="2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Výsledok hospodárenia za účtovné obdobie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575755" w:rsidP="00D23D46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-417,43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D23D46" w:rsidP="00DC5165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-</w:t>
            </w:r>
            <w:r w:rsidR="00575755">
              <w:rPr>
                <w:rFonts w:ascii="Calibri" w:eastAsia="Calibri" w:hAnsi="Calibri" w:cs="Calibri"/>
              </w:rPr>
              <w:t>285,94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 w:rsidP="00D23D46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716D17" w:rsidP="00575755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-</w:t>
            </w:r>
            <w:r w:rsidR="00575755">
              <w:rPr>
                <w:rFonts w:ascii="Calibri" w:eastAsia="Calibri" w:hAnsi="Calibri" w:cs="Calibri"/>
              </w:rPr>
              <w:t>703,37</w:t>
            </w:r>
          </w:p>
        </w:tc>
      </w:tr>
      <w:tr w:rsidR="000A7F87">
        <w:trPr>
          <w:trHeight w:val="376"/>
        </w:trPr>
        <w:tc>
          <w:tcPr>
            <w:tcW w:w="2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Spolu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716D17" w:rsidP="00DC5165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-</w:t>
            </w:r>
            <w:r w:rsidR="00DC5165">
              <w:rPr>
                <w:rFonts w:ascii="Calibri" w:eastAsia="Calibri" w:hAnsi="Calibri" w:cs="Calibri"/>
              </w:rPr>
              <w:t>-</w:t>
            </w:r>
            <w:r w:rsidR="00575755">
              <w:rPr>
                <w:rFonts w:ascii="Calibri" w:eastAsia="Calibri" w:hAnsi="Calibri" w:cs="Calibri"/>
              </w:rPr>
              <w:t>417,43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716D17" w:rsidP="00DC5165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-</w:t>
            </w:r>
            <w:r w:rsidR="00575755">
              <w:rPr>
                <w:rFonts w:ascii="Calibri" w:eastAsia="Calibri" w:hAnsi="Calibri" w:cs="Calibri"/>
              </w:rPr>
              <w:t>285,94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716D17" w:rsidP="00DC5165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-</w:t>
            </w:r>
            <w:r w:rsidR="00575755">
              <w:rPr>
                <w:rFonts w:ascii="Calibri" w:eastAsia="Calibri" w:hAnsi="Calibri" w:cs="Calibri"/>
              </w:rPr>
              <w:t>703,37</w:t>
            </w:r>
          </w:p>
          <w:p w:rsidR="00DC5165" w:rsidRDefault="00DC5165" w:rsidP="00DC5165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</w:tbl>
    <w:p w:rsidR="000A7F87" w:rsidRDefault="000A7F87">
      <w:pPr>
        <w:spacing w:after="120" w:line="240" w:lineRule="auto"/>
        <w:jc w:val="both"/>
        <w:rPr>
          <w:rFonts w:ascii="Arial Narrow" w:eastAsia="Arial Narrow" w:hAnsi="Arial Narrow" w:cs="Arial Narrow"/>
        </w:rPr>
      </w:pPr>
    </w:p>
    <w:p w:rsidR="000A7F87" w:rsidRDefault="000A7F87">
      <w:pPr>
        <w:spacing w:after="120" w:line="240" w:lineRule="auto"/>
        <w:jc w:val="both"/>
        <w:rPr>
          <w:rFonts w:ascii="Arial Narrow" w:eastAsia="Arial Narrow" w:hAnsi="Arial Narrow" w:cs="Arial Narrow"/>
          <w:b/>
        </w:rPr>
      </w:pPr>
    </w:p>
    <w:p w:rsidR="000A7F87" w:rsidRDefault="0031038E">
      <w:pPr>
        <w:spacing w:after="12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  <w:b/>
        </w:rPr>
        <w:t xml:space="preserve">Tabuľka k čl. III ods. 13 o rozdelení účtovného zisku alebo </w:t>
      </w:r>
      <w:proofErr w:type="spellStart"/>
      <w:r>
        <w:rPr>
          <w:rFonts w:ascii="Arial Narrow" w:eastAsia="Arial Narrow" w:hAnsi="Arial Narrow" w:cs="Arial Narrow"/>
          <w:b/>
        </w:rPr>
        <w:t>vysporiadaní</w:t>
      </w:r>
      <w:proofErr w:type="spellEnd"/>
      <w:r>
        <w:rPr>
          <w:rFonts w:ascii="Arial Narrow" w:eastAsia="Arial Narrow" w:hAnsi="Arial Narrow" w:cs="Arial Narrow"/>
          <w:b/>
        </w:rPr>
        <w:t xml:space="preserve"> účtovnej straty</w:t>
      </w:r>
    </w:p>
    <w:tbl>
      <w:tblPr>
        <w:tblW w:w="0" w:type="auto"/>
        <w:tblInd w:w="98" w:type="dxa"/>
        <w:tblCellMar>
          <w:left w:w="10" w:type="dxa"/>
          <w:right w:w="10" w:type="dxa"/>
        </w:tblCellMar>
        <w:tblLook w:val="0000"/>
      </w:tblPr>
      <w:tblGrid>
        <w:gridCol w:w="5162"/>
        <w:gridCol w:w="4028"/>
      </w:tblGrid>
      <w:tr w:rsidR="000A7F87">
        <w:trPr>
          <w:trHeight w:val="855"/>
        </w:trPr>
        <w:tc>
          <w:tcPr>
            <w:tcW w:w="6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Názov položky</w:t>
            </w:r>
          </w:p>
        </w:tc>
        <w:tc>
          <w:tcPr>
            <w:tcW w:w="4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 xml:space="preserve">Bežné obdobie      Bezprostredne predchádzajúce      </w:t>
            </w:r>
          </w:p>
        </w:tc>
      </w:tr>
      <w:tr w:rsidR="000A7F87">
        <w:trPr>
          <w:trHeight w:val="330"/>
        </w:trPr>
        <w:tc>
          <w:tcPr>
            <w:tcW w:w="6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  <w:b/>
                <w:color w:val="000000"/>
              </w:rPr>
              <w:t>Účtovný zisk</w:t>
            </w:r>
          </w:p>
        </w:tc>
        <w:tc>
          <w:tcPr>
            <w:tcW w:w="4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716D1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 xml:space="preserve">                        </w:t>
            </w:r>
            <w:r w:rsidR="0031038E">
              <w:rPr>
                <w:rFonts w:ascii="Calibri" w:eastAsia="Calibri" w:hAnsi="Calibri" w:cs="Calibri"/>
              </w:rPr>
              <w:t xml:space="preserve">        </w:t>
            </w:r>
          </w:p>
        </w:tc>
      </w:tr>
      <w:tr w:rsidR="000A7F87">
        <w:trPr>
          <w:trHeight w:val="330"/>
        </w:trPr>
        <w:tc>
          <w:tcPr>
            <w:tcW w:w="1145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  <w:b/>
                <w:color w:val="000000"/>
              </w:rPr>
              <w:t>Rozdelenie účtovného zisku</w:t>
            </w:r>
          </w:p>
        </w:tc>
      </w:tr>
      <w:tr w:rsidR="000A7F87">
        <w:trPr>
          <w:trHeight w:val="330"/>
        </w:trPr>
        <w:tc>
          <w:tcPr>
            <w:tcW w:w="6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  <w:color w:val="000000"/>
              </w:rPr>
              <w:t>Prídel do základného imania</w:t>
            </w:r>
          </w:p>
        </w:tc>
        <w:tc>
          <w:tcPr>
            <w:tcW w:w="4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0A7F87">
        <w:trPr>
          <w:trHeight w:val="330"/>
        </w:trPr>
        <w:tc>
          <w:tcPr>
            <w:tcW w:w="6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  <w:color w:val="000000"/>
              </w:rPr>
              <w:t>Prídel do f</w:t>
            </w:r>
            <w:r>
              <w:rPr>
                <w:rFonts w:ascii="Arial Narrow" w:eastAsia="Arial Narrow" w:hAnsi="Arial Narrow" w:cs="Arial Narrow"/>
              </w:rPr>
              <w:t>ondu tvoreného podľa osobitného predpisu</w:t>
            </w:r>
          </w:p>
        </w:tc>
        <w:tc>
          <w:tcPr>
            <w:tcW w:w="4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0A7F87">
        <w:trPr>
          <w:trHeight w:val="330"/>
        </w:trPr>
        <w:tc>
          <w:tcPr>
            <w:tcW w:w="6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  <w:color w:val="000000"/>
              </w:rPr>
              <w:t>Prídel do fondu reprodukcie</w:t>
            </w:r>
          </w:p>
        </w:tc>
        <w:tc>
          <w:tcPr>
            <w:tcW w:w="4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0A7F87">
        <w:trPr>
          <w:trHeight w:val="330"/>
        </w:trPr>
        <w:tc>
          <w:tcPr>
            <w:tcW w:w="6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  <w:color w:val="000000"/>
              </w:rPr>
              <w:t>Prídel do rezervného fondu</w:t>
            </w:r>
          </w:p>
        </w:tc>
        <w:tc>
          <w:tcPr>
            <w:tcW w:w="4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0A7F87">
        <w:trPr>
          <w:trHeight w:val="330"/>
        </w:trPr>
        <w:tc>
          <w:tcPr>
            <w:tcW w:w="6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  <w:color w:val="000000"/>
              </w:rPr>
              <w:t>Prídel do fondu tvoreného zo zisku</w:t>
            </w:r>
          </w:p>
        </w:tc>
        <w:tc>
          <w:tcPr>
            <w:tcW w:w="4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0A7F87">
        <w:trPr>
          <w:trHeight w:val="330"/>
        </w:trPr>
        <w:tc>
          <w:tcPr>
            <w:tcW w:w="6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  <w:color w:val="000000"/>
              </w:rPr>
              <w:t>Prídel do ostatných fondov</w:t>
            </w:r>
          </w:p>
        </w:tc>
        <w:tc>
          <w:tcPr>
            <w:tcW w:w="4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0A7F87">
        <w:trPr>
          <w:trHeight w:val="330"/>
        </w:trPr>
        <w:tc>
          <w:tcPr>
            <w:tcW w:w="6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  <w:color w:val="000000"/>
              </w:rPr>
              <w:t>Úhrada straty minulých období</w:t>
            </w:r>
          </w:p>
        </w:tc>
        <w:tc>
          <w:tcPr>
            <w:tcW w:w="4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0A7F87">
        <w:trPr>
          <w:trHeight w:val="330"/>
        </w:trPr>
        <w:tc>
          <w:tcPr>
            <w:tcW w:w="6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  <w:color w:val="000000"/>
              </w:rPr>
              <w:t xml:space="preserve">Prevod do sociálneho fondu </w:t>
            </w:r>
          </w:p>
        </w:tc>
        <w:tc>
          <w:tcPr>
            <w:tcW w:w="4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0A7F87">
        <w:trPr>
          <w:trHeight w:val="330"/>
        </w:trPr>
        <w:tc>
          <w:tcPr>
            <w:tcW w:w="6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  <w:color w:val="000000"/>
              </w:rPr>
              <w:t xml:space="preserve">Prevod  do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n</w:t>
            </w:r>
            <w:r>
              <w:rPr>
                <w:rFonts w:ascii="Arial Narrow" w:eastAsia="Arial Narrow" w:hAnsi="Arial Narrow" w:cs="Arial Narrow"/>
              </w:rPr>
              <w:t>evysporiadaného</w:t>
            </w:r>
            <w:proofErr w:type="spellEnd"/>
            <w:r>
              <w:rPr>
                <w:rFonts w:ascii="Arial Narrow" w:eastAsia="Arial Narrow" w:hAnsi="Arial Narrow" w:cs="Arial Narrow"/>
              </w:rPr>
              <w:t xml:space="preserve"> výsledku hospodárenia minulých rokov</w:t>
            </w:r>
          </w:p>
        </w:tc>
        <w:tc>
          <w:tcPr>
            <w:tcW w:w="4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716D1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 xml:space="preserve">0                        </w:t>
            </w:r>
            <w:proofErr w:type="spellStart"/>
            <w:r w:rsidR="00DC5165">
              <w:rPr>
                <w:rFonts w:ascii="Calibri" w:eastAsia="Calibri" w:hAnsi="Calibri" w:cs="Calibri"/>
              </w:rPr>
              <w:t>0</w:t>
            </w:r>
            <w:proofErr w:type="spellEnd"/>
          </w:p>
        </w:tc>
      </w:tr>
      <w:tr w:rsidR="000A7F87">
        <w:trPr>
          <w:trHeight w:val="330"/>
        </w:trPr>
        <w:tc>
          <w:tcPr>
            <w:tcW w:w="6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  <w:color w:val="000000"/>
              </w:rPr>
              <w:lastRenderedPageBreak/>
              <w:t xml:space="preserve">Iné </w:t>
            </w:r>
          </w:p>
        </w:tc>
        <w:tc>
          <w:tcPr>
            <w:tcW w:w="4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0A7F87">
        <w:trPr>
          <w:trHeight w:val="330"/>
        </w:trPr>
        <w:tc>
          <w:tcPr>
            <w:tcW w:w="6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  <w:b/>
                <w:color w:val="000000"/>
              </w:rPr>
              <w:t>Účtovná strata</w:t>
            </w:r>
          </w:p>
        </w:tc>
        <w:tc>
          <w:tcPr>
            <w:tcW w:w="4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575755" w:rsidP="0053524F">
            <w:pPr>
              <w:tabs>
                <w:tab w:val="left" w:pos="8378"/>
              </w:tabs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-285,94</w:t>
            </w:r>
            <w:r w:rsidR="00716D17">
              <w:rPr>
                <w:rFonts w:ascii="Calibri" w:eastAsia="Calibri" w:hAnsi="Calibri" w:cs="Calibri"/>
              </w:rPr>
              <w:t xml:space="preserve">              </w:t>
            </w:r>
            <w:r w:rsidR="0053524F">
              <w:rPr>
                <w:rFonts w:ascii="Calibri" w:eastAsia="Calibri" w:hAnsi="Calibri" w:cs="Calibri"/>
              </w:rPr>
              <w:t>-</w:t>
            </w:r>
            <w:r>
              <w:rPr>
                <w:rFonts w:ascii="Calibri" w:eastAsia="Calibri" w:hAnsi="Calibri" w:cs="Calibri"/>
              </w:rPr>
              <w:t>703,37</w:t>
            </w:r>
          </w:p>
        </w:tc>
      </w:tr>
      <w:tr w:rsidR="000A7F87">
        <w:trPr>
          <w:trHeight w:val="330"/>
        </w:trPr>
        <w:tc>
          <w:tcPr>
            <w:tcW w:w="1145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  <w:jc w:val="both"/>
            </w:pPr>
            <w:proofErr w:type="spellStart"/>
            <w:r>
              <w:rPr>
                <w:rFonts w:ascii="Arial Narrow" w:eastAsia="Arial Narrow" w:hAnsi="Arial Narrow" w:cs="Arial Narrow"/>
                <w:b/>
                <w:color w:val="000000"/>
              </w:rPr>
              <w:t>Vysporiadanie</w:t>
            </w:r>
            <w:proofErr w:type="spellEnd"/>
            <w:r>
              <w:rPr>
                <w:rFonts w:ascii="Arial Narrow" w:eastAsia="Arial Narrow" w:hAnsi="Arial Narrow" w:cs="Arial Narrow"/>
                <w:b/>
                <w:color w:val="000000"/>
              </w:rPr>
              <w:t xml:space="preserve"> účtovnej straty</w:t>
            </w:r>
          </w:p>
        </w:tc>
      </w:tr>
      <w:tr w:rsidR="000A7F87">
        <w:trPr>
          <w:trHeight w:val="330"/>
        </w:trPr>
        <w:tc>
          <w:tcPr>
            <w:tcW w:w="6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  <w:color w:val="000000"/>
              </w:rPr>
              <w:t>Zo základného imania</w:t>
            </w:r>
          </w:p>
        </w:tc>
        <w:tc>
          <w:tcPr>
            <w:tcW w:w="4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0A7F87">
        <w:trPr>
          <w:trHeight w:val="330"/>
        </w:trPr>
        <w:tc>
          <w:tcPr>
            <w:tcW w:w="6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  <w:color w:val="000000"/>
              </w:rPr>
              <w:t>Z rezervného fondu</w:t>
            </w:r>
          </w:p>
        </w:tc>
        <w:tc>
          <w:tcPr>
            <w:tcW w:w="4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0A7F87">
        <w:trPr>
          <w:trHeight w:val="330"/>
        </w:trPr>
        <w:tc>
          <w:tcPr>
            <w:tcW w:w="6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  <w:color w:val="000000"/>
              </w:rPr>
              <w:t>Z fondu tvoreného zo zisku</w:t>
            </w:r>
          </w:p>
        </w:tc>
        <w:tc>
          <w:tcPr>
            <w:tcW w:w="4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0A7F87">
        <w:trPr>
          <w:trHeight w:val="330"/>
        </w:trPr>
        <w:tc>
          <w:tcPr>
            <w:tcW w:w="6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  <w:color w:val="000000"/>
              </w:rPr>
              <w:t>Z ostatných fondov</w:t>
            </w:r>
          </w:p>
        </w:tc>
        <w:tc>
          <w:tcPr>
            <w:tcW w:w="4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0A7F87">
        <w:trPr>
          <w:trHeight w:val="330"/>
        </w:trPr>
        <w:tc>
          <w:tcPr>
            <w:tcW w:w="6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  <w:color w:val="000000"/>
              </w:rPr>
              <w:t>Z nerozdeleného zisku minulých rokov</w:t>
            </w:r>
          </w:p>
        </w:tc>
        <w:tc>
          <w:tcPr>
            <w:tcW w:w="4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 xml:space="preserve">                                                 </w:t>
            </w:r>
          </w:p>
        </w:tc>
      </w:tr>
      <w:tr w:rsidR="000A7F87">
        <w:trPr>
          <w:trHeight w:val="330"/>
        </w:trPr>
        <w:tc>
          <w:tcPr>
            <w:tcW w:w="6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  <w:color w:val="000000"/>
              </w:rPr>
              <w:t xml:space="preserve">Prevod do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n</w:t>
            </w:r>
            <w:r>
              <w:rPr>
                <w:rFonts w:ascii="Arial Narrow" w:eastAsia="Arial Narrow" w:hAnsi="Arial Narrow" w:cs="Arial Narrow"/>
              </w:rPr>
              <w:t>evysporiadaného</w:t>
            </w:r>
            <w:proofErr w:type="spellEnd"/>
            <w:r>
              <w:rPr>
                <w:rFonts w:ascii="Arial Narrow" w:eastAsia="Arial Narrow" w:hAnsi="Arial Narrow" w:cs="Arial Narrow"/>
              </w:rPr>
              <w:t xml:space="preserve"> výsledku hospodárenia minulých rokov</w:t>
            </w:r>
          </w:p>
        </w:tc>
        <w:tc>
          <w:tcPr>
            <w:tcW w:w="4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0A7F87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color w:val="000000"/>
              </w:rPr>
            </w:pPr>
          </w:p>
          <w:p w:rsidR="000A7F87" w:rsidRDefault="0053524F" w:rsidP="00575755">
            <w:pPr>
              <w:spacing w:after="0" w:line="240" w:lineRule="auto"/>
            </w:pPr>
            <w:r>
              <w:t>-</w:t>
            </w:r>
            <w:r w:rsidR="00575755">
              <w:t>285,94</w:t>
            </w:r>
            <w:r w:rsidR="00716D17">
              <w:t xml:space="preserve">                                </w:t>
            </w:r>
            <w:r>
              <w:t>-</w:t>
            </w:r>
            <w:r w:rsidR="00575755">
              <w:t>703,37</w:t>
            </w:r>
          </w:p>
        </w:tc>
      </w:tr>
      <w:tr w:rsidR="000A7F87">
        <w:trPr>
          <w:trHeight w:val="330"/>
        </w:trPr>
        <w:tc>
          <w:tcPr>
            <w:tcW w:w="6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  <w:color w:val="000000"/>
              </w:rPr>
              <w:t xml:space="preserve">Iné </w:t>
            </w:r>
          </w:p>
        </w:tc>
        <w:tc>
          <w:tcPr>
            <w:tcW w:w="4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</w:tbl>
    <w:p w:rsidR="000A7F87" w:rsidRDefault="000A7F87">
      <w:pPr>
        <w:spacing w:after="120" w:line="240" w:lineRule="auto"/>
        <w:jc w:val="both"/>
        <w:rPr>
          <w:rFonts w:ascii="Arial Narrow" w:eastAsia="Arial Narrow" w:hAnsi="Arial Narrow" w:cs="Arial Narrow"/>
          <w:b/>
        </w:rPr>
      </w:pPr>
    </w:p>
    <w:p w:rsidR="000A7F87" w:rsidRDefault="000A7F87">
      <w:pPr>
        <w:spacing w:after="120" w:line="240" w:lineRule="auto"/>
        <w:jc w:val="both"/>
        <w:rPr>
          <w:rFonts w:ascii="Arial Narrow" w:eastAsia="Arial Narrow" w:hAnsi="Arial Narrow" w:cs="Arial Narrow"/>
          <w:b/>
        </w:rPr>
      </w:pPr>
    </w:p>
    <w:p w:rsidR="000A7F87" w:rsidRDefault="000A7F87">
      <w:pPr>
        <w:spacing w:after="120" w:line="240" w:lineRule="auto"/>
        <w:jc w:val="both"/>
        <w:rPr>
          <w:rFonts w:ascii="Arial Narrow" w:eastAsia="Arial Narrow" w:hAnsi="Arial Narrow" w:cs="Arial Narrow"/>
          <w:b/>
        </w:rPr>
      </w:pPr>
    </w:p>
    <w:p w:rsidR="000A7F87" w:rsidRDefault="0031038E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  <w:b/>
        </w:rPr>
        <w:t>Tabuľka k čl. III ods. 14 písm. a) o  tvorbe a použití rezerv</w:t>
      </w:r>
    </w:p>
    <w:tbl>
      <w:tblPr>
        <w:tblW w:w="0" w:type="auto"/>
        <w:tblInd w:w="180" w:type="dxa"/>
        <w:tblCellMar>
          <w:left w:w="10" w:type="dxa"/>
          <w:right w:w="10" w:type="dxa"/>
        </w:tblCellMar>
        <w:tblLook w:val="0000"/>
      </w:tblPr>
      <w:tblGrid>
        <w:gridCol w:w="1868"/>
        <w:gridCol w:w="1689"/>
        <w:gridCol w:w="1236"/>
        <w:gridCol w:w="1243"/>
        <w:gridCol w:w="1383"/>
        <w:gridCol w:w="1689"/>
      </w:tblGrid>
      <w:tr w:rsidR="000A7F87">
        <w:trPr>
          <w:trHeight w:val="1"/>
        </w:trPr>
        <w:tc>
          <w:tcPr>
            <w:tcW w:w="2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Druh rezervy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Stav na začiatku bežného účtovného obdobia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Tvorba rezerv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Použitie rezerv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Zrušenie alebo zníženie rezerv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Stav na konci bežného účtovného obdobia</w:t>
            </w:r>
          </w:p>
        </w:tc>
      </w:tr>
      <w:tr w:rsidR="000A7F87">
        <w:trPr>
          <w:trHeight w:val="1"/>
        </w:trPr>
        <w:tc>
          <w:tcPr>
            <w:tcW w:w="2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Rezerva na nevyčerpané dovolenky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31038E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0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31038E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0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31038E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0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31038E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0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31038E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</w:tr>
      <w:tr w:rsidR="000A7F87">
        <w:trPr>
          <w:trHeight w:val="1"/>
        </w:trPr>
        <w:tc>
          <w:tcPr>
            <w:tcW w:w="2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Rezerva na účtovnú závierku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31038E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0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31038E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0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31038E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0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31038E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0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0A7F87">
        <w:trPr>
          <w:trHeight w:val="1"/>
        </w:trPr>
        <w:tc>
          <w:tcPr>
            <w:tcW w:w="2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Zákonné rezervy spolu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31038E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  <w:b/>
              </w:rPr>
              <w:t>0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31038E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  <w:b/>
              </w:rPr>
              <w:t>0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31038E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  <w:b/>
              </w:rPr>
              <w:t>0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31038E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  <w:b/>
              </w:rPr>
              <w:t>0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0A7F87">
        <w:trPr>
          <w:trHeight w:val="1"/>
        </w:trPr>
        <w:tc>
          <w:tcPr>
            <w:tcW w:w="2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Jednotlivé druhy krátkodobých ostatných rezerv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0A7F87">
        <w:trPr>
          <w:trHeight w:val="1"/>
        </w:trPr>
        <w:tc>
          <w:tcPr>
            <w:tcW w:w="2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Jednotlivé druhy dlhodobých ostatných rezerv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0A7F87">
        <w:trPr>
          <w:trHeight w:val="1"/>
        </w:trPr>
        <w:tc>
          <w:tcPr>
            <w:tcW w:w="2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Ostatné rezervy spolu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0A7F87">
        <w:trPr>
          <w:trHeight w:val="489"/>
        </w:trPr>
        <w:tc>
          <w:tcPr>
            <w:tcW w:w="2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Rezervy spolu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31038E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31038E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  <w:b/>
              </w:rPr>
              <w:t>0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31038E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  <w:b/>
              </w:rPr>
              <w:t>0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31038E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  <w:b/>
              </w:rPr>
              <w:t>0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31038E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</w:tr>
    </w:tbl>
    <w:p w:rsidR="000A7F87" w:rsidRDefault="000A7F87">
      <w:pPr>
        <w:spacing w:after="120" w:line="240" w:lineRule="auto"/>
        <w:jc w:val="both"/>
        <w:rPr>
          <w:rFonts w:ascii="Arial Narrow" w:eastAsia="Arial Narrow" w:hAnsi="Arial Narrow" w:cs="Arial Narrow"/>
        </w:rPr>
      </w:pPr>
    </w:p>
    <w:p w:rsidR="000A7F87" w:rsidRDefault="0031038E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  <w:b/>
        </w:rPr>
        <w:t>Tabuľka k čl. III ods. 14 písm. c) a d) o záväzkoch</w:t>
      </w:r>
    </w:p>
    <w:tbl>
      <w:tblPr>
        <w:tblW w:w="0" w:type="auto"/>
        <w:tblInd w:w="180" w:type="dxa"/>
        <w:tblCellMar>
          <w:left w:w="10" w:type="dxa"/>
          <w:right w:w="10" w:type="dxa"/>
        </w:tblCellMar>
        <w:tblLook w:val="0000"/>
      </w:tblPr>
      <w:tblGrid>
        <w:gridCol w:w="3680"/>
        <w:gridCol w:w="2460"/>
        <w:gridCol w:w="2968"/>
      </w:tblGrid>
      <w:tr w:rsidR="000A7F87">
        <w:trPr>
          <w:trHeight w:val="397"/>
        </w:trPr>
        <w:tc>
          <w:tcPr>
            <w:tcW w:w="489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Druh záväzkov</w:t>
            </w:r>
          </w:p>
        </w:tc>
        <w:tc>
          <w:tcPr>
            <w:tcW w:w="666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Stav na konci</w:t>
            </w:r>
          </w:p>
        </w:tc>
      </w:tr>
      <w:tr w:rsidR="000A7F87">
        <w:trPr>
          <w:trHeight w:val="1"/>
        </w:trPr>
        <w:tc>
          <w:tcPr>
            <w:tcW w:w="489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bežného účtovného obdobia</w:t>
            </w:r>
          </w:p>
        </w:tc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bezprostredne predchádzajúceho účtovného obdobia</w:t>
            </w:r>
          </w:p>
        </w:tc>
      </w:tr>
      <w:tr w:rsidR="000A7F87">
        <w:trPr>
          <w:trHeight w:val="391"/>
        </w:trPr>
        <w:tc>
          <w:tcPr>
            <w:tcW w:w="4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Záväzky po lehote splatnosti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0</w:t>
            </w:r>
          </w:p>
        </w:tc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0</w:t>
            </w:r>
          </w:p>
        </w:tc>
      </w:tr>
      <w:tr w:rsidR="000A7F87">
        <w:trPr>
          <w:trHeight w:val="391"/>
        </w:trPr>
        <w:tc>
          <w:tcPr>
            <w:tcW w:w="4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Záväzky v lehote splatnosti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575755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9</w:t>
            </w:r>
            <w:r w:rsidR="0053524F">
              <w:rPr>
                <w:rFonts w:ascii="Calibri" w:eastAsia="Calibri" w:hAnsi="Calibri" w:cs="Calibri"/>
              </w:rPr>
              <w:t>60</w:t>
            </w:r>
          </w:p>
        </w:tc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575755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560</w:t>
            </w:r>
          </w:p>
        </w:tc>
      </w:tr>
      <w:tr w:rsidR="000A7F87">
        <w:trPr>
          <w:trHeight w:val="447"/>
        </w:trPr>
        <w:tc>
          <w:tcPr>
            <w:tcW w:w="4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Krátkodobé záväzky spolu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575755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9</w:t>
            </w:r>
            <w:r w:rsidR="0053524F">
              <w:rPr>
                <w:rFonts w:ascii="Calibri" w:eastAsia="Calibri" w:hAnsi="Calibri" w:cs="Calibri"/>
              </w:rPr>
              <w:t>60</w:t>
            </w:r>
          </w:p>
        </w:tc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575755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560</w:t>
            </w:r>
          </w:p>
        </w:tc>
      </w:tr>
      <w:tr w:rsidR="000A7F87">
        <w:trPr>
          <w:trHeight w:val="1"/>
        </w:trPr>
        <w:tc>
          <w:tcPr>
            <w:tcW w:w="4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 xml:space="preserve">Záväzky so zostatkovou dobou splatnosti </w:t>
            </w:r>
            <w:r>
              <w:rPr>
                <w:rFonts w:ascii="Arial Narrow" w:eastAsia="Arial Narrow" w:hAnsi="Arial Narrow" w:cs="Arial Narrow"/>
              </w:rPr>
              <w:lastRenderedPageBreak/>
              <w:t xml:space="preserve">od  jedného  do piatich  rokov  vrátane 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lastRenderedPageBreak/>
              <w:t>0</w:t>
            </w:r>
          </w:p>
        </w:tc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0</w:t>
            </w:r>
          </w:p>
        </w:tc>
      </w:tr>
      <w:tr w:rsidR="000A7F87">
        <w:trPr>
          <w:trHeight w:val="478"/>
        </w:trPr>
        <w:tc>
          <w:tcPr>
            <w:tcW w:w="4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lastRenderedPageBreak/>
              <w:t xml:space="preserve">Záväzky so zostatkovou dobou splatnosti viac ako päť rokov 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0</w:t>
            </w:r>
          </w:p>
        </w:tc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0</w:t>
            </w:r>
          </w:p>
        </w:tc>
      </w:tr>
      <w:tr w:rsidR="000A7F87">
        <w:trPr>
          <w:trHeight w:val="409"/>
        </w:trPr>
        <w:tc>
          <w:tcPr>
            <w:tcW w:w="4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Dlhodobé záväzky spolu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0</w:t>
            </w:r>
          </w:p>
        </w:tc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0</w:t>
            </w:r>
          </w:p>
        </w:tc>
      </w:tr>
      <w:tr w:rsidR="000A7F87">
        <w:trPr>
          <w:trHeight w:val="409"/>
        </w:trPr>
        <w:tc>
          <w:tcPr>
            <w:tcW w:w="4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Krátkodobé a dlhodobé záväzky spolu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0</w:t>
            </w:r>
          </w:p>
        </w:tc>
      </w:tr>
    </w:tbl>
    <w:p w:rsidR="000A7F87" w:rsidRDefault="000A7F87">
      <w:pPr>
        <w:spacing w:after="120" w:line="240" w:lineRule="auto"/>
        <w:jc w:val="both"/>
        <w:rPr>
          <w:rFonts w:ascii="Arial Narrow" w:eastAsia="Arial Narrow" w:hAnsi="Arial Narrow" w:cs="Arial Narrow"/>
          <w:b/>
        </w:rPr>
      </w:pPr>
    </w:p>
    <w:p w:rsidR="000A7F87" w:rsidRDefault="0031038E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  <w:b/>
        </w:rPr>
        <w:t>Tabuľka k čl. III ods. 14 písm. e) o vývoji sociálneho fondu</w:t>
      </w:r>
    </w:p>
    <w:tbl>
      <w:tblPr>
        <w:tblW w:w="0" w:type="auto"/>
        <w:tblInd w:w="180" w:type="dxa"/>
        <w:tblCellMar>
          <w:left w:w="10" w:type="dxa"/>
          <w:right w:w="10" w:type="dxa"/>
        </w:tblCellMar>
        <w:tblLook w:val="0000"/>
      </w:tblPr>
      <w:tblGrid>
        <w:gridCol w:w="3406"/>
        <w:gridCol w:w="2792"/>
        <w:gridCol w:w="2910"/>
      </w:tblGrid>
      <w:tr w:rsidR="000A7F87">
        <w:trPr>
          <w:trHeight w:val="1"/>
        </w:trPr>
        <w:tc>
          <w:tcPr>
            <w:tcW w:w="4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Sociálny fond</w:t>
            </w:r>
          </w:p>
        </w:tc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Bežné  účtovné obdobie</w:t>
            </w:r>
          </w:p>
        </w:tc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účtovné  obdobie</w:t>
            </w:r>
          </w:p>
        </w:tc>
      </w:tr>
      <w:tr w:rsidR="000A7F87">
        <w:trPr>
          <w:trHeight w:val="610"/>
        </w:trPr>
        <w:tc>
          <w:tcPr>
            <w:tcW w:w="4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Stav k prvému dňu účtovného obdobia</w:t>
            </w:r>
          </w:p>
        </w:tc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0</w:t>
            </w:r>
          </w:p>
        </w:tc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</w:tr>
      <w:tr w:rsidR="000A7F87">
        <w:trPr>
          <w:trHeight w:val="375"/>
        </w:trPr>
        <w:tc>
          <w:tcPr>
            <w:tcW w:w="4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Tvorba SF</w:t>
            </w:r>
          </w:p>
        </w:tc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0A7F8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</w:tr>
      <w:tr w:rsidR="000A7F87">
        <w:trPr>
          <w:trHeight w:val="279"/>
        </w:trPr>
        <w:tc>
          <w:tcPr>
            <w:tcW w:w="4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Tvorba zo zisku</w:t>
            </w:r>
          </w:p>
        </w:tc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0</w:t>
            </w:r>
          </w:p>
        </w:tc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0</w:t>
            </w:r>
          </w:p>
        </w:tc>
      </w:tr>
      <w:tr w:rsidR="000A7F87">
        <w:trPr>
          <w:trHeight w:val="411"/>
        </w:trPr>
        <w:tc>
          <w:tcPr>
            <w:tcW w:w="4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Čerpanie</w:t>
            </w:r>
          </w:p>
        </w:tc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0</w:t>
            </w:r>
          </w:p>
        </w:tc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0A7F8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0A7F87">
        <w:trPr>
          <w:trHeight w:val="557"/>
        </w:trPr>
        <w:tc>
          <w:tcPr>
            <w:tcW w:w="4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Stav k poslednému dňu účtovného obdobia</w:t>
            </w:r>
          </w:p>
        </w:tc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0</w:t>
            </w:r>
          </w:p>
        </w:tc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0</w:t>
            </w:r>
          </w:p>
        </w:tc>
      </w:tr>
    </w:tbl>
    <w:p w:rsidR="000A7F87" w:rsidRDefault="000A7F87">
      <w:pPr>
        <w:spacing w:after="0" w:line="240" w:lineRule="auto"/>
        <w:jc w:val="both"/>
        <w:rPr>
          <w:rFonts w:ascii="Arial Narrow" w:eastAsia="Arial Narrow" w:hAnsi="Arial Narrow" w:cs="Arial Narrow"/>
        </w:rPr>
      </w:pPr>
    </w:p>
    <w:p w:rsidR="000A7F87" w:rsidRDefault="000A7F87">
      <w:pPr>
        <w:spacing w:after="120" w:line="240" w:lineRule="auto"/>
        <w:jc w:val="both"/>
        <w:rPr>
          <w:rFonts w:ascii="Arial Narrow" w:eastAsia="Arial Narrow" w:hAnsi="Arial Narrow" w:cs="Arial Narrow"/>
          <w:b/>
        </w:rPr>
      </w:pPr>
    </w:p>
    <w:p w:rsidR="000A7F87" w:rsidRDefault="0031038E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  <w:b/>
        </w:rPr>
        <w:t>Tabuľka k čl. III ods. 14 písm. f) o bankových úveroch, pôžičkách a návratných finančných výpomociach</w:t>
      </w:r>
    </w:p>
    <w:tbl>
      <w:tblPr>
        <w:tblW w:w="0" w:type="auto"/>
        <w:tblInd w:w="98" w:type="dxa"/>
        <w:tblCellMar>
          <w:left w:w="10" w:type="dxa"/>
          <w:right w:w="10" w:type="dxa"/>
        </w:tblCellMar>
        <w:tblLook w:val="0000"/>
      </w:tblPr>
      <w:tblGrid>
        <w:gridCol w:w="1302"/>
        <w:gridCol w:w="756"/>
        <w:gridCol w:w="926"/>
        <w:gridCol w:w="1278"/>
        <w:gridCol w:w="1507"/>
        <w:gridCol w:w="1396"/>
        <w:gridCol w:w="2025"/>
      </w:tblGrid>
      <w:tr w:rsidR="000A7F87">
        <w:trPr>
          <w:trHeight w:val="1"/>
        </w:trPr>
        <w:tc>
          <w:tcPr>
            <w:tcW w:w="2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Druh cudzieho zdroja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Mena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Výška úroku v %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Splatnosť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Forma zabezpečenia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Suma istiny na konci bežného účtovného obdobia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Suma istiny na konci bezprostredne predchádzajúceho účtovného obdobia</w:t>
            </w:r>
          </w:p>
        </w:tc>
      </w:tr>
      <w:tr w:rsidR="000A7F87">
        <w:trPr>
          <w:trHeight w:val="1"/>
        </w:trPr>
        <w:tc>
          <w:tcPr>
            <w:tcW w:w="2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Krátkodobý bankový úver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0A7F8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0A7F8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0A7F8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0A7F8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0A7F8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0A7F8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0A7F87">
        <w:trPr>
          <w:trHeight w:val="391"/>
        </w:trPr>
        <w:tc>
          <w:tcPr>
            <w:tcW w:w="2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Pôžička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0A7F8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0A7F8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0A7F8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0A7F8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0A7F8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0A7F8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0A7F87">
        <w:trPr>
          <w:trHeight w:val="1"/>
        </w:trPr>
        <w:tc>
          <w:tcPr>
            <w:tcW w:w="2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Návratná finančná výpomoc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Eur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31.12.20</w:t>
            </w:r>
            <w:r w:rsidR="00575755">
              <w:rPr>
                <w:rFonts w:ascii="Calibri" w:eastAsia="Calibri" w:hAnsi="Calibri" w:cs="Calibri"/>
              </w:rPr>
              <w:t>20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-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575755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9</w:t>
            </w:r>
            <w:r w:rsidR="00DC5165">
              <w:rPr>
                <w:rFonts w:ascii="Calibri" w:eastAsia="Calibri" w:hAnsi="Calibri" w:cs="Calibri"/>
              </w:rPr>
              <w:t>60</w:t>
            </w:r>
          </w:p>
          <w:p w:rsidR="000A7F87" w:rsidRDefault="000A7F8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575755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560</w:t>
            </w:r>
          </w:p>
        </w:tc>
      </w:tr>
      <w:tr w:rsidR="000A7F87">
        <w:trPr>
          <w:trHeight w:val="1"/>
        </w:trPr>
        <w:tc>
          <w:tcPr>
            <w:tcW w:w="2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Dlhodobý bankový úver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0A7F8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0A7F8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0A7F8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0A7F8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0A7F8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0A7F8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0A7F87">
        <w:trPr>
          <w:trHeight w:val="375"/>
        </w:trPr>
        <w:tc>
          <w:tcPr>
            <w:tcW w:w="2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0A7F8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0A7F8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0A7F8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0A7F8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575755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9</w:t>
            </w:r>
            <w:r w:rsidR="00DC5165">
              <w:rPr>
                <w:rFonts w:ascii="Calibri" w:eastAsia="Calibri" w:hAnsi="Calibri" w:cs="Calibri"/>
              </w:rPr>
              <w:t>60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575755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560</w:t>
            </w:r>
          </w:p>
        </w:tc>
      </w:tr>
    </w:tbl>
    <w:p w:rsidR="000A7F87" w:rsidRDefault="000A7F87">
      <w:pPr>
        <w:spacing w:after="120" w:line="240" w:lineRule="auto"/>
        <w:jc w:val="both"/>
        <w:rPr>
          <w:rFonts w:ascii="Arial Narrow" w:eastAsia="Arial Narrow" w:hAnsi="Arial Narrow" w:cs="Arial Narrow"/>
          <w:b/>
        </w:rPr>
      </w:pPr>
    </w:p>
    <w:p w:rsidR="000A7F87" w:rsidRDefault="000A7F87">
      <w:pPr>
        <w:spacing w:after="120" w:line="240" w:lineRule="auto"/>
        <w:jc w:val="both"/>
        <w:rPr>
          <w:rFonts w:ascii="Arial Narrow" w:eastAsia="Arial Narrow" w:hAnsi="Arial Narrow" w:cs="Arial Narrow"/>
          <w:b/>
        </w:rPr>
      </w:pPr>
    </w:p>
    <w:p w:rsidR="000A7F87" w:rsidRDefault="000A7F87">
      <w:pPr>
        <w:spacing w:after="120" w:line="240" w:lineRule="auto"/>
        <w:jc w:val="both"/>
        <w:rPr>
          <w:rFonts w:ascii="Arial Narrow" w:eastAsia="Arial Narrow" w:hAnsi="Arial Narrow" w:cs="Arial Narrow"/>
          <w:b/>
        </w:rPr>
      </w:pPr>
    </w:p>
    <w:p w:rsidR="000A7F87" w:rsidRDefault="000A7F87">
      <w:pPr>
        <w:spacing w:after="120" w:line="240" w:lineRule="auto"/>
        <w:jc w:val="both"/>
        <w:rPr>
          <w:rFonts w:ascii="Arial Narrow" w:eastAsia="Arial Narrow" w:hAnsi="Arial Narrow" w:cs="Arial Narrow"/>
          <w:b/>
        </w:rPr>
      </w:pPr>
    </w:p>
    <w:p w:rsidR="000A7F87" w:rsidRDefault="000A7F87">
      <w:pPr>
        <w:spacing w:after="120" w:line="240" w:lineRule="auto"/>
        <w:jc w:val="both"/>
        <w:rPr>
          <w:rFonts w:ascii="Arial Narrow" w:eastAsia="Arial Narrow" w:hAnsi="Arial Narrow" w:cs="Arial Narrow"/>
          <w:b/>
        </w:rPr>
      </w:pPr>
    </w:p>
    <w:p w:rsidR="000A7F87" w:rsidRDefault="000A7F87">
      <w:pPr>
        <w:spacing w:after="120" w:line="240" w:lineRule="auto"/>
        <w:jc w:val="both"/>
        <w:rPr>
          <w:rFonts w:ascii="Arial Narrow" w:eastAsia="Arial Narrow" w:hAnsi="Arial Narrow" w:cs="Arial Narrow"/>
          <w:b/>
        </w:rPr>
      </w:pPr>
    </w:p>
    <w:p w:rsidR="000A7F87" w:rsidRDefault="0031038E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  <w:b/>
        </w:rPr>
        <w:t>Tabuľka k čl. III ods. 15 o významných položkách výnosov budúcich období</w:t>
      </w:r>
    </w:p>
    <w:tbl>
      <w:tblPr>
        <w:tblW w:w="0" w:type="auto"/>
        <w:tblInd w:w="38" w:type="dxa"/>
        <w:tblCellMar>
          <w:left w:w="10" w:type="dxa"/>
          <w:right w:w="10" w:type="dxa"/>
        </w:tblCellMar>
        <w:tblLook w:val="0000"/>
      </w:tblPr>
      <w:tblGrid>
        <w:gridCol w:w="2065"/>
        <w:gridCol w:w="2494"/>
        <w:gridCol w:w="1412"/>
        <w:gridCol w:w="1357"/>
        <w:gridCol w:w="1922"/>
      </w:tblGrid>
      <w:tr w:rsidR="000A7F87">
        <w:trPr>
          <w:trHeight w:val="1"/>
        </w:trPr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12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Položky výnosov budúcich období z dôvodu</w:t>
            </w:r>
          </w:p>
        </w:tc>
        <w:tc>
          <w:tcPr>
            <w:tcW w:w="3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12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Stav na konci bezprostredne predchádzajúceho účtovného obdobia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12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Prírastky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12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Úbytky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12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Stav na konci bežného účtovného obdobia</w:t>
            </w:r>
          </w:p>
        </w:tc>
      </w:tr>
      <w:tr w:rsidR="000A7F87">
        <w:trPr>
          <w:trHeight w:val="1"/>
        </w:trPr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31038E">
            <w:pPr>
              <w:spacing w:after="120" w:line="240" w:lineRule="auto"/>
            </w:pPr>
            <w:r>
              <w:rPr>
                <w:rFonts w:ascii="Arial Narrow" w:eastAsia="Arial Narrow" w:hAnsi="Arial Narrow" w:cs="Arial Narrow"/>
              </w:rPr>
              <w:lastRenderedPageBreak/>
              <w:t>bezodplatne nadobudnutého dlhodobého majetku</w:t>
            </w:r>
          </w:p>
        </w:tc>
        <w:tc>
          <w:tcPr>
            <w:tcW w:w="3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0A7F87">
        <w:trPr>
          <w:trHeight w:val="1"/>
        </w:trPr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31038E">
            <w:pPr>
              <w:spacing w:after="120" w:line="240" w:lineRule="auto"/>
            </w:pPr>
            <w:r>
              <w:rPr>
                <w:rFonts w:ascii="Arial Narrow" w:eastAsia="Arial Narrow" w:hAnsi="Arial Narrow" w:cs="Arial Narrow"/>
              </w:rPr>
              <w:t>dlhodobého majetku obstaraného z dotácie</w:t>
            </w:r>
          </w:p>
        </w:tc>
        <w:tc>
          <w:tcPr>
            <w:tcW w:w="3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0A7F87">
        <w:trPr>
          <w:trHeight w:val="1"/>
        </w:trPr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31038E">
            <w:pPr>
              <w:spacing w:after="120" w:line="240" w:lineRule="auto"/>
            </w:pPr>
            <w:r>
              <w:rPr>
                <w:rFonts w:ascii="Arial Narrow" w:eastAsia="Arial Narrow" w:hAnsi="Arial Narrow" w:cs="Arial Narrow"/>
              </w:rPr>
              <w:t xml:space="preserve">dlhodobého majetku  obstaraného z finančného daru </w:t>
            </w:r>
          </w:p>
        </w:tc>
        <w:tc>
          <w:tcPr>
            <w:tcW w:w="3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0A7F87">
        <w:trPr>
          <w:trHeight w:val="1"/>
        </w:trPr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120" w:line="240" w:lineRule="auto"/>
            </w:pPr>
            <w:r>
              <w:rPr>
                <w:rFonts w:ascii="Arial Narrow" w:eastAsia="Arial Narrow" w:hAnsi="Arial Narrow" w:cs="Arial Narrow"/>
              </w:rPr>
              <w:t>dotácie zo štátneho rozpočtu alebo  z prostriedkov Európskej únie</w:t>
            </w:r>
          </w:p>
        </w:tc>
        <w:tc>
          <w:tcPr>
            <w:tcW w:w="3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0A7F87">
        <w:trPr>
          <w:trHeight w:val="1"/>
        </w:trPr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120" w:line="240" w:lineRule="auto"/>
            </w:pPr>
            <w:r>
              <w:rPr>
                <w:rFonts w:ascii="Arial Narrow" w:eastAsia="Arial Narrow" w:hAnsi="Arial Narrow" w:cs="Arial Narrow"/>
              </w:rPr>
              <w:t>dotácie z rozpočtu obce alebo z rozpočtu vyššieho územného celku</w:t>
            </w:r>
          </w:p>
        </w:tc>
        <w:tc>
          <w:tcPr>
            <w:tcW w:w="3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0A7F87">
        <w:trPr>
          <w:trHeight w:val="1"/>
        </w:trPr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31038E">
            <w:pPr>
              <w:spacing w:after="12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grantu</w:t>
            </w:r>
          </w:p>
        </w:tc>
        <w:tc>
          <w:tcPr>
            <w:tcW w:w="3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0A7F87">
        <w:trPr>
          <w:trHeight w:val="1"/>
        </w:trPr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31038E">
            <w:pPr>
              <w:spacing w:after="12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podielu zaplatenej dane</w:t>
            </w:r>
          </w:p>
        </w:tc>
        <w:tc>
          <w:tcPr>
            <w:tcW w:w="3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0A7F87">
        <w:trPr>
          <w:trHeight w:val="1"/>
        </w:trPr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31038E">
            <w:pPr>
              <w:spacing w:after="120" w:line="240" w:lineRule="auto"/>
            </w:pPr>
            <w:r>
              <w:rPr>
                <w:rFonts w:ascii="Arial Narrow" w:eastAsia="Arial Narrow" w:hAnsi="Arial Narrow" w:cs="Arial Narrow"/>
              </w:rPr>
              <w:t>dlhodobého  majetku  obstaraného z podielu zaplatenej dane</w:t>
            </w:r>
          </w:p>
        </w:tc>
        <w:tc>
          <w:tcPr>
            <w:tcW w:w="3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</w:tbl>
    <w:p w:rsidR="000A7F87" w:rsidRDefault="000A7F87">
      <w:pPr>
        <w:spacing w:after="120" w:line="240" w:lineRule="auto"/>
        <w:jc w:val="both"/>
        <w:rPr>
          <w:rFonts w:ascii="Arial Narrow" w:eastAsia="Arial Narrow" w:hAnsi="Arial Narrow" w:cs="Arial Narrow"/>
        </w:rPr>
      </w:pPr>
    </w:p>
    <w:p w:rsidR="000A7F87" w:rsidRDefault="0031038E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  <w:b/>
        </w:rPr>
        <w:t>Tabuľka k čl. III ods. 16 o majetku prenajatom formou finančného prenájmu</w:t>
      </w:r>
    </w:p>
    <w:tbl>
      <w:tblPr>
        <w:tblW w:w="0" w:type="auto"/>
        <w:tblInd w:w="38" w:type="dxa"/>
        <w:tblCellMar>
          <w:left w:w="10" w:type="dxa"/>
          <w:right w:w="10" w:type="dxa"/>
        </w:tblCellMar>
        <w:tblLook w:val="0000"/>
      </w:tblPr>
      <w:tblGrid>
        <w:gridCol w:w="1963"/>
        <w:gridCol w:w="2323"/>
        <w:gridCol w:w="1314"/>
        <w:gridCol w:w="1676"/>
        <w:gridCol w:w="1974"/>
      </w:tblGrid>
      <w:tr w:rsidR="000A7F87">
        <w:trPr>
          <w:trHeight w:val="1"/>
        </w:trPr>
        <w:tc>
          <w:tcPr>
            <w:tcW w:w="30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12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Záväzok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12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Stav na konci bezprostredne predchádzajúceho účtovného obdobia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12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Istina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12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Finančný náklad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12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Stav na konci bežného účtovného obdobia</w:t>
            </w:r>
          </w:p>
        </w:tc>
      </w:tr>
      <w:tr w:rsidR="000A7F87">
        <w:trPr>
          <w:trHeight w:val="1"/>
        </w:trPr>
        <w:tc>
          <w:tcPr>
            <w:tcW w:w="30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31038E">
            <w:pPr>
              <w:spacing w:after="12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Celková suma dohodnutých platieb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0A7F87">
        <w:trPr>
          <w:trHeight w:val="1"/>
        </w:trPr>
        <w:tc>
          <w:tcPr>
            <w:tcW w:w="30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120" w:line="240" w:lineRule="auto"/>
            </w:pPr>
            <w:r>
              <w:rPr>
                <w:rFonts w:ascii="Arial Narrow" w:eastAsia="Arial Narrow" w:hAnsi="Arial Narrow" w:cs="Arial Narrow"/>
              </w:rPr>
              <w:t>do jedného roka vrátane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0A7F87">
            <w:pPr>
              <w:spacing w:after="12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0A7F87">
            <w:pPr>
              <w:spacing w:after="12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0A7F87">
            <w:pPr>
              <w:spacing w:after="12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0A7F87">
            <w:pPr>
              <w:spacing w:after="120" w:line="240" w:lineRule="auto"/>
              <w:rPr>
                <w:rFonts w:ascii="Calibri" w:eastAsia="Calibri" w:hAnsi="Calibri" w:cs="Calibri"/>
              </w:rPr>
            </w:pPr>
          </w:p>
        </w:tc>
      </w:tr>
      <w:tr w:rsidR="000A7F87">
        <w:trPr>
          <w:trHeight w:val="1"/>
        </w:trPr>
        <w:tc>
          <w:tcPr>
            <w:tcW w:w="30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120" w:line="240" w:lineRule="auto"/>
            </w:pPr>
            <w:r>
              <w:rPr>
                <w:rFonts w:ascii="Arial Narrow" w:eastAsia="Arial Narrow" w:hAnsi="Arial Narrow" w:cs="Arial Narrow"/>
              </w:rPr>
              <w:t>od jedného roka do piatich  rokov vrátane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0A7F87">
            <w:pPr>
              <w:spacing w:after="12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0A7F87">
            <w:pPr>
              <w:spacing w:after="12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0A7F87">
            <w:pPr>
              <w:spacing w:after="12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0A7F87">
            <w:pPr>
              <w:spacing w:after="120" w:line="240" w:lineRule="auto"/>
              <w:rPr>
                <w:rFonts w:ascii="Calibri" w:eastAsia="Calibri" w:hAnsi="Calibri" w:cs="Calibri"/>
              </w:rPr>
            </w:pPr>
          </w:p>
        </w:tc>
      </w:tr>
      <w:tr w:rsidR="000A7F87">
        <w:trPr>
          <w:trHeight w:val="1"/>
        </w:trPr>
        <w:tc>
          <w:tcPr>
            <w:tcW w:w="30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120" w:line="240" w:lineRule="auto"/>
            </w:pPr>
            <w:r>
              <w:rPr>
                <w:rFonts w:ascii="Arial Narrow" w:eastAsia="Arial Narrow" w:hAnsi="Arial Narrow" w:cs="Arial Narrow"/>
              </w:rPr>
              <w:t>viac ako päť rokov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0A7F87">
            <w:pPr>
              <w:spacing w:after="12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0A7F87">
            <w:pPr>
              <w:spacing w:after="12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0A7F87">
            <w:pPr>
              <w:spacing w:after="12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0A7F87">
            <w:pPr>
              <w:spacing w:after="120" w:line="240" w:lineRule="auto"/>
              <w:rPr>
                <w:rFonts w:ascii="Calibri" w:eastAsia="Calibri" w:hAnsi="Calibri" w:cs="Calibri"/>
              </w:rPr>
            </w:pPr>
          </w:p>
        </w:tc>
      </w:tr>
    </w:tbl>
    <w:p w:rsidR="000A7F87" w:rsidRDefault="000A7F87">
      <w:pPr>
        <w:spacing w:after="120" w:line="240" w:lineRule="auto"/>
        <w:jc w:val="both"/>
        <w:rPr>
          <w:rFonts w:ascii="Arial Narrow" w:eastAsia="Arial Narrow" w:hAnsi="Arial Narrow" w:cs="Arial Narrow"/>
        </w:rPr>
      </w:pPr>
    </w:p>
    <w:p w:rsidR="000A7F87" w:rsidRDefault="0031038E">
      <w:pPr>
        <w:spacing w:after="120" w:line="240" w:lineRule="auto"/>
        <w:jc w:val="both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 xml:space="preserve">Tabuľka k čl. IV  ods. 6 o účele a výške použitia podielu zaplatenej dane    </w:t>
      </w:r>
    </w:p>
    <w:tbl>
      <w:tblPr>
        <w:tblW w:w="0" w:type="auto"/>
        <w:tblInd w:w="38" w:type="dxa"/>
        <w:tblCellMar>
          <w:left w:w="10" w:type="dxa"/>
          <w:right w:w="10" w:type="dxa"/>
        </w:tblCellMar>
        <w:tblLook w:val="0000"/>
      </w:tblPr>
      <w:tblGrid>
        <w:gridCol w:w="4236"/>
        <w:gridCol w:w="2852"/>
        <w:gridCol w:w="2162"/>
      </w:tblGrid>
      <w:tr w:rsidR="000A7F87">
        <w:trPr>
          <w:trHeight w:val="1"/>
        </w:trPr>
        <w:tc>
          <w:tcPr>
            <w:tcW w:w="71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Účel použitia podielu zaplatenej dane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Použitá suma z bezprostredne predchádzajúceho účtovného obdobia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Použitá suma bežného účtovného obdobia</w:t>
            </w:r>
          </w:p>
        </w:tc>
      </w:tr>
      <w:tr w:rsidR="000A7F87">
        <w:trPr>
          <w:trHeight w:val="397"/>
        </w:trPr>
        <w:tc>
          <w:tcPr>
            <w:tcW w:w="71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716D17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 xml:space="preserve">Prevádzkové náklady </w:t>
            </w:r>
            <w:proofErr w:type="spellStart"/>
            <w:r>
              <w:rPr>
                <w:rFonts w:ascii="Calibri" w:eastAsia="Calibri" w:hAnsi="Calibri" w:cs="Calibri"/>
              </w:rPr>
              <w:t>n.o</w:t>
            </w:r>
            <w:proofErr w:type="spellEnd"/>
            <w:r>
              <w:rPr>
                <w:rFonts w:ascii="Calibri" w:eastAsia="Calibri" w:hAnsi="Calibri" w:cs="Calibri"/>
              </w:rPr>
              <w:t xml:space="preserve">., </w:t>
            </w:r>
            <w:proofErr w:type="spellStart"/>
            <w:r>
              <w:rPr>
                <w:rFonts w:ascii="Calibri" w:eastAsia="Calibri" w:hAnsi="Calibri" w:cs="Calibri"/>
              </w:rPr>
              <w:t>spotr.materiál</w:t>
            </w:r>
            <w:proofErr w:type="spellEnd"/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575755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90,64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575755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232,53</w:t>
            </w:r>
          </w:p>
          <w:p w:rsidR="00C707A3" w:rsidRDefault="00C707A3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0A7F87">
        <w:trPr>
          <w:trHeight w:val="397"/>
        </w:trPr>
        <w:tc>
          <w:tcPr>
            <w:tcW w:w="71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0A7F8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0A7F8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0A7F8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0A7F87">
        <w:trPr>
          <w:trHeight w:val="397"/>
        </w:trPr>
        <w:tc>
          <w:tcPr>
            <w:tcW w:w="71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0A7F8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0A7F8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0A7F8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0A7F87">
        <w:trPr>
          <w:trHeight w:val="397"/>
        </w:trPr>
        <w:tc>
          <w:tcPr>
            <w:tcW w:w="1112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 w:rsidP="00716D1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lastRenderedPageBreak/>
              <w:t xml:space="preserve">Zostatok podielu zaplatenej dane bežného účtovného obdobia                                               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716D17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</w:tr>
    </w:tbl>
    <w:p w:rsidR="000A7F87" w:rsidRDefault="000A7F87">
      <w:pPr>
        <w:spacing w:after="120" w:line="240" w:lineRule="auto"/>
        <w:jc w:val="both"/>
        <w:rPr>
          <w:rFonts w:ascii="Arial Narrow" w:eastAsia="Arial Narrow" w:hAnsi="Arial Narrow" w:cs="Arial Narrow"/>
        </w:rPr>
      </w:pPr>
    </w:p>
    <w:p w:rsidR="000A7F87" w:rsidRDefault="0031038E">
      <w:pPr>
        <w:spacing w:after="120" w:line="240" w:lineRule="auto"/>
        <w:jc w:val="both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Tabuľka k čl. IV  ods. 8 o nákladoch vynaložených v súvislosti s auditom účtovnej závierky</w:t>
      </w:r>
    </w:p>
    <w:tbl>
      <w:tblPr>
        <w:tblW w:w="0" w:type="auto"/>
        <w:tblInd w:w="38" w:type="dxa"/>
        <w:tblCellMar>
          <w:left w:w="10" w:type="dxa"/>
          <w:right w:w="10" w:type="dxa"/>
        </w:tblCellMar>
        <w:tblLook w:val="0000"/>
      </w:tblPr>
      <w:tblGrid>
        <w:gridCol w:w="6284"/>
        <w:gridCol w:w="2966"/>
      </w:tblGrid>
      <w:tr w:rsidR="000A7F87">
        <w:trPr>
          <w:trHeight w:val="1"/>
        </w:trPr>
        <w:tc>
          <w:tcPr>
            <w:tcW w:w="63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12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Jednotlivé druhy nákladov za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12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Suma</w:t>
            </w:r>
          </w:p>
        </w:tc>
      </w:tr>
      <w:tr w:rsidR="000A7F87">
        <w:trPr>
          <w:trHeight w:val="1"/>
        </w:trPr>
        <w:tc>
          <w:tcPr>
            <w:tcW w:w="63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120" w:line="240" w:lineRule="auto"/>
            </w:pPr>
            <w:r>
              <w:rPr>
                <w:rFonts w:ascii="Arial Narrow" w:eastAsia="Arial Narrow" w:hAnsi="Arial Narrow" w:cs="Arial Narrow"/>
              </w:rPr>
              <w:t>overenie účtovnej závierky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0A7F87">
            <w:pPr>
              <w:spacing w:after="12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0A7F87">
        <w:trPr>
          <w:trHeight w:val="1"/>
        </w:trPr>
        <w:tc>
          <w:tcPr>
            <w:tcW w:w="63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120" w:line="240" w:lineRule="auto"/>
            </w:pPr>
            <w:proofErr w:type="spellStart"/>
            <w:r>
              <w:rPr>
                <w:rFonts w:ascii="Arial Narrow" w:eastAsia="Arial Narrow" w:hAnsi="Arial Narrow" w:cs="Arial Narrow"/>
              </w:rPr>
              <w:t>uisťovacie</w:t>
            </w:r>
            <w:proofErr w:type="spellEnd"/>
            <w:r>
              <w:rPr>
                <w:rFonts w:ascii="Arial Narrow" w:eastAsia="Arial Narrow" w:hAnsi="Arial Narrow" w:cs="Arial Narrow"/>
              </w:rPr>
              <w:t xml:space="preserve"> audítorské služby okrem overenia účtovnej závierky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0A7F87">
            <w:pPr>
              <w:spacing w:after="120" w:line="240" w:lineRule="auto"/>
              <w:rPr>
                <w:rFonts w:ascii="Calibri" w:eastAsia="Calibri" w:hAnsi="Calibri" w:cs="Calibri"/>
              </w:rPr>
            </w:pPr>
          </w:p>
        </w:tc>
      </w:tr>
      <w:tr w:rsidR="000A7F87">
        <w:trPr>
          <w:trHeight w:val="1"/>
        </w:trPr>
        <w:tc>
          <w:tcPr>
            <w:tcW w:w="63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120" w:line="240" w:lineRule="auto"/>
            </w:pPr>
            <w:r>
              <w:rPr>
                <w:rFonts w:ascii="Arial Narrow" w:eastAsia="Arial Narrow" w:hAnsi="Arial Narrow" w:cs="Arial Narrow"/>
              </w:rPr>
              <w:t>súvisiace audítorské služby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0A7F87">
            <w:pPr>
              <w:spacing w:after="120" w:line="240" w:lineRule="auto"/>
              <w:rPr>
                <w:rFonts w:ascii="Calibri" w:eastAsia="Calibri" w:hAnsi="Calibri" w:cs="Calibri"/>
              </w:rPr>
            </w:pPr>
          </w:p>
        </w:tc>
      </w:tr>
      <w:tr w:rsidR="000A7F87">
        <w:trPr>
          <w:trHeight w:val="1"/>
        </w:trPr>
        <w:tc>
          <w:tcPr>
            <w:tcW w:w="63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120" w:line="240" w:lineRule="auto"/>
            </w:pPr>
            <w:r>
              <w:rPr>
                <w:rFonts w:ascii="Arial Narrow" w:eastAsia="Arial Narrow" w:hAnsi="Arial Narrow" w:cs="Arial Narrow"/>
              </w:rPr>
              <w:t>daňové poradenstvo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0A7F87">
            <w:pPr>
              <w:spacing w:after="120" w:line="240" w:lineRule="auto"/>
              <w:rPr>
                <w:rFonts w:ascii="Calibri" w:eastAsia="Calibri" w:hAnsi="Calibri" w:cs="Calibri"/>
              </w:rPr>
            </w:pPr>
          </w:p>
        </w:tc>
      </w:tr>
      <w:tr w:rsidR="000A7F87">
        <w:trPr>
          <w:trHeight w:val="1"/>
        </w:trPr>
        <w:tc>
          <w:tcPr>
            <w:tcW w:w="63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120" w:line="240" w:lineRule="auto"/>
            </w:pPr>
            <w:r>
              <w:rPr>
                <w:rFonts w:ascii="Arial Narrow" w:eastAsia="Arial Narrow" w:hAnsi="Arial Narrow" w:cs="Arial Narrow"/>
              </w:rPr>
              <w:t>ostatné neaudítorské služby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0A7F87">
            <w:pPr>
              <w:spacing w:after="120" w:line="240" w:lineRule="auto"/>
              <w:rPr>
                <w:rFonts w:ascii="Calibri" w:eastAsia="Calibri" w:hAnsi="Calibri" w:cs="Calibri"/>
              </w:rPr>
            </w:pPr>
          </w:p>
        </w:tc>
      </w:tr>
      <w:tr w:rsidR="000A7F87">
        <w:trPr>
          <w:trHeight w:val="1"/>
        </w:trPr>
        <w:tc>
          <w:tcPr>
            <w:tcW w:w="63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12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Spolu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0A7F87">
            <w:pPr>
              <w:spacing w:after="12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</w:tbl>
    <w:p w:rsidR="000A7F87" w:rsidRDefault="000A7F87">
      <w:pPr>
        <w:spacing w:after="120" w:line="240" w:lineRule="auto"/>
        <w:jc w:val="both"/>
        <w:rPr>
          <w:rFonts w:ascii="Arial Narrow" w:eastAsia="Arial Narrow" w:hAnsi="Arial Narrow" w:cs="Arial Narrow"/>
        </w:rPr>
      </w:pPr>
    </w:p>
    <w:sectPr w:rsidR="000A7F87" w:rsidSect="005171A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18591E"/>
    <w:multiLevelType w:val="multilevel"/>
    <w:tmpl w:val="57A00EFE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>
    <w:nsid w:val="0202328F"/>
    <w:multiLevelType w:val="multilevel"/>
    <w:tmpl w:val="B0CE7C2A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>
    <w:nsid w:val="020E02BC"/>
    <w:multiLevelType w:val="multilevel"/>
    <w:tmpl w:val="1D303AD8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">
    <w:nsid w:val="025117E8"/>
    <w:multiLevelType w:val="multilevel"/>
    <w:tmpl w:val="C468532C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">
    <w:nsid w:val="07C658F1"/>
    <w:multiLevelType w:val="multilevel"/>
    <w:tmpl w:val="AC442BBA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">
    <w:nsid w:val="0C1D5A78"/>
    <w:multiLevelType w:val="multilevel"/>
    <w:tmpl w:val="FF4CA75A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6">
    <w:nsid w:val="0E882D37"/>
    <w:multiLevelType w:val="multilevel"/>
    <w:tmpl w:val="9594D5E0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7">
    <w:nsid w:val="104C5690"/>
    <w:multiLevelType w:val="multilevel"/>
    <w:tmpl w:val="580E925C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8">
    <w:nsid w:val="1CA772F7"/>
    <w:multiLevelType w:val="multilevel"/>
    <w:tmpl w:val="93522674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9">
    <w:nsid w:val="1CDB313A"/>
    <w:multiLevelType w:val="multilevel"/>
    <w:tmpl w:val="5648A442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0">
    <w:nsid w:val="20B87143"/>
    <w:multiLevelType w:val="multilevel"/>
    <w:tmpl w:val="EFDA0ABC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1">
    <w:nsid w:val="2693001E"/>
    <w:multiLevelType w:val="multilevel"/>
    <w:tmpl w:val="43D81C82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2">
    <w:nsid w:val="26F36515"/>
    <w:multiLevelType w:val="multilevel"/>
    <w:tmpl w:val="4A808196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3">
    <w:nsid w:val="2BD0110B"/>
    <w:multiLevelType w:val="multilevel"/>
    <w:tmpl w:val="1B6080C8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4">
    <w:nsid w:val="2CB0192D"/>
    <w:multiLevelType w:val="multilevel"/>
    <w:tmpl w:val="28A46E1E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5">
    <w:nsid w:val="310F4821"/>
    <w:multiLevelType w:val="multilevel"/>
    <w:tmpl w:val="ACD846D2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6">
    <w:nsid w:val="324E0634"/>
    <w:multiLevelType w:val="multilevel"/>
    <w:tmpl w:val="58960722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7">
    <w:nsid w:val="32523A0D"/>
    <w:multiLevelType w:val="multilevel"/>
    <w:tmpl w:val="93966ED4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8">
    <w:nsid w:val="39110609"/>
    <w:multiLevelType w:val="multilevel"/>
    <w:tmpl w:val="7B18CF22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9">
    <w:nsid w:val="3CCD31EA"/>
    <w:multiLevelType w:val="multilevel"/>
    <w:tmpl w:val="10586B88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0">
    <w:nsid w:val="3E7C60D2"/>
    <w:multiLevelType w:val="multilevel"/>
    <w:tmpl w:val="52B07AB0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1">
    <w:nsid w:val="3FE02E38"/>
    <w:multiLevelType w:val="multilevel"/>
    <w:tmpl w:val="C60676C8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2">
    <w:nsid w:val="41953676"/>
    <w:multiLevelType w:val="multilevel"/>
    <w:tmpl w:val="119873FC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3">
    <w:nsid w:val="48441BA5"/>
    <w:multiLevelType w:val="multilevel"/>
    <w:tmpl w:val="612C5296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4">
    <w:nsid w:val="4A1A07E4"/>
    <w:multiLevelType w:val="multilevel"/>
    <w:tmpl w:val="A8626196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5">
    <w:nsid w:val="5AD90A6D"/>
    <w:multiLevelType w:val="multilevel"/>
    <w:tmpl w:val="75060006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6">
    <w:nsid w:val="5E216ECA"/>
    <w:multiLevelType w:val="multilevel"/>
    <w:tmpl w:val="1576BA8E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7">
    <w:nsid w:val="63155630"/>
    <w:multiLevelType w:val="multilevel"/>
    <w:tmpl w:val="8A38E8B4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8">
    <w:nsid w:val="63D113D8"/>
    <w:multiLevelType w:val="multilevel"/>
    <w:tmpl w:val="F230B428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9">
    <w:nsid w:val="676E22F5"/>
    <w:multiLevelType w:val="multilevel"/>
    <w:tmpl w:val="A6D82950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0">
    <w:nsid w:val="69151502"/>
    <w:multiLevelType w:val="multilevel"/>
    <w:tmpl w:val="2A0699F8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1">
    <w:nsid w:val="6B12699F"/>
    <w:multiLevelType w:val="multilevel"/>
    <w:tmpl w:val="89644AEA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2">
    <w:nsid w:val="6F927921"/>
    <w:multiLevelType w:val="multilevel"/>
    <w:tmpl w:val="4DC4F18E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3">
    <w:nsid w:val="6FBD62A9"/>
    <w:multiLevelType w:val="multilevel"/>
    <w:tmpl w:val="8AB6FDE8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4">
    <w:nsid w:val="71005BD4"/>
    <w:multiLevelType w:val="multilevel"/>
    <w:tmpl w:val="4CDE2E16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5">
    <w:nsid w:val="78A94310"/>
    <w:multiLevelType w:val="multilevel"/>
    <w:tmpl w:val="D86C2664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10"/>
  </w:num>
  <w:num w:numId="2">
    <w:abstractNumId w:val="25"/>
  </w:num>
  <w:num w:numId="3">
    <w:abstractNumId w:val="23"/>
  </w:num>
  <w:num w:numId="4">
    <w:abstractNumId w:val="26"/>
  </w:num>
  <w:num w:numId="5">
    <w:abstractNumId w:val="19"/>
  </w:num>
  <w:num w:numId="6">
    <w:abstractNumId w:val="8"/>
  </w:num>
  <w:num w:numId="7">
    <w:abstractNumId w:val="24"/>
  </w:num>
  <w:num w:numId="8">
    <w:abstractNumId w:val="32"/>
  </w:num>
  <w:num w:numId="9">
    <w:abstractNumId w:val="18"/>
  </w:num>
  <w:num w:numId="10">
    <w:abstractNumId w:val="0"/>
  </w:num>
  <w:num w:numId="11">
    <w:abstractNumId w:val="4"/>
  </w:num>
  <w:num w:numId="12">
    <w:abstractNumId w:val="3"/>
  </w:num>
  <w:num w:numId="13">
    <w:abstractNumId w:val="28"/>
  </w:num>
  <w:num w:numId="14">
    <w:abstractNumId w:val="2"/>
  </w:num>
  <w:num w:numId="15">
    <w:abstractNumId w:val="11"/>
  </w:num>
  <w:num w:numId="16">
    <w:abstractNumId w:val="29"/>
  </w:num>
  <w:num w:numId="17">
    <w:abstractNumId w:val="5"/>
  </w:num>
  <w:num w:numId="18">
    <w:abstractNumId w:val="20"/>
  </w:num>
  <w:num w:numId="19">
    <w:abstractNumId w:val="7"/>
  </w:num>
  <w:num w:numId="20">
    <w:abstractNumId w:val="17"/>
  </w:num>
  <w:num w:numId="21">
    <w:abstractNumId w:val="30"/>
  </w:num>
  <w:num w:numId="22">
    <w:abstractNumId w:val="14"/>
  </w:num>
  <w:num w:numId="23">
    <w:abstractNumId w:val="21"/>
  </w:num>
  <w:num w:numId="24">
    <w:abstractNumId w:val="31"/>
  </w:num>
  <w:num w:numId="25">
    <w:abstractNumId w:val="12"/>
  </w:num>
  <w:num w:numId="26">
    <w:abstractNumId w:val="35"/>
  </w:num>
  <w:num w:numId="27">
    <w:abstractNumId w:val="13"/>
  </w:num>
  <w:num w:numId="28">
    <w:abstractNumId w:val="33"/>
  </w:num>
  <w:num w:numId="29">
    <w:abstractNumId w:val="27"/>
  </w:num>
  <w:num w:numId="30">
    <w:abstractNumId w:val="1"/>
  </w:num>
  <w:num w:numId="31">
    <w:abstractNumId w:val="22"/>
  </w:num>
  <w:num w:numId="32">
    <w:abstractNumId w:val="6"/>
  </w:num>
  <w:num w:numId="33">
    <w:abstractNumId w:val="16"/>
  </w:num>
  <w:num w:numId="34">
    <w:abstractNumId w:val="34"/>
  </w:num>
  <w:num w:numId="35">
    <w:abstractNumId w:val="9"/>
  </w:num>
  <w:num w:numId="36">
    <w:abstractNumId w:val="1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characterSpacingControl w:val="doNotCompress"/>
  <w:compat>
    <w:useFELayout/>
  </w:compat>
  <w:rsids>
    <w:rsidRoot w:val="000A7F87"/>
    <w:rsid w:val="00044C07"/>
    <w:rsid w:val="000A7F87"/>
    <w:rsid w:val="0031038E"/>
    <w:rsid w:val="003A4EF4"/>
    <w:rsid w:val="005171AA"/>
    <w:rsid w:val="0053524F"/>
    <w:rsid w:val="00575755"/>
    <w:rsid w:val="00716D17"/>
    <w:rsid w:val="008C697B"/>
    <w:rsid w:val="009205D9"/>
    <w:rsid w:val="00C33B66"/>
    <w:rsid w:val="00C707A3"/>
    <w:rsid w:val="00CC10F9"/>
    <w:rsid w:val="00D23D46"/>
    <w:rsid w:val="00DB5E55"/>
    <w:rsid w:val="00DC5165"/>
    <w:rsid w:val="00E5320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171A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18</Pages>
  <Words>4138</Words>
  <Characters>23591</Characters>
  <Application>Microsoft Office Word</Application>
  <DocSecurity>0</DocSecurity>
  <Lines>196</Lines>
  <Paragraphs>55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27674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maria</dc:creator>
  <cp:lastModifiedBy>maria</cp:lastModifiedBy>
  <cp:revision>2</cp:revision>
  <dcterms:created xsi:type="dcterms:W3CDTF">2021-03-17T18:07:00Z</dcterms:created>
  <dcterms:modified xsi:type="dcterms:W3CDTF">2021-03-17T18:07:00Z</dcterms:modified>
</cp:coreProperties>
</file>