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</w:rPr>
        <w:t>POZNÁMKY K ÚČTOVNEJ ZÁVIERKE 20</w:t>
      </w:r>
      <w:r>
        <w:rPr>
          <w:rFonts w:cs="Arial Narrow" w:ascii="Arial Narrow" w:hAnsi="Arial Narrow"/>
          <w:b/>
          <w:sz w:val="22"/>
          <w:szCs w:val="22"/>
        </w:rPr>
        <w:t>20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885" w:type="dxa"/>
        <w:jc w:val="left"/>
        <w:tblInd w:w="-2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2636"/>
        <w:gridCol w:w="7019"/>
        <w:gridCol w:w="50"/>
        <w:gridCol w:w="60"/>
        <w:gridCol w:w="60"/>
        <w:gridCol w:w="6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>RB – TRADE SLOVAKIA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sz w:val="22"/>
                <w:szCs w:val="22"/>
              </w:rPr>
              <w:t>97701 Brezno, Námestie M.R.Štefánika 18/23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249" w:type="dxa"/>
            <w:gridSpan w:val="5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02.01.1997 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249" w:type="dxa"/>
            <w:gridSpan w:val="5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Pohostinská činnosť, ubytovacie služby, prenájom neb.priestorov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249" w:type="dxa"/>
            <w:gridSpan w:val="5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RB – TRADE SLOVAKIA, s.r.o.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249" w:type="dxa"/>
            <w:gridSpan w:val="5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2020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25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malá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708" w:type="dxa"/>
        <w:jc w:val="left"/>
        <w:tblInd w:w="-3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41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858988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904188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Ano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410613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470381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22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Ano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>malá účtovná jednotka. UJ sa rozhodla pokračovať v zatriedení malá účtovná jednotka.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cs="Arial Narrow" w:ascii="Arial Narrow" w:hAnsi="Arial Narrow"/>
          <w:b/>
          <w:sz w:val="22"/>
          <w:szCs w:val="22"/>
        </w:rPr>
        <w:t>29. 05. 2020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</w:t>
      </w:r>
      <w:r>
        <w:rPr>
          <w:rFonts w:cs="Arial Narrow" w:ascii="Arial Narrow" w:hAnsi="Arial Narrow"/>
          <w:b/>
          <w:bCs/>
          <w:sz w:val="22"/>
          <w:szCs w:val="22"/>
        </w:rPr>
        <w:t>Riadna účtovná závierka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sz w:val="22"/>
          <w:szCs w:val="22"/>
        </w:rPr>
        <w:t>s konsolidáciou: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RB – TRADE SLOVAKIA, s.r.o nie je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súčasťou konsolidovaného celku</w:t>
      </w:r>
    </w:p>
    <w:p>
      <w:pPr>
        <w:pStyle w:val="Normal"/>
        <w:ind w:left="360" w:right="0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Obchodné meno a 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najväčšiu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Obchodné meno a 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najmenšiu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Adresa, kde sa môže vyžiadať kópia vyššie uvedených konsolidovaných účtovných závierok: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Údaj, či účtovná jednotka je materskou účtovnou jednotkou a údaj, či je oslobodená od povinnosti zostaviť konsolidovanú účtovnú závierku a konsolidovanú výročnú správu podľa § 22 zákona o účtovníctve, pričom sa uvádzajú: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pri oslobodení podľa § 22 ods. 8 zákona o účtovníctve obchodné meno a sídlo materskej účtovnej jednotky zostavujúcej konsolidovanú účtovnú závierku podľa osobitných predpisov (IFRS/EÚ):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/>
        <w:t>:</w:t>
      </w:r>
    </w:p>
    <w:tbl>
      <w:tblPr>
        <w:tblW w:w="9887" w:type="dxa"/>
        <w:jc w:val="left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57"/>
        <w:gridCol w:w="2523"/>
        <w:gridCol w:w="250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ind w:left="0"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</w:t>
            </w:r>
          </w:p>
        </w:tc>
        <w:tc>
          <w:tcPr>
            <w:tcW w:w="2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20</w:t>
            </w:r>
          </w:p>
        </w:tc>
      </w:tr>
    </w:tbl>
    <w:p>
      <w:pPr>
        <w:pStyle w:val="Normal"/>
        <w:ind w:left="928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/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5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2"/>
        <w:gridCol w:w="1701"/>
        <w:gridCol w:w="184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konatelia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konatelia</w:t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</w:tbl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/>
        <w:t>Konatelia RB – TRADE Slovakia, s.r.o. poskytli v roku 2020 spoločnosti finančnú výpomoc vo výške 25 500 €.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ind w:left="0" w:right="-141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Učtovné zásady a účtovné metódy boli aplikované v rámci platného zákona o účtovníctve. Počas účtovného obdobia nedošlo k ich zmenám.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V účtovnom období nedošlo v spoločnosti </w:t>
      </w:r>
      <w:r>
        <w:rPr>
          <w:rFonts w:cs="Arial Narrow" w:ascii="Arial Narrow" w:hAnsi="Arial Narrow"/>
          <w:b/>
          <w:sz w:val="22"/>
          <w:szCs w:val="22"/>
        </w:rPr>
        <w:t>GALATHEA, s.r.o. k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transakciám,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6" w:type="dxa"/>
        <w:jc w:val="left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6"/>
        <w:gridCol w:w="5300"/>
        <w:gridCol w:w="374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 Narrow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Nebolo účtované o ZV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riv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ty: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Trvalé ani prechodné zníženie hodnoty majetku nebolo účtované.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reálnou hodnotou: </w:t>
      </w:r>
      <w:r>
        <w:rPr>
          <w:rFonts w:cs="Arial Narrow" w:ascii="Arial Narrow" w:hAnsi="Arial Narrow"/>
          <w:b/>
          <w:i/>
          <w:sz w:val="22"/>
          <w:szCs w:val="22"/>
        </w:rPr>
        <w:t>RB – TRADE SLOVAKIA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, s.r.o. neocenila majetok reálnou hodnotou, lebo nemala k tomu vecnú náplň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bCs/>
          <w:sz w:val="22"/>
          <w:szCs w:val="22"/>
        </w:rPr>
        <w:t>RB – TRADE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SLOVAKIA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, s.r.o. neúčtovala o cenných papieroch, akciách, dlhopisoch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  <w:u w:val="single"/>
        </w:rPr>
        <w:t>Finančné nástroje</w:t>
      </w:r>
      <w:r>
        <w:rPr>
          <w:rFonts w:cs="Arial Narrow" w:ascii="Arial Narrow" w:hAnsi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listy)-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finančných nástrojoch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  <w:u w:val="single"/>
        </w:rPr>
        <w:t>Opravné položky</w:t>
      </w:r>
      <w:r>
        <w:rPr>
          <w:rFonts w:cs="Arial Narrow" w:ascii="Arial Narrow" w:hAnsi="Arial Narrow"/>
          <w:sz w:val="22"/>
          <w:szCs w:val="22"/>
        </w:rPr>
        <w:t xml:space="preserve"> k majetku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netvorila OP k majetku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  <w:u w:val="single"/>
        </w:rPr>
        <w:t>Opravnú položku k dlhodobej pohľadávke</w:t>
      </w:r>
      <w:r>
        <w:rPr>
          <w:rFonts w:cs="Arial Narrow" w:ascii="Arial Narrow" w:hAnsi="Arial Narrow"/>
          <w:sz w:val="22"/>
          <w:szCs w:val="22"/>
        </w:rPr>
        <w:t xml:space="preserve"> a opravnú položku k dlhodobej pôžičke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netvorila OP k pohľadávkam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Rezervy –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netvorila rezervy, v prípade tvorby by ocenila rezervy kalkulačnou metódou kvalifikovaného odhadu ich menovitej hodnoty na pokrytie budúcich záväzkov.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cs="Arial Narrow" w:ascii="Arial Narrow" w:hAnsi="Arial Narrow"/>
          <w:sz w:val="22"/>
          <w:szCs w:val="22"/>
          <w:u w:val="single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nemala k tomu vecnú náplň.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používa pri oceňovaní úbytku rovnakého druhu zásob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  <w:t>vážený aritmetický priemer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 xml:space="preserve"> (§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25/5 ZoU; § 22/1 PU).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g) Tvorba odpisového plánu</w:t>
      </w:r>
      <w:r>
        <w:rPr/>
        <w:t xml:space="preserve"> pre dlhodobý majetok, pričom sa uvádza doba odpisovania, sadzby odpisov a odpisové metódy pre účtovné odpisy:</w:t>
      </w:r>
    </w:p>
    <w:tbl>
      <w:tblPr>
        <w:tblW w:w="9746" w:type="dxa"/>
        <w:jc w:val="left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40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Samost.hnuteľné veci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Súbory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nezávisle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začal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 xml:space="preserve">. Účtovné odpisy vychádzajú z predpokladanej doby používania majetku.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majetku. Podrobný účtovný odpisový plán po položkách sa vedie v podsystéme Majetok s podporou softvéru Oberon (taktiež daňové odpisy podľa zákona o dani z príjmov).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odpisuje jednotlivé veci alebo relevantné </w:t>
      </w:r>
      <w:r>
        <w:rPr>
          <w:rFonts w:cs="Arial Narrow" w:ascii="Arial Narrow" w:hAnsi="Arial Narrow"/>
          <w:sz w:val="22"/>
          <w:szCs w:val="22"/>
          <w:u w:val="single"/>
        </w:rPr>
        <w:t>súbory hnuteľných vecí</w:t>
      </w:r>
      <w:r>
        <w:rPr>
          <w:rFonts w:cs="Arial Narrow" w:ascii="Arial Narrow" w:hAnsi="Arial Narrow"/>
          <w:sz w:val="22"/>
          <w:szCs w:val="22"/>
        </w:rPr>
        <w:t>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UJ nepoužila </w:t>
      </w:r>
      <w:r>
        <w:rPr>
          <w:rFonts w:cs="Arial Narrow" w:ascii="Arial Narrow" w:hAnsi="Arial Narrow"/>
          <w:sz w:val="22"/>
          <w:szCs w:val="22"/>
          <w:u w:val="single"/>
        </w:rPr>
        <w:t>jednorazový odpis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používa kategóriu drobného dlhodobého 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 w:ascii="Arial Narrow" w:hAnsi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before="0" w:after="12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dobrovoľnú kapitalizáciu úrokov</w:t>
      </w:r>
      <w:r>
        <w:rPr>
          <w:rFonts w:cs="Arial Narrow" w:ascii="Arial Narrow" w:hAnsi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o poskytnutých dotáciách a pri dotáciách na obstaranie majetku sa uvedú zložky majetku a ich ocenenie: </w:t>
      </w:r>
      <w:r>
        <w:rPr>
          <w:rFonts w:cs="Arial Narrow" w:ascii="Arial Narrow" w:hAnsi="Arial Narrow"/>
          <w:i/>
          <w:iCs/>
          <w:sz w:val="22"/>
          <w:szCs w:val="22"/>
        </w:rPr>
        <w:t xml:space="preserve">UJ neboli poskytnuté dotácie na obstaranie majetku </w:t>
      </w:r>
    </w:p>
    <w:p>
      <w:pPr>
        <w:pStyle w:val="Nadpis2"/>
        <w:jc w:val="both"/>
        <w:rPr>
          <w:b/>
          <w:b/>
          <w:bCs/>
          <w:i/>
          <w:i/>
          <w:iCs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ormal"/>
        <w:jc w:val="both"/>
        <w:rPr>
          <w:rFonts w:ascii="Arial Narrow" w:hAnsi="Arial Narrow" w:eastAsia="Arial Narrow" w:cs="Arial Narrow"/>
          <w:b/>
          <w:b/>
          <w:sz w:val="22"/>
          <w:szCs w:val="22"/>
        </w:rPr>
      </w:pPr>
      <w:r>
        <w:rPr>
          <w:b/>
          <w:bCs/>
          <w:i/>
          <w:iCs/>
        </w:rPr>
        <w:t>UJ neúčtovala o opravách významných chýb minulých období</w:t>
      </w:r>
    </w:p>
    <w:tbl>
      <w:tblPr>
        <w:tblW w:w="9741" w:type="dxa"/>
        <w:jc w:val="left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75"/>
        <w:gridCol w:w="1040"/>
        <w:gridCol w:w="1039"/>
        <w:gridCol w:w="1928"/>
        <w:gridCol w:w="265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</w:tr>
    </w:tbl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goodwille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jc w:val="both"/>
        <w:rPr>
          <w:b/>
          <w:b/>
          <w:bCs/>
          <w:i/>
          <w:i/>
          <w:iCs/>
        </w:rPr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rFonts w:ascii="Arial Narrow" w:hAnsi="Arial Narrow" w:eastAsia="Arial Narrow" w:cs="Arial Narrow"/>
          <w:b/>
          <w:b/>
          <w:sz w:val="22"/>
          <w:szCs w:val="22"/>
        </w:rPr>
      </w:pPr>
      <w:r>
        <w:rPr>
          <w:b/>
          <w:bCs/>
          <w:i/>
          <w:iCs/>
        </w:rPr>
        <w:t>UJ neúčtovala o derivátoch, majetku a záväzkoch zabezpečených derivátmi</w:t>
      </w:r>
    </w:p>
    <w:tbl>
      <w:tblPr>
        <w:tblW w:w="9745" w:type="dxa"/>
        <w:jc w:val="left"/>
        <w:tblInd w:w="-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655"/>
        <w:gridCol w:w="1135"/>
        <w:gridCol w:w="1135"/>
        <w:gridCol w:w="1844"/>
        <w:gridCol w:w="1976"/>
      </w:tblGrid>
      <w:tr>
        <w:trPr>
          <w:trHeight w:val="153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imanie</w:t>
            </w:r>
          </w:p>
        </w:tc>
      </w:tr>
      <w:tr>
        <w:trPr>
          <w:trHeight w:val="62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</w:tr>
      <w:tr>
        <w:trPr>
          <w:trHeight w:val="109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120"/>
        <w:ind w:left="0" w:right="-141" w:hanging="0"/>
        <w:jc w:val="both"/>
        <w:rPr/>
      </w:pPr>
      <w:r>
        <w:rPr/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záväzkoch so zostatkovou dobou splatnosti dlhšou ako 5 rokov</w:t>
      </w:r>
    </w:p>
    <w:tbl>
      <w:tblPr>
        <w:tblW w:w="985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785"/>
        <w:gridCol w:w="2553"/>
        <w:gridCol w:w="251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120" w:after="0"/>
        <w:ind w:left="0"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zabezpečených záväzkoch</w:t>
      </w:r>
    </w:p>
    <w:tbl>
      <w:tblPr>
        <w:tblW w:w="977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396"/>
        <w:gridCol w:w="2831"/>
        <w:gridCol w:w="2551"/>
      </w:tblGrid>
      <w:tr>
        <w:trPr>
          <w:cantSplit w:val="true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Zabezpečené záväzky</w:t>
            </w:r>
          </w:p>
        </w:tc>
        <w:tc>
          <w:tcPr>
            <w:tcW w:w="53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/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/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/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/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vlastných akciách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výnimočných nákladoch ani výnosoch</w:t>
      </w:r>
    </w:p>
    <w:p>
      <w:pPr>
        <w:pStyle w:val="Normal"/>
        <w:spacing w:before="0" w:after="120"/>
        <w:ind w:left="0" w:right="-471" w:hanging="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ind w:left="0" w:right="-471" w:hanging="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podmienený majetok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>
      <w:pPr>
        <w:pStyle w:val="Normal"/>
        <w:numPr>
          <w:ilvl w:val="0"/>
          <w:numId w:val="5"/>
        </w:numPr>
        <w:spacing w:before="0" w:after="120"/>
        <w:ind w:left="227" w:right="0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numPr>
          <w:ilvl w:val="0"/>
          <w:numId w:val="5"/>
        </w:numPr>
        <w:ind w:left="227" w:right="0" w:hanging="227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oceniť: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také finančné povinnosti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nesleduje položky na podsúvahových účtoch</w:t>
      </w:r>
    </w:p>
    <w:tbl>
      <w:tblPr>
        <w:tblW w:w="9745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1"/>
        <w:gridCol w:w="1701"/>
        <w:gridCol w:w="1733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Po závierkovom dni  nenastali významné udalosti, ktoré nie sú zohľadnené vo výkazoch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a) </w:t>
      </w:r>
      <w:r>
        <w:rPr>
          <w:rFonts w:cs="Arial Narrow" w:ascii="Arial Narrow" w:hAnsi="Arial Narrow"/>
          <w:sz w:val="22"/>
          <w:szCs w:val="22"/>
          <w:u w:val="single"/>
        </w:rPr>
        <w:t>Pokles alebo zvýšenie trhovej ceny finančného majetku</w:t>
      </w:r>
      <w:r>
        <w:rPr>
          <w:rFonts w:cs="Arial Narrow" w:ascii="Arial Narrow" w:hAnsi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o finančom majetku neúčtovala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</w:t>
      </w:r>
      <w:r>
        <w:rPr>
          <w:rFonts w:cs="Arial Narrow" w:ascii="Arial Narrow" w:hAnsi="Arial Narrow"/>
          <w:sz w:val="22"/>
          <w:szCs w:val="22"/>
          <w:u w:val="single"/>
        </w:rPr>
        <w:t>Dôvody pre zmenu výšky rezerv a opravných položiek</w:t>
      </w:r>
      <w:r>
        <w:rPr>
          <w:rFonts w:cs="Arial Narrow" w:ascii="Arial Narrow" w:hAnsi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 také udalosti, ktoré by spôsobili zmenu výšky rezerv a OP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Zmena spoločníkov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Spoločníci sa v UJ nezmenili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d) Prijaté rozhodnutia o predaji účtovnej jednotky alebo jej časti: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neprijala rozhodnutia o predaji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e) Zmeny významných položiek dlhodobého finančného majetku: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neúčtuje o dlhodobom finančnom majetku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neprerušila svoju činnosť a pokračuje v nej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g) Vydané dlhopisy a iné cenné papiere: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nevydala dlhopisy ani CP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sa nezlúčila, nesplynula ani nezmenila právnu formu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mimoriadne udalosti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j) Získanie alebo odobratie licencií alebo iných povolení významných pre činnosť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nezískala nové licencie, ani jej neboli odobraté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výlučné právo poskytovať služby vo verejnom záujme</w:t>
      </w:r>
    </w:p>
    <w:p>
      <w:pPr>
        <w:pStyle w:val="Normal"/>
        <w:spacing w:before="0" w:after="120"/>
        <w:ind w:left="0" w:right="-471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nie je zaradená do osobitnej kategórie priemyselnej výroby</w:t>
      </w:r>
    </w:p>
    <w:p>
      <w:pPr>
        <w:pStyle w:val="Normal"/>
        <w:spacing w:before="0" w:after="120"/>
        <w:ind w:left="0" w:right="-471" w:hanging="0"/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finančné vzťahy s orgánmi verejnej moci</w:t>
      </w:r>
    </w:p>
    <w:sectPr>
      <w:headerReference w:type="default" r:id="rId2"/>
      <w:footerReference w:type="default" r:id="rId3"/>
      <w:type w:val="nextPage"/>
      <w:pgSz w:w="11906" w:h="16838"/>
      <w:pgMar w:left="1417" w:right="992" w:header="567" w:top="1417" w:footer="567" w:bottom="1417" w:gutter="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ee"/>
    <w:family w:val="swiss"/>
    <w:pitch w:val="variable"/>
  </w:font>
  <w:font w:name="Courier New">
    <w:charset w:val="ee"/>
    <w:family w:val="modern"/>
    <w:pitch w:val="default"/>
  </w:font>
  <w:font w:name="Symbol">
    <w:charset w:val="01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36016896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2020083505</w:t>
    </w:r>
  </w:p>
  <w:p>
    <w:pPr>
      <w:pStyle w:val="Hlavika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§ %1"/>
      <w:lvlJc w:val="center"/>
      <w:pPr>
        <w:tabs>
          <w:tab w:val="num" w:pos="5220"/>
        </w:tabs>
        <w:ind w:left="4500" w:hanging="-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3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4"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rFonts w:cs="Arial Narrow"/>
      </w:rPr>
    </w:lvl>
  </w:abstractNum>
  <w:abstractNum w:abstractNumId="5">
    <w:lvl w:ilvl="0">
      <w:start w:val="1"/>
      <w:numFmt w:val="decimal"/>
      <w:lvlText w:val="%1."/>
      <w:lvlJc w:val="left"/>
      <w:pPr>
        <w:ind w:left="360" w:hanging="360"/>
      </w:pPr>
      <w:rPr>
        <w:sz w:val="22"/>
        <w:i/>
        <w:b/>
        <w:szCs w:val="22"/>
        <w:iCs/>
        <w:bCs/>
        <w:rFonts w:ascii="Arial Narrow" w:hAnsi="Arial Narrow" w:cs="Arial Narrow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defaultTabStop w:val="113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eastAsia="zh-CN" w:bidi="ar-SA"/>
    </w:rPr>
  </w:style>
  <w:style w:type="paragraph" w:styleId="Nadpis1">
    <w:name w:val="Nadpis 1"/>
    <w:basedOn w:val="Normal"/>
    <w:next w:val="Nadpis2"/>
    <w:pPr>
      <w:keepNext/>
      <w:numPr>
        <w:ilvl w:val="0"/>
        <w:numId w:val="1"/>
      </w:numPr>
      <w:tabs>
        <w:tab w:val="left" w:pos="5220" w:leader="none"/>
      </w:tabs>
      <w:spacing w:before="240" w:after="60"/>
      <w:ind w:left="4500" w:right="0" w:firstLine="360"/>
      <w:jc w:val="center"/>
      <w:outlineLvl w:val="0"/>
      <w:outlineLvl w:val="0"/>
    </w:pPr>
    <w:rPr>
      <w:b/>
      <w:bCs/>
    </w:rPr>
  </w:style>
  <w:style w:type="paragraph" w:styleId="Nadpis2">
    <w:name w:val="Nadpis 2"/>
    <w:basedOn w:val="Normal"/>
    <w:next w:val="Normal"/>
    <w:pPr>
      <w:keepNext/>
      <w:spacing w:before="0" w:after="120"/>
      <w:jc w:val="center"/>
      <w:outlineLvl w:val="1"/>
    </w:pPr>
    <w:rPr>
      <w:b/>
      <w:bCs/>
    </w:rPr>
  </w:style>
  <w:style w:type="character" w:styleId="WW8Num1z0">
    <w:name w:val="WW8Num1z0"/>
    <w:qFormat/>
    <w:rPr>
      <w:rFonts w:cs="Times New Roman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Wingdings" w:hAnsi="Wingdings" w:cs="Wingdings"/>
      <w:sz w:val="22"/>
      <w:szCs w:val="22"/>
    </w:rPr>
  </w:style>
  <w:style w:type="character" w:styleId="WW8Num3z0">
    <w:name w:val="WW8Num3z0"/>
    <w:qFormat/>
    <w:rPr>
      <w:rFonts w:ascii="Wingdings" w:hAnsi="Wingdings" w:cs="Wingdings"/>
      <w:sz w:val="22"/>
      <w:szCs w:val="22"/>
    </w:rPr>
  </w:style>
  <w:style w:type="character" w:styleId="WW8Num4z0">
    <w:name w:val="WW8Num4z0"/>
    <w:qFormat/>
    <w:rPr>
      <w:rFonts w:ascii="Arial Narrow" w:hAnsi="Arial Narrow" w:cs="Arial Narrow"/>
    </w:rPr>
  </w:style>
  <w:style w:type="character" w:styleId="WW8Num5z0">
    <w:name w:val="WW8Num5z0"/>
    <w:qFormat/>
    <w:rPr>
      <w:rFonts w:ascii="Arial Narrow" w:hAnsi="Arial Narrow" w:cs="Arial Narrow"/>
      <w:b/>
      <w:bCs/>
      <w:i/>
      <w:iCs/>
      <w:sz w:val="22"/>
      <w:szCs w:val="22"/>
    </w:rPr>
  </w:style>
  <w:style w:type="character" w:styleId="Predvolenpsmoodseku">
    <w:name w:val="Predvolené písmo odseku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Wingdings" w:hAnsi="Wingdings" w:cs="Wingdings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>
      <w:rFonts w:ascii="Wingdings" w:hAnsi="Wingdings" w:cs="Wingdings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10z0">
    <w:name w:val="WW8Num10z0"/>
    <w:qFormat/>
    <w:rPr>
      <w:rFonts w:ascii="Arial Narrow" w:hAnsi="Arial Narrow" w:eastAsia="Times New Roman" w:cs="Arial Narrow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ascii="Wingdings" w:hAnsi="Wingdings" w:cs="Wingdings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2z0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vanish w:val="false"/>
      <w:color w:val="000000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WW8Num14z0">
    <w:name w:val="WW8Num14z0"/>
    <w:qFormat/>
    <w:rPr>
      <w:rFonts w:ascii="Wingdings" w:hAnsi="Wingdings" w:cs="Wingdings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WW8Num14z3">
    <w:name w:val="WW8Num14z3"/>
    <w:qFormat/>
    <w:rPr>
      <w:rFonts w:ascii="Symbol" w:hAnsi="Symbol" w:cs="Symbol"/>
    </w:rPr>
  </w:style>
  <w:style w:type="character" w:styleId="WW8Num16z0">
    <w:name w:val="WW8Num16z0"/>
    <w:qFormat/>
    <w:rPr>
      <w:rFonts w:ascii="Wingdings" w:hAnsi="Wingdings" w:cs="Wingdings"/>
    </w:rPr>
  </w:style>
  <w:style w:type="character" w:styleId="WW8Num16z1">
    <w:name w:val="WW8Num16z1"/>
    <w:qFormat/>
    <w:rPr>
      <w:rFonts w:ascii="Courier New" w:hAnsi="Courier New" w:cs="Courier New"/>
    </w:rPr>
  </w:style>
  <w:style w:type="character" w:styleId="WW8Num16z3">
    <w:name w:val="WW8Num16z3"/>
    <w:qFormat/>
    <w:rPr>
      <w:rFonts w:ascii="Symbol" w:hAnsi="Symbol" w:cs="Symbol"/>
    </w:rPr>
  </w:style>
  <w:style w:type="character" w:styleId="Predvolenpsmoodseku1">
    <w:name w:val="Predvolené písmo odseku1"/>
    <w:qFormat/>
    <w:rPr/>
  </w:style>
  <w:style w:type="character" w:styleId="Nadpis1Char">
    <w:name w:val="Nadpis 1 Char"/>
    <w:qFormat/>
    <w:rPr>
      <w:b/>
      <w:bCs/>
      <w:sz w:val="24"/>
      <w:szCs w:val="24"/>
      <w:lang w:val="sk-SK"/>
    </w:rPr>
  </w:style>
  <w:style w:type="character" w:styleId="Nadpis2Char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>
    <w:name w:val="Text poznámky pod čiarou Char"/>
    <w:qFormat/>
    <w:rPr>
      <w:sz w:val="20"/>
      <w:szCs w:val="20"/>
    </w:rPr>
  </w:style>
  <w:style w:type="character" w:styleId="Znakyprepoznmkupodiarou">
    <w:name w:val="Znaky pre poznámku pod čiarou"/>
    <w:qFormat/>
    <w:rPr>
      <w:vertAlign w:val="superscript"/>
    </w:rPr>
  </w:style>
  <w:style w:type="character" w:styleId="PtaChar">
    <w:name w:val="Päta Char"/>
    <w:qFormat/>
    <w:rPr>
      <w:sz w:val="24"/>
      <w:szCs w:val="24"/>
    </w:rPr>
  </w:style>
  <w:style w:type="character" w:styleId="Slostrany">
    <w:name w:val="Číslo strany"/>
    <w:basedOn w:val="Predvolenpsmoodseku1"/>
    <w:rPr/>
  </w:style>
  <w:style w:type="character" w:styleId="NzovChar">
    <w:name w:val="Názov Char"/>
    <w:qFormat/>
    <w:rPr>
      <w:rFonts w:ascii="Arial Narrow" w:hAnsi="Arial Narrow" w:cs="Arial Narrow"/>
      <w:b/>
      <w:bCs/>
      <w:sz w:val="32"/>
      <w:szCs w:val="32"/>
      <w:lang w:val="sk-SK"/>
    </w:rPr>
  </w:style>
  <w:style w:type="character" w:styleId="HlavikaChar">
    <w:name w:val="Hlavička Char"/>
    <w:qFormat/>
    <w:rPr>
      <w:sz w:val="24"/>
      <w:szCs w:val="24"/>
      <w:lang w:val="sk-SK"/>
    </w:rPr>
  </w:style>
  <w:style w:type="character" w:styleId="ZkladntextChar">
    <w:name w:val="Základný text Char"/>
    <w:qFormat/>
    <w:rPr>
      <w:sz w:val="24"/>
      <w:szCs w:val="24"/>
      <w:lang w:val="en-US"/>
    </w:rPr>
  </w:style>
  <w:style w:type="character" w:styleId="Symbolypreslovanie">
    <w:name w:val="Symboly pre číslovanie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SimSun;宋体" w:cs="Mangal;Courier New"/>
      <w:sz w:val="28"/>
      <w:szCs w:val="28"/>
    </w:rPr>
  </w:style>
  <w:style w:type="paragraph" w:styleId="Telotextu">
    <w:name w:val="Telo textu"/>
    <w:basedOn w:val="Normal"/>
    <w:pPr>
      <w:widowControl w:val="false"/>
      <w:ind w:left="668" w:right="0" w:hanging="567"/>
    </w:pPr>
    <w:rPr>
      <w:rFonts w:cs="Times New Roman"/>
      <w:lang w:val="en-US"/>
    </w:rPr>
  </w:style>
  <w:style w:type="paragraph" w:styleId="Zoznam">
    <w:name w:val="Zoznam"/>
    <w:basedOn w:val="Telotextu"/>
    <w:pPr/>
    <w:rPr>
      <w:rFonts w:cs="Mangal;Courier New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;Courier New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;Courier New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;Courier New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spacing w:before="0" w:after="240"/>
      <w:jc w:val="both"/>
    </w:pPr>
    <w:rPr>
      <w:rFonts w:ascii="Times New Roman" w:hAnsi="Times New Roman" w:eastAsia="Arial" w:cs="Times New Roman"/>
      <w:color w:val="000000"/>
      <w:sz w:val="24"/>
      <w:szCs w:val="24"/>
      <w:lang w:val="sk-SK" w:eastAsia="zh-CN" w:bidi="ar-SA"/>
    </w:rPr>
  </w:style>
  <w:style w:type="paragraph" w:styleId="Poznmkapodiarou">
    <w:name w:val="Poznámka pod čiarou"/>
    <w:basedOn w:val="Normal"/>
    <w:pPr/>
    <w:rPr>
      <w:sz w:val="20"/>
      <w:szCs w:val="20"/>
    </w:rPr>
  </w:style>
  <w:style w:type="paragraph" w:styleId="Pta">
    <w:name w:val="Päta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WWNadpis">
    <w:name w:val="WW-Nadpis"/>
    <w:basedOn w:val="Normal"/>
    <w:next w:val="Normal"/>
    <w:qFormat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Podnzov">
    <w:name w:val="Podnázov"/>
    <w:basedOn w:val="Nadpis"/>
    <w:next w:val="Telotextu"/>
    <w:pPr>
      <w:jc w:val="center"/>
    </w:pPr>
    <w:rPr>
      <w:i/>
      <w:iCs/>
      <w:sz w:val="28"/>
      <w:szCs w:val="28"/>
    </w:rPr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lavička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  <w:style w:type="numbering" w:styleId="WW8Num3">
    <w:name w:val="WW8Num3"/>
  </w:style>
  <w:style w:type="numbering" w:styleId="WW8Num4">
    <w:name w:val="WW8Num4"/>
  </w:style>
  <w:style w:type="numbering" w:styleId="WW8Num5">
    <w:name w:val="WW8Num5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LibreOffice/5.1.1.3$Windows_x86 LibreOffice_project/89f508ef3ecebd2cfb8e1def0f0ba9a803b88a6d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2020-05-28T06:08:00Z</dcterms:created>
  <dc:creator>user</dc:creator>
  <dc:description/>
  <dc:language>sk-SK</dc:language>
  <cp:lastModifiedBy/>
  <cp:lastPrinted>2020-06-04T11:01:00Z</cp:lastPrinted>
  <dcterms:modified xsi:type="dcterms:W3CDTF">2021-03-18T17:55:14Z</dcterms:modified>
  <cp:revision>8</cp:revision>
  <dc:subject/>
  <dc:title>Návrh</dc:title>
</cp:coreProperties>
</file>