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5C41C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 </w:t>
      </w:r>
      <w:r>
        <w:rPr>
          <w:rFonts w:ascii="Times New Roman" w:hAnsi="Times New Roman" w:cs="Times New Roman"/>
          <w:b/>
          <w:color w:val="4472C4"/>
        </w:rPr>
        <w:tab/>
        <w:t>Všeobecné informácie</w:t>
      </w:r>
    </w:p>
    <w:p w14:paraId="34D13B5E" w14:textId="77777777" w:rsidR="00B849DF" w:rsidRDefault="00B849DF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9DF4CC7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I.1 </w:t>
      </w:r>
      <w:r>
        <w:rPr>
          <w:rFonts w:ascii="Times New Roman" w:hAnsi="Times New Roman" w:cs="Times New Roman"/>
          <w:b/>
        </w:rPr>
        <w:tab/>
        <w:t>Obchodné meno účtovnej jednotky:</w:t>
      </w:r>
    </w:p>
    <w:p w14:paraId="6691610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IZOL MEN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243671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Sídlo účtovnej jednotky:</w:t>
      </w:r>
    </w:p>
    <w:p w14:paraId="1ED69D4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Dlhá 1101/1</w:t>
      </w:r>
    </w:p>
    <w:p w14:paraId="2A5C37A9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925 53 Pata</w:t>
      </w:r>
    </w:p>
    <w:p w14:paraId="2ED00ED6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E34F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Opis hospodárskej činnosti účtovnej jednotky:</w:t>
      </w:r>
    </w:p>
    <w:p w14:paraId="6E7E370C" w14:textId="77777777" w:rsidR="00B849DF" w:rsidRDefault="00BF7A61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Ostatné špecializované práce</w:t>
      </w:r>
    </w:p>
    <w:p w14:paraId="7B12B02E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Kúpa tovaru na účely jeho predaja konečnému spotrebiteľovi ( maloobchod )</w:t>
      </w:r>
    </w:p>
    <w:p w14:paraId="16FDD969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8A5EFF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E6B2BEA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0806A3A" w14:textId="2A07274A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Účtovná závierka Spoločnosti k 31. decembru 20</w:t>
      </w:r>
      <w:r w:rsidR="006069F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069FE">
        <w:rPr>
          <w:rFonts w:ascii="Times New Roman" w:hAnsi="Times New Roman" w:cs="Times New Roman"/>
        </w:rPr>
        <w:t>23.03.2021</w:t>
      </w:r>
    </w:p>
    <w:p w14:paraId="1978121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E5A6F6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703F45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3382225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82A461" w14:textId="77777777" w:rsidR="00B849DF" w:rsidRDefault="00BF7A6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</w:pPr>
      <w:r>
        <w:rPr>
          <w:rFonts w:ascii="Segoe UI Symbol" w:eastAsia="MS Gothic" w:hAnsi="Segoe UI Symbol" w:cs="Segoe UI Symbol"/>
        </w:rPr>
        <w:t>☒</w:t>
      </w:r>
      <w:r>
        <w:rPr>
          <w:rFonts w:ascii="Times New Roman" w:eastAsia="MS Gothic" w:hAnsi="Times New Roman" w:cs="Times New Roman"/>
        </w:rPr>
        <w:t xml:space="preserve"> Riadna    </w:t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Mimoriadna</w:t>
      </w:r>
    </w:p>
    <w:p w14:paraId="0DE90D42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AE65BB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D819F15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>Informácie o skupine účtovných jednotiek</w:t>
      </w:r>
    </w:p>
    <w:p w14:paraId="70C0D4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             Nie je - nemá</w:t>
      </w:r>
    </w:p>
    <w:p w14:paraId="30B46787" w14:textId="77777777" w:rsidR="00B849DF" w:rsidRDefault="00BF7A61">
      <w:pPr>
        <w:pStyle w:val="Standard"/>
        <w:spacing w:after="0" w:line="276" w:lineRule="auto"/>
        <w:ind w:left="709" w:hanging="709"/>
        <w:jc w:val="both"/>
      </w:pPr>
      <w:r>
        <w:rPr>
          <w:rFonts w:ascii="Times New Roman" w:hAnsi="Times New Roman" w:cs="Times New Roman"/>
          <w:b/>
        </w:rPr>
        <w:tab/>
      </w:r>
    </w:p>
    <w:p w14:paraId="13F47625" w14:textId="77777777" w:rsidR="00B849DF" w:rsidRDefault="00B849DF">
      <w:pPr>
        <w:pStyle w:val="Standard"/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4652396" w14:textId="77777777" w:rsidR="00B849DF" w:rsidRDefault="00B849DF">
      <w:pPr>
        <w:pStyle w:val="Standard"/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130988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W w:w="93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5"/>
        <w:gridCol w:w="2410"/>
        <w:gridCol w:w="2789"/>
      </w:tblGrid>
      <w:tr w:rsidR="00B849DF" w14:paraId="4E7B913C" w14:textId="77777777"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190A8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463D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5764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B849DF" w14:paraId="38BE21AE" w14:textId="77777777">
        <w:trPr>
          <w:trHeight w:val="454"/>
        </w:trPr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9903" w14:textId="77777777" w:rsidR="00B849DF" w:rsidRDefault="00BF7A61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Počet zamestnancov počas účtovného obdobia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E0FB6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D8A45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11ED4EB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6DB2AD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0844EA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5489CA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AF6042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</w:t>
      </w:r>
      <w:r>
        <w:rPr>
          <w:rFonts w:ascii="Times New Roman" w:hAnsi="Times New Roman" w:cs="Times New Roman"/>
          <w:b/>
          <w:color w:val="4472C4"/>
        </w:rPr>
        <w:tab/>
        <w:t>Informácie o orgánoch spoločnosti</w:t>
      </w:r>
    </w:p>
    <w:p w14:paraId="6C0C7B6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5E7C7F6" w14:textId="0CB8CE14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>Členom štatutárneho orgánu, ani členom dozorných orgánov  neboli v roku 20</w:t>
      </w:r>
      <w:r w:rsidR="006069F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6069F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 žiadne).</w:t>
      </w:r>
    </w:p>
    <w:p w14:paraId="17EEE73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4329AB7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0A480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EFE5A4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B49922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III</w:t>
      </w:r>
      <w:r>
        <w:rPr>
          <w:rFonts w:ascii="Times New Roman" w:hAnsi="Times New Roman" w:cs="Times New Roman"/>
          <w:b/>
          <w:color w:val="4472C4"/>
        </w:rPr>
        <w:tab/>
        <w:t>Informácie o prijatých postupoch</w:t>
      </w:r>
    </w:p>
    <w:p w14:paraId="3077D5C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III. 1</w:t>
      </w:r>
      <w:r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05017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☒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 xml:space="preserve">áno 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☐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>nie</w:t>
      </w:r>
    </w:p>
    <w:p w14:paraId="1BAE8A70" w14:textId="77777777" w:rsidR="00B849DF" w:rsidRDefault="00BF7A61">
      <w:pPr>
        <w:pStyle w:val="Standard"/>
        <w:spacing w:after="0" w:line="276" w:lineRule="auto"/>
        <w:ind w:left="708"/>
        <w:jc w:val="both"/>
      </w:pPr>
      <w:r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</w:rPr>
        <w:t>going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concern</w:t>
      </w:r>
      <w:proofErr w:type="spellEnd"/>
      <w:r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201B88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671163CB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III. 2  </w:t>
      </w:r>
      <w:r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12E3E89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21D4CE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nakupovaný sa oceňuje obstarávacou cenou, ktorá zahŕňa cenu obstarania a náklady súvisiace s obstaraním (clo, prepravu, montáž, poistné a pod.).</w:t>
      </w:r>
    </w:p>
    <w:p w14:paraId="5AED9D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CBBFCD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B89FEC0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FEFF7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7C9A56E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4FFB6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14:paraId="02D2C5A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F57E0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6F0644D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142"/>
        <w:gridCol w:w="1984"/>
        <w:gridCol w:w="140"/>
        <w:gridCol w:w="1701"/>
        <w:gridCol w:w="141"/>
        <w:gridCol w:w="2271"/>
      </w:tblGrid>
      <w:tr w:rsidR="00B849DF" w14:paraId="00277F0B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4D0B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6CD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EC2E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7560E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D3DE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C0F66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B849DF" w14:paraId="143381F5" w14:textId="77777777">
        <w:trPr>
          <w:trHeight w:val="250"/>
        </w:trPr>
        <w:tc>
          <w:tcPr>
            <w:tcW w:w="2975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18B5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A2607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1919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0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B974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838B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43DD0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4281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B849DF" w14:paraId="42E88421" w14:textId="77777777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D47E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vlastné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8D4A9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0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72F6C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729A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96133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6B715A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B849DF" w14:paraId="4EDA7432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21B82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A3C6E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117D7B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07A61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7A672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D393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849DF" w14:paraId="6A32DA99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A86FA4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CFB96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0766B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FBBE29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BB22A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2C5E85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B849DF" w14:paraId="3E59FDDE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F907F5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31C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655D77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BF420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559975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ECED58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B849DF" w14:paraId="4CAF3680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6D10A2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23C84D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C82DAF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8D41D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2439A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C3FC33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8CA9DA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ab/>
      </w:r>
    </w:p>
    <w:p w14:paraId="100EB848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FC06705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33CDB8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  <w:i/>
        </w:rPr>
        <w:t>Posúdenie zníženia hodnoty majetku</w:t>
      </w:r>
    </w:p>
    <w:p w14:paraId="40BE59B4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18426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D1939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Faktory, ktoré sú považované za dôležité pri  posudzovaní zníženia hodnoty majetku sú:</w:t>
      </w:r>
    </w:p>
    <w:p w14:paraId="7416D646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technologický pokrok,</w:t>
      </w:r>
    </w:p>
    <w:p w14:paraId="2B2728E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58E7EF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5C6704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zastaralosť</w:t>
      </w:r>
      <w:proofErr w:type="spellEnd"/>
      <w:r>
        <w:rPr>
          <w:rFonts w:ascii="Times New Roman" w:hAnsi="Times New Roman" w:cs="Times New Roman"/>
        </w:rPr>
        <w:t xml:space="preserve"> produktov.</w:t>
      </w:r>
    </w:p>
    <w:p w14:paraId="48CE0CF7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D429E9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58A2BE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6C68175B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7054F112" w14:textId="77777777" w:rsidR="00B849DF" w:rsidRDefault="00BF7A61">
      <w:pPr>
        <w:pStyle w:val="Standard"/>
        <w:spacing w:after="0" w:line="276" w:lineRule="auto"/>
        <w:ind w:left="992" w:hanging="992"/>
        <w:jc w:val="both"/>
      </w:pPr>
      <w:r>
        <w:rPr>
          <w:rFonts w:ascii="Times New Roman" w:eastAsia="MS Gothic" w:hAnsi="Times New Roman" w:cs="Times New Roman"/>
          <w:b/>
        </w:rPr>
        <w:t>III. 2 b)</w:t>
      </w:r>
      <w:r>
        <w:rPr>
          <w:rFonts w:ascii="Times New Roman" w:eastAsia="MS Gothic" w:hAnsi="Times New Roman" w:cs="Times New Roman"/>
          <w:b/>
        </w:rPr>
        <w:tab/>
        <w:t>Dotácie poskytnuté na obstaranie majetku:</w:t>
      </w:r>
    </w:p>
    <w:p w14:paraId="05B138DA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eastAsia="MS Gothic" w:hAnsi="Times New Roman" w:cs="Times New Roman"/>
          <w:b/>
        </w:rPr>
        <w:t>žiadne</w:t>
      </w:r>
    </w:p>
    <w:p w14:paraId="7ADEB9AA" w14:textId="77777777" w:rsidR="00B849DF" w:rsidRDefault="00B849DF">
      <w:pPr>
        <w:pStyle w:val="Standard"/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14:paraId="4D85B0F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E381B3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3</w:t>
      </w:r>
      <w:r>
        <w:rPr>
          <w:rFonts w:ascii="Times New Roman" w:eastAsia="MS Gothic" w:hAnsi="Times New Roman" w:cs="Times New Roman"/>
          <w:b/>
        </w:rPr>
        <w:tab/>
        <w:t>Pohľadávky</w:t>
      </w:r>
    </w:p>
    <w:p w14:paraId="5EF374CF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CD51FA9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72C76E7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FDA53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ab/>
        <w:t>Finančné účty</w:t>
      </w:r>
    </w:p>
    <w:p w14:paraId="55D3C840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8B62E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Finančné účty tvorí peňažná hotovosť, ceniny, zostatky na bankových účtoch a oceňujú sa menovitou hodnotou. Zníženie ich hodnoty sa vyjadruje opravnou položkou.</w:t>
      </w:r>
    </w:p>
    <w:p w14:paraId="402EF386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64412F39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III.5</w:t>
      </w:r>
      <w:r>
        <w:rPr>
          <w:rFonts w:ascii="Times New Roman" w:eastAsia="MS Gothic" w:hAnsi="Times New Roman" w:cs="Times New Roman"/>
          <w:b/>
        </w:rPr>
        <w:tab/>
        <w:t>Náklady budúcich období a príjmy budúcich období</w:t>
      </w:r>
    </w:p>
    <w:p w14:paraId="33BD8B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9AB04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Náklady budúcich období a príjmy budúcich období sa vykazujú vo výške, ktorá je potrebná na dodržanie zásady vecnej a časovej súvislosti s účtovným obdobím.</w:t>
      </w:r>
    </w:p>
    <w:p w14:paraId="00D7DE2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472D848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III.6</w:t>
      </w:r>
      <w:r>
        <w:rPr>
          <w:rFonts w:ascii="Times New Roman" w:eastAsia="MS Gothic" w:hAnsi="Times New Roman" w:cs="Times New Roman"/>
          <w:b/>
        </w:rPr>
        <w:tab/>
        <w:t>Rezervy</w:t>
      </w:r>
    </w:p>
    <w:p w14:paraId="74E038F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8F750C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2E38AF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E55D11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0D42FFC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5C27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Tvorba rezervy na bonusy, rabaty, skontá a vrátenie kúpnej ceny pri reklamácii sa účtuje ako zníženie pôvodne dosiahnutých výnosov so súvzťažným zápisom v prospech účtu rezerv.</w:t>
      </w:r>
    </w:p>
    <w:p w14:paraId="107386E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0A6E4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Rezervy na nevyfakturované dodávky majetku sa nevykazujú s vplyvom na výsledok hospodárenia a oceňujú sa v odhadovanej výške záväzku.</w:t>
      </w:r>
    </w:p>
    <w:p w14:paraId="1A34B1DF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2986D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III.7</w:t>
      </w:r>
      <w:r>
        <w:rPr>
          <w:rFonts w:ascii="Times New Roman" w:eastAsia="MS Gothic" w:hAnsi="Times New Roman" w:cs="Times New Roman"/>
          <w:b/>
        </w:rPr>
        <w:tab/>
        <w:t>Záväzky</w:t>
      </w:r>
    </w:p>
    <w:p w14:paraId="5CBF47D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32E1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801339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2587D1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III.8 </w:t>
      </w:r>
      <w:r>
        <w:rPr>
          <w:rFonts w:ascii="Times New Roman" w:eastAsia="MS Gothic" w:hAnsi="Times New Roman" w:cs="Times New Roman"/>
          <w:b/>
        </w:rPr>
        <w:tab/>
        <w:t>Výdavky budúcich období a výnosy budúcich období</w:t>
      </w:r>
    </w:p>
    <w:p w14:paraId="07D833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C49B3E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Výdavky budúcich období a výnosy budúcich období sa vykazujú vo výške, ktorá je potrebná na dodržanie zásady vecnej a časovej súvislosti s účtovným obdobím.</w:t>
      </w:r>
    </w:p>
    <w:p w14:paraId="02881F08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1B358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9 </w:t>
      </w:r>
      <w:r>
        <w:rPr>
          <w:rFonts w:ascii="Times New Roman" w:eastAsia="MS Gothic" w:hAnsi="Times New Roman" w:cs="Times New Roman"/>
          <w:b/>
        </w:rPr>
        <w:tab/>
        <w:t>Výnosy</w:t>
      </w:r>
    </w:p>
    <w:p w14:paraId="1DE11154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627E1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8CD3A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CA0CBEB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 xml:space="preserve">Tržby z predaja výrobkov a tovaru sa vykazujú v deň splnenia dodávky podľa Obchodného zákonníka, podľa </w:t>
      </w:r>
      <w:proofErr w:type="spellStart"/>
      <w:r>
        <w:rPr>
          <w:rFonts w:ascii="Times New Roman" w:eastAsia="MS Gothic" w:hAnsi="Times New Roman" w:cs="Times New Roman"/>
        </w:rPr>
        <w:t>Incoterms</w:t>
      </w:r>
      <w:proofErr w:type="spellEnd"/>
      <w:r>
        <w:rPr>
          <w:rFonts w:ascii="Times New Roman" w:eastAsia="MS Gothic" w:hAnsi="Times New Roman" w:cs="Times New Roman"/>
        </w:rPr>
        <w:t xml:space="preserve"> alebo iných podmienok dohodnutých v zmluve.</w:t>
      </w:r>
    </w:p>
    <w:p w14:paraId="4FBBC1D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10792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služieb sa vykazujú v účtovnom období, v ktorom boli služby poskytnuté.</w:t>
      </w:r>
    </w:p>
    <w:p w14:paraId="4A7D7A4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Výnosové úroky sa účtujú rovnomerne v účtovných obdobiach, ktorých sa vecne a časovo týkajú / na základe časového rozlíšenia metódou efektívnej úrokovej miery.</w:t>
      </w:r>
    </w:p>
    <w:p w14:paraId="4AC855CC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2905DD0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Výnosy z dividend sa zaúčtujú v čase vzniku práva Spoločnosti na prijatie platby.</w:t>
      </w:r>
    </w:p>
    <w:p w14:paraId="776B9A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62070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578290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10 </w:t>
      </w:r>
      <w:r>
        <w:rPr>
          <w:rFonts w:ascii="Times New Roman" w:eastAsia="MS Gothic" w:hAnsi="Times New Roman" w:cs="Times New Roman"/>
          <w:b/>
        </w:rPr>
        <w:tab/>
        <w:t>Porovnateľné údaje</w:t>
      </w:r>
    </w:p>
    <w:p w14:paraId="7DCB885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3ABA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5C02C71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 dôsledku zmeny zákona o dani z príjmov je rezerva na overenie účtovnej závierky a zostavenie daňového priznania k 31. decembru 2018 vykázaná ako krátkodobá ostatná rezerva, k 31. decembru 2017 ako krátkodobá zákonná rezerva.</w:t>
      </w:r>
    </w:p>
    <w:p w14:paraId="719BE3E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82805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lastRenderedPageBreak/>
        <w:t>Čl. IV</w:t>
      </w:r>
      <w:r>
        <w:rPr>
          <w:rFonts w:ascii="Times New Roman" w:hAnsi="Times New Roman" w:cs="Times New Roman"/>
          <w:b/>
          <w:color w:val="4472C4"/>
        </w:rPr>
        <w:tab/>
        <w:t>Informácie, ktoré vysvetľujú a dopĺňajú položky súvahy a výkazu ziskov a strát</w:t>
      </w:r>
    </w:p>
    <w:p w14:paraId="1D8158DA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63A6A3B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IV. 1</w:t>
      </w:r>
      <w:r>
        <w:rPr>
          <w:rFonts w:ascii="Times New Roman" w:eastAsia="MS Gothic" w:hAnsi="Times New Roman" w:cs="Times New Roman"/>
          <w:b/>
        </w:rPr>
        <w:tab/>
        <w:t>Informácie o záväzkoch</w:t>
      </w:r>
    </w:p>
    <w:p w14:paraId="0A0A1468" w14:textId="77777777" w:rsidR="00B849DF" w:rsidRDefault="00B849DF">
      <w:pPr>
        <w:pStyle w:val="Textbody"/>
        <w:ind w:left="0"/>
        <w:rPr>
          <w:sz w:val="22"/>
          <w:szCs w:val="22"/>
        </w:rPr>
      </w:pPr>
    </w:p>
    <w:p w14:paraId="3FBD8B62" w14:textId="77777777" w:rsidR="00B849DF" w:rsidRDefault="00BF7A61">
      <w:pPr>
        <w:pStyle w:val="Textbody"/>
        <w:ind w:left="0"/>
      </w:pPr>
      <w:r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59911E1" w14:textId="77777777" w:rsidR="00B849DF" w:rsidRDefault="00B849DF">
      <w:pPr>
        <w:pStyle w:val="Textbody"/>
      </w:pPr>
      <w:bookmarkStart w:id="0" w:name="_MON_1450595791"/>
      <w:bookmarkEnd w:id="0"/>
    </w:p>
    <w:bookmarkStart w:id="1" w:name="_MON_1450595791"/>
    <w:bookmarkEnd w:id="1"/>
    <w:p w14:paraId="3C4FD86E" w14:textId="2B3CA06D" w:rsidR="00B849DF" w:rsidRDefault="006069FE">
      <w:pPr>
        <w:pStyle w:val="Standard"/>
        <w:ind w:left="426"/>
      </w:pPr>
      <w:r w:rsidRPr="00F730ED">
        <w:rPr>
          <w:rFonts w:ascii="Times New Roman" w:hAnsi="Times New Roman" w:cs="Times New Roman"/>
        </w:rPr>
        <w:object w:dxaOrig="8965" w:dyaOrig="2395" w14:anchorId="50A36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9.9pt;height:131.25pt" o:ole="" o:preferrelative="f">
            <v:imagedata r:id="rId7" o:title=""/>
            <o:lock v:ext="edit" aspectratio="f"/>
          </v:shape>
          <o:OLEObject Type="Embed" ProgID="Excel.Sheet.12" ShapeID="_x0000_i1031" DrawAspect="Content" ObjectID="_1677919579" r:id="rId8"/>
        </w:object>
      </w:r>
    </w:p>
    <w:p w14:paraId="5E2EB8D2" w14:textId="77777777" w:rsidR="00B849DF" w:rsidRDefault="00BF7A61">
      <w:pPr>
        <w:pStyle w:val="Standard"/>
      </w:pPr>
      <w:r>
        <w:rPr>
          <w:rFonts w:ascii="Times New Roman" w:hAnsi="Times New Roman" w:cs="Times New Roman"/>
          <w:b/>
          <w:color w:val="4472C4"/>
        </w:rPr>
        <w:t>Čl. V</w:t>
      </w:r>
      <w:r>
        <w:rPr>
          <w:rFonts w:ascii="Times New Roman" w:hAnsi="Times New Roman" w:cs="Times New Roman"/>
          <w:b/>
          <w:color w:val="4472C4"/>
        </w:rPr>
        <w:tab/>
        <w:t>Informácie o iných aktívach a iných pasívach</w:t>
      </w:r>
    </w:p>
    <w:p w14:paraId="4175275B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73AA72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>Informácie o podmienenom majetku</w:t>
      </w:r>
    </w:p>
    <w:p w14:paraId="5E5EAFD4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</w:rPr>
        <w:t>Spoločnosť neeviduje podmienený majetok.</w:t>
      </w:r>
    </w:p>
    <w:p w14:paraId="718C3EBD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2C4FD9F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0E6A862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>Informácie o podmienených záväzkoch</w:t>
      </w:r>
    </w:p>
    <w:p w14:paraId="27A9EF7F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D55A6B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19EA85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54FF9FF0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3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p w14:paraId="6DA78DF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 xml:space="preserve">                   - žiadne</w:t>
      </w:r>
    </w:p>
    <w:p w14:paraId="4FFDCCB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/>
        </w:rPr>
      </w:pPr>
    </w:p>
    <w:p w14:paraId="56A2704D" w14:textId="77777777" w:rsidR="00B849DF" w:rsidRDefault="00BF7A61">
      <w:pPr>
        <w:pStyle w:val="Standard"/>
        <w:spacing w:after="0" w:line="276" w:lineRule="auto"/>
        <w:ind w:left="993" w:hanging="993"/>
      </w:pPr>
      <w:r>
        <w:rPr>
          <w:rFonts w:ascii="Times New Roman" w:hAnsi="Times New Roman" w:cs="Times New Roman"/>
          <w:b/>
          <w:color w:val="4472C4"/>
        </w:rPr>
        <w:t>Čl. VI</w:t>
      </w:r>
      <w:r>
        <w:rPr>
          <w:rFonts w:ascii="Times New Roman" w:hAnsi="Times New Roman" w:cs="Times New Roman"/>
          <w:b/>
          <w:color w:val="4472C4"/>
        </w:rPr>
        <w:tab/>
        <w:t> Udalosti, ktoré nastali po dni, ku ktorému sa zostavuje účtovná závierka</w:t>
      </w:r>
    </w:p>
    <w:p w14:paraId="30BB172F" w14:textId="77777777" w:rsidR="00B849DF" w:rsidRDefault="00BF7A61">
      <w:pPr>
        <w:pStyle w:val="Standard"/>
        <w:spacing w:after="0" w:line="276" w:lineRule="auto"/>
        <w:ind w:left="1134" w:hanging="1134"/>
        <w:jc w:val="both"/>
      </w:pPr>
      <w:r>
        <w:rPr>
          <w:rFonts w:ascii="Times New Roman" w:eastAsia="MS Gothic" w:hAnsi="Times New Roman" w:cs="Times New Roman"/>
          <w:b/>
        </w:rPr>
        <w:t>VI. a) – j)   Udalosti, ktoré nastali po dni, ku ktorému sa zostavuje účtovná závierka</w:t>
      </w:r>
    </w:p>
    <w:p w14:paraId="14753E6B" w14:textId="77777777" w:rsidR="00B849DF" w:rsidRDefault="00B849DF">
      <w:pPr>
        <w:pStyle w:val="Standard"/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0E84843" w14:textId="5A713AD0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6069FE">
        <w:rPr>
          <w:rFonts w:ascii="Times New Roman" w:eastAsia="MS Gothic" w:hAnsi="Times New Roman" w:cs="Times New Roman"/>
        </w:rPr>
        <w:t>20</w:t>
      </w:r>
      <w:r>
        <w:rPr>
          <w:rFonts w:ascii="Times New Roman" w:eastAsia="MS Gothic" w:hAnsi="Times New Roman" w:cs="Times New Roman"/>
        </w:rPr>
        <w:t xml:space="preserve"> do 31. decembra 20</w:t>
      </w:r>
      <w:r w:rsidR="006069FE">
        <w:rPr>
          <w:rFonts w:ascii="Times New Roman" w:eastAsia="MS Gothic" w:hAnsi="Times New Roman" w:cs="Times New Roman"/>
        </w:rPr>
        <w:t>20</w:t>
      </w:r>
      <w:r>
        <w:rPr>
          <w:rFonts w:ascii="Times New Roman" w:eastAsia="MS Gothic" w:hAnsi="Times New Roman" w:cs="Times New Roman"/>
        </w:rPr>
        <w:t>.</w:t>
      </w:r>
    </w:p>
    <w:p w14:paraId="1A2937CA" w14:textId="77777777" w:rsidR="00B849DF" w:rsidRDefault="00B849DF">
      <w:pPr>
        <w:pStyle w:val="Standard"/>
      </w:pPr>
    </w:p>
    <w:sectPr w:rsidR="00B849D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E3A98" w14:textId="77777777" w:rsidR="009525D7" w:rsidRDefault="009525D7">
      <w:r>
        <w:separator/>
      </w:r>
    </w:p>
  </w:endnote>
  <w:endnote w:type="continuationSeparator" w:id="0">
    <w:p w14:paraId="334D5538" w14:textId="77777777" w:rsidR="009525D7" w:rsidRDefault="0095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D4705" w14:textId="77777777" w:rsidR="00931C2C" w:rsidRDefault="00BF7A61">
    <w:pPr>
      <w:pStyle w:val="Pta"/>
      <w:jc w:val="center"/>
    </w:pPr>
    <w:r>
      <w:rPr>
        <w:rFonts w:ascii="Times New Roman" w:hAnsi="Times New Roman" w:cs="Times New Roman"/>
        <w:color w:val="808080"/>
        <w:sz w:val="16"/>
        <w:szCs w:val="16"/>
      </w:rPr>
      <w:t xml:space="preserve">Strana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PAGE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4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  <w:r>
      <w:rPr>
        <w:rFonts w:ascii="Times New Roman" w:hAnsi="Times New Roman" w:cs="Times New Roman"/>
        <w:color w:val="808080"/>
        <w:sz w:val="16"/>
        <w:szCs w:val="16"/>
      </w:rPr>
      <w:t xml:space="preserve"> z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NUMPAGES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5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435DA" w14:textId="77777777" w:rsidR="009525D7" w:rsidRDefault="009525D7">
      <w:r>
        <w:rPr>
          <w:color w:val="000000"/>
        </w:rPr>
        <w:separator/>
      </w:r>
    </w:p>
  </w:footnote>
  <w:footnote w:type="continuationSeparator" w:id="0">
    <w:p w14:paraId="7C7C2BC4" w14:textId="77777777" w:rsidR="009525D7" w:rsidRDefault="00952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7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96"/>
      <w:gridCol w:w="735"/>
      <w:gridCol w:w="307"/>
      <w:gridCol w:w="307"/>
      <w:gridCol w:w="308"/>
      <w:gridCol w:w="307"/>
      <w:gridCol w:w="307"/>
      <w:gridCol w:w="307"/>
      <w:gridCol w:w="307"/>
      <w:gridCol w:w="307"/>
      <w:gridCol w:w="897"/>
      <w:gridCol w:w="308"/>
      <w:gridCol w:w="307"/>
      <w:gridCol w:w="307"/>
      <w:gridCol w:w="307"/>
      <w:gridCol w:w="307"/>
      <w:gridCol w:w="307"/>
      <w:gridCol w:w="307"/>
      <w:gridCol w:w="307"/>
      <w:gridCol w:w="307"/>
      <w:gridCol w:w="322"/>
    </w:tblGrid>
    <w:tr w:rsidR="00931C2C" w14:paraId="0130D004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68D08C7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B96A61D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6F8EFC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BCD3B53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69E101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E9B4F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D013CB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93FEBB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0A0174F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AB2790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9198E82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7D113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D09DB06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E243492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E019223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D50456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B831720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F1ADB87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6486AA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F8ED93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2FC1F6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931C2C" w14:paraId="2751F65F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A8CE2B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EFA219D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CE848BF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3B9084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623FC96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9DB7CB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A0D485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05A9D8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516770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CF9EE5C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3A1282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E4E0A3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8ABE23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5ACEE00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6335310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A0662AE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048D32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3A984CA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9581A1E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3EEB77B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1C791" w14:textId="77777777" w:rsidR="00931C2C" w:rsidRDefault="009525D7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</w:tr>
  </w:tbl>
  <w:p w14:paraId="0E65552F" w14:textId="77777777" w:rsidR="00931C2C" w:rsidRDefault="009525D7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6379E"/>
    <w:multiLevelType w:val="multilevel"/>
    <w:tmpl w:val="C2024DE6"/>
    <w:styleLink w:val="WWNum1"/>
    <w:lvl w:ilvl="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39AE08D4"/>
    <w:multiLevelType w:val="multilevel"/>
    <w:tmpl w:val="DAD22642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DF"/>
    <w:rsid w:val="006069FE"/>
    <w:rsid w:val="009525D7"/>
    <w:rsid w:val="009A2883"/>
    <w:rsid w:val="00B849DF"/>
    <w:rsid w:val="00B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44C8"/>
  <w15:docId w15:val="{E94A7F52-176A-4107-91A9-DB9E7D54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F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Zoznam">
    <w:name w:val="List"/>
    <w:basedOn w:val="Textbody"/>
    <w:rPr>
      <w:rFonts w:cs="Arial"/>
      <w:sz w:val="24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Odsekzoznamu">
    <w:name w:val="List Paragraph"/>
    <w:basedOn w:val="Standard"/>
    <w:pPr>
      <w:ind w:left="720"/>
    </w:pPr>
  </w:style>
  <w:style w:type="paragraph" w:styleId="Hlavika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ulka">
    <w:name w:val="Tabulka"/>
    <w:basedOn w:val="Standar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sz w:val="18"/>
      <w:szCs w:val="20"/>
    </w:rPr>
  </w:style>
  <w:style w:type="character" w:customStyle="1" w:styleId="TextbublinyChar">
    <w:name w:val="Text bubliny Char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rFonts w:ascii="Times New Roman" w:eastAsia="Calibri" w:hAnsi="Times New Roman" w:cs="Times New Roman"/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numbering" w:customStyle="1" w:styleId="Bezzoznamu1">
    <w:name w:val="Bez zoznamu1"/>
    <w:basedOn w:val="Bezzoznamu"/>
    <w:pPr>
      <w:numPr>
        <w:numId w:val="1"/>
      </w:numPr>
    </w:pPr>
  </w:style>
  <w:style w:type="numbering" w:customStyle="1" w:styleId="WWNum1">
    <w:name w:val="WWNum1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1459</Words>
  <Characters>8318</Characters>
  <Application>Microsoft Office Word</Application>
  <DocSecurity>0</DocSecurity>
  <Lines>69</Lines>
  <Paragraphs>19</Paragraphs>
  <ScaleCrop>false</ScaleCrop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Miklošíková</dc:creator>
  <cp:lastModifiedBy>Milena</cp:lastModifiedBy>
  <cp:revision>3</cp:revision>
  <cp:lastPrinted>2020-03-30T11:18:00Z</cp:lastPrinted>
  <dcterms:created xsi:type="dcterms:W3CDTF">2020-03-30T11:18:00Z</dcterms:created>
  <dcterms:modified xsi:type="dcterms:W3CDTF">2021-03-22T11:00:00Z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