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HOLZEX.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Športová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č.1, 98403 Lučenec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  31596509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  2020465106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Okresný súd Banská Bystrica,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1559/S,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Ján Toth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HOLZEX,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Športová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č.1,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03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HOLZEX, s.r.o. (ďalej len Spoločnosť), bola založená 09.12.1993  a do obchodného registra bola zapísaná 09.12.1993 ako spoločnosť HOLZEX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čistenie pozemkov od drevín a iných porastov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čňovanie stavieb a ich zmien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tesárstvo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 odborného a lesného hospodárstva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Toth Ing.</w:t>
        <w:tab/>
        <w:t xml:space="preserve">45808.-EUR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                      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9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   1</w:t>
        <w:tab/>
        <w:t xml:space="preserve">1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 1                           1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2020 Spoločnosť doúčtovala vyslú faktúru z roku 2019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6556,50, ktorá nepatrí do výnosov 2020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6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2020 Spoločnosť nenakupovala takýto majetok.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0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2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4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6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na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8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sam.hnut.veci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272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1552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2020 zaúčtovala vyslú faktúru z roku 2019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68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1248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10378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41626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1248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10378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41626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31248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2272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33520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8106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8106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2020</w:t>
        <w:tab/>
        <w:t xml:space="preserve">2019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20418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14801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19706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14041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9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  <w:t xml:space="preserve">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9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12636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</w:t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9545</w:t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  <w:t xml:space="preserve">0</w:t>
        <w:tab/>
        <w:t xml:space="preserve">    0                        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87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-340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v účtovnom období 2020  poskytla Tatra banka a.s. úver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vo výške 25.000,- EUR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1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Tóth Ing.                               45808                </w:t>
        <w:tab/>
        <w:t xml:space="preserve">100 %</w:t>
      </w:r>
    </w:p>
    <w:p>
      <w:pPr>
        <w:tabs>
          <w:tab w:val="left" w:pos="7250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4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v hodnote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49935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.-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8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poskytla krátkodobú pôžičku konateľovi spoločnosti vo výške 84000.- Eur.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5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7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9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1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zamestnáva  1 pracovníka.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6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26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97422.-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29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2020  vykázala náklady vo výške 47503.- Eur</w:t>
      </w:r>
    </w:p>
    <w:p>
      <w:pPr>
        <w:spacing w:before="0" w:after="200" w:line="276"/>
        <w:ind w:right="0" w:left="70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0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15888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7688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10698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9286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12469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1308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666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9801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num w:numId="14">
    <w:abstractNumId w:val="186"/>
  </w:num>
  <w:num w:numId="16">
    <w:abstractNumId w:val="180"/>
  </w:num>
  <w:num w:numId="18">
    <w:abstractNumId w:val="174"/>
  </w:num>
  <w:num w:numId="20">
    <w:abstractNumId w:val="168"/>
  </w:num>
  <w:num w:numId="23">
    <w:abstractNumId w:val="162"/>
  </w:num>
  <w:num w:numId="27">
    <w:abstractNumId w:val="156"/>
  </w:num>
  <w:num w:numId="32">
    <w:abstractNumId w:val="150"/>
  </w:num>
  <w:num w:numId="34">
    <w:abstractNumId w:val="144"/>
  </w:num>
  <w:num w:numId="36">
    <w:abstractNumId w:val="138"/>
  </w:num>
  <w:num w:numId="40">
    <w:abstractNumId w:val="132"/>
  </w:num>
  <w:num w:numId="42">
    <w:abstractNumId w:val="126"/>
  </w:num>
  <w:num w:numId="44">
    <w:abstractNumId w:val="120"/>
  </w:num>
  <w:num w:numId="46">
    <w:abstractNumId w:val="114"/>
  </w:num>
  <w:num w:numId="48">
    <w:abstractNumId w:val="108"/>
  </w:num>
  <w:num w:numId="59">
    <w:abstractNumId w:val="102"/>
  </w:num>
  <w:num w:numId="62">
    <w:abstractNumId w:val="96"/>
  </w:num>
  <w:num w:numId="64">
    <w:abstractNumId w:val="90"/>
  </w:num>
  <w:num w:numId="68">
    <w:abstractNumId w:val="84"/>
  </w:num>
  <w:num w:numId="89">
    <w:abstractNumId w:val="78"/>
  </w:num>
  <w:num w:numId="97">
    <w:abstractNumId w:val="72"/>
  </w:num>
  <w:num w:numId="101">
    <w:abstractNumId w:val="66"/>
  </w:num>
  <w:num w:numId="104">
    <w:abstractNumId w:val="60"/>
  </w:num>
  <w:num w:numId="106">
    <w:abstractNumId w:val="54"/>
  </w:num>
  <w:num w:numId="108">
    <w:abstractNumId w:val="48"/>
  </w:num>
  <w:num w:numId="110">
    <w:abstractNumId w:val="42"/>
  </w:num>
  <w:num w:numId="112">
    <w:abstractNumId w:val="36"/>
  </w:num>
  <w:num w:numId="115">
    <w:abstractNumId w:val="30"/>
  </w:num>
  <w:num w:numId="117">
    <w:abstractNumId w:val="24"/>
  </w:num>
  <w:num w:numId="119">
    <w:abstractNumId w:val="18"/>
  </w:num>
  <w:num w:numId="121">
    <w:abstractNumId w:val="12"/>
  </w:num>
  <w:num w:numId="126">
    <w:abstractNumId w:val="6"/>
  </w:num>
  <w:num w:numId="12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