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B78D6" w:rsidRDefault="00107D82" w:rsidP="005A6E96">
      <w:pPr>
        <w:spacing w:after="252" w:line="272" w:lineRule="auto"/>
        <w:ind w:left="0" w:right="106" w:firstLine="0"/>
      </w:pPr>
      <w:r>
        <w:rPr>
          <w:rFonts w:ascii="Arial" w:eastAsia="Arial" w:hAnsi="Arial" w:cs="Arial"/>
          <w:b/>
        </w:rPr>
        <w:t xml:space="preserve">Poznámky </w:t>
      </w:r>
      <w:proofErr w:type="spellStart"/>
      <w:r>
        <w:rPr>
          <w:rFonts w:ascii="Arial" w:eastAsia="Arial" w:hAnsi="Arial" w:cs="Arial"/>
          <w:b/>
        </w:rPr>
        <w:t>Úč</w:t>
      </w:r>
      <w:proofErr w:type="spellEnd"/>
      <w:r>
        <w:rPr>
          <w:rFonts w:ascii="Arial" w:eastAsia="Arial" w:hAnsi="Arial" w:cs="Arial"/>
          <w:b/>
        </w:rPr>
        <w:t xml:space="preserve"> PODV 3- 01 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  <w:t xml:space="preserve"> </w:t>
      </w:r>
      <w:r>
        <w:rPr>
          <w:rFonts w:ascii="Arial" w:eastAsia="Arial" w:hAnsi="Arial" w:cs="Arial"/>
          <w:b/>
        </w:rPr>
        <w:tab/>
        <w:t xml:space="preserve"> </w:t>
      </w:r>
      <w:r>
        <w:rPr>
          <w:rFonts w:ascii="Arial" w:eastAsia="Arial" w:hAnsi="Arial" w:cs="Arial"/>
          <w:b/>
        </w:rPr>
        <w:tab/>
        <w:t>DIČ:</w:t>
      </w:r>
      <w:r w:rsidR="005A6E96"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 xml:space="preserve">2022706521  </w:t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 xml:space="preserve">IČO: 44452675 </w:t>
      </w:r>
    </w:p>
    <w:p w:rsidR="004B78D6" w:rsidRDefault="00107D82">
      <w:pPr>
        <w:spacing w:after="434" w:line="259" w:lineRule="auto"/>
        <w:ind w:left="0" w:firstLine="0"/>
        <w:jc w:val="left"/>
      </w:pPr>
      <w:r>
        <w:rPr>
          <w:rFonts w:ascii="Arial" w:eastAsia="Arial" w:hAnsi="Arial" w:cs="Arial"/>
          <w:b/>
        </w:rPr>
        <w:t xml:space="preserve"> </w:t>
      </w:r>
    </w:p>
    <w:p w:rsidR="004B78D6" w:rsidRPr="000F539E" w:rsidRDefault="00107D82">
      <w:pPr>
        <w:pStyle w:val="Nadpis1"/>
        <w:rPr>
          <w:rFonts w:asciiTheme="minorHAnsi" w:hAnsiTheme="minorHAnsi" w:cstheme="minorHAnsi"/>
        </w:rPr>
      </w:pPr>
      <w:r w:rsidRPr="000F539E">
        <w:rPr>
          <w:rFonts w:asciiTheme="minorHAnsi" w:hAnsiTheme="minorHAnsi" w:cstheme="minorHAnsi"/>
        </w:rPr>
        <w:t>Čl.</w:t>
      </w:r>
      <w:r w:rsidR="000F539E" w:rsidRPr="000F539E">
        <w:rPr>
          <w:rFonts w:asciiTheme="minorHAnsi" w:hAnsiTheme="minorHAnsi" w:cstheme="minorHAnsi"/>
        </w:rPr>
        <w:t xml:space="preserve"> </w:t>
      </w:r>
      <w:r w:rsidRPr="000F539E">
        <w:rPr>
          <w:rFonts w:asciiTheme="minorHAnsi" w:hAnsiTheme="minorHAnsi" w:cstheme="minorHAnsi"/>
        </w:rPr>
        <w:t xml:space="preserve">I Všeobecné informácie o účtovnej jednotke </w:t>
      </w:r>
    </w:p>
    <w:p w:rsidR="004B78D6" w:rsidRDefault="00107D82">
      <w:pPr>
        <w:spacing w:after="176" w:line="259" w:lineRule="auto"/>
        <w:ind w:left="91" w:firstLine="0"/>
        <w:jc w:val="center"/>
      </w:pPr>
      <w:r>
        <w:rPr>
          <w:rFonts w:ascii="Arial" w:eastAsia="Arial" w:hAnsi="Arial" w:cs="Arial"/>
          <w:b/>
          <w:sz w:val="36"/>
        </w:rPr>
        <w:t xml:space="preserve"> </w:t>
      </w:r>
    </w:p>
    <w:p w:rsidR="004B78D6" w:rsidRDefault="00107D82">
      <w:pPr>
        <w:spacing w:after="2" w:line="259" w:lineRule="auto"/>
        <w:ind w:left="-5"/>
        <w:jc w:val="left"/>
      </w:pPr>
      <w:r>
        <w:rPr>
          <w:rFonts w:ascii="Arial" w:eastAsia="Arial" w:hAnsi="Arial" w:cs="Arial"/>
          <w:b/>
        </w:rPr>
        <w:t xml:space="preserve">Obchodné meno a sídlo: ESO9 Slovakia </w:t>
      </w:r>
      <w:proofErr w:type="spellStart"/>
      <w:r>
        <w:rPr>
          <w:rFonts w:ascii="Arial" w:eastAsia="Arial" w:hAnsi="Arial" w:cs="Arial"/>
          <w:b/>
        </w:rPr>
        <w:t>s.r.o</w:t>
      </w:r>
      <w:proofErr w:type="spellEnd"/>
      <w:r>
        <w:rPr>
          <w:rFonts w:ascii="Arial" w:eastAsia="Arial" w:hAnsi="Arial" w:cs="Arial"/>
          <w:b/>
        </w:rPr>
        <w:t xml:space="preserve">., Kollárova 15, 010 01 Žilina </w:t>
      </w:r>
    </w:p>
    <w:p w:rsidR="004B78D6" w:rsidRDefault="00107D82">
      <w:pPr>
        <w:spacing w:after="2" w:line="259" w:lineRule="auto"/>
        <w:ind w:left="-5"/>
        <w:jc w:val="left"/>
      </w:pPr>
      <w:r>
        <w:rPr>
          <w:rFonts w:ascii="Arial" w:eastAsia="Arial" w:hAnsi="Arial" w:cs="Arial"/>
          <w:b/>
        </w:rPr>
        <w:t>Dátum založenia:</w:t>
      </w:r>
      <w:r>
        <w:rPr>
          <w:rFonts w:ascii="Arial" w:eastAsia="Arial" w:hAnsi="Arial" w:cs="Arial"/>
        </w:rPr>
        <w:t xml:space="preserve"> 7.10.2008 </w:t>
      </w:r>
    </w:p>
    <w:p w:rsidR="004B78D6" w:rsidRDefault="00107D82">
      <w:pPr>
        <w:spacing w:after="2" w:line="259" w:lineRule="auto"/>
        <w:ind w:left="-5"/>
        <w:jc w:val="left"/>
      </w:pPr>
      <w:r>
        <w:rPr>
          <w:rFonts w:ascii="Arial" w:eastAsia="Arial" w:hAnsi="Arial" w:cs="Arial"/>
          <w:b/>
        </w:rPr>
        <w:t xml:space="preserve">Dátum vzniku: </w:t>
      </w:r>
      <w:r>
        <w:rPr>
          <w:rFonts w:ascii="Arial" w:eastAsia="Arial" w:hAnsi="Arial" w:cs="Arial"/>
        </w:rPr>
        <w:t xml:space="preserve">16.10.2008 </w:t>
      </w:r>
    </w:p>
    <w:p w:rsidR="004B78D6" w:rsidRDefault="00107D82">
      <w:pPr>
        <w:spacing w:after="0" w:line="259" w:lineRule="auto"/>
        <w:ind w:left="0" w:firstLine="0"/>
        <w:jc w:val="left"/>
      </w:pPr>
      <w:r>
        <w:rPr>
          <w:rFonts w:ascii="Arial" w:eastAsia="Arial" w:hAnsi="Arial" w:cs="Arial"/>
          <w:sz w:val="20"/>
        </w:rPr>
        <w:t xml:space="preserve"> </w:t>
      </w:r>
    </w:p>
    <w:p w:rsidR="004B78D6" w:rsidRDefault="00107D82">
      <w:pPr>
        <w:spacing w:after="21" w:line="259" w:lineRule="auto"/>
        <w:ind w:left="0" w:firstLine="0"/>
        <w:jc w:val="left"/>
      </w:pPr>
      <w:r>
        <w:rPr>
          <w:rFonts w:ascii="Arial" w:eastAsia="Arial" w:hAnsi="Arial" w:cs="Arial"/>
          <w:sz w:val="20"/>
        </w:rPr>
        <w:t xml:space="preserve"> </w:t>
      </w:r>
    </w:p>
    <w:p w:rsidR="004B78D6" w:rsidRDefault="00107D82">
      <w:pPr>
        <w:spacing w:after="34" w:line="259" w:lineRule="auto"/>
        <w:ind w:left="0" w:firstLine="0"/>
        <w:jc w:val="left"/>
      </w:pPr>
      <w:r>
        <w:rPr>
          <w:rFonts w:ascii="Arial" w:eastAsia="Arial" w:hAnsi="Arial" w:cs="Arial"/>
        </w:rPr>
        <w:t xml:space="preserve"> </w:t>
      </w:r>
    </w:p>
    <w:p w:rsidR="004B78D6" w:rsidRPr="000F539E" w:rsidRDefault="00107D82">
      <w:pPr>
        <w:spacing w:after="0" w:line="259" w:lineRule="auto"/>
        <w:ind w:left="0" w:right="15" w:firstLine="0"/>
        <w:jc w:val="center"/>
        <w:rPr>
          <w:rFonts w:asciiTheme="minorHAnsi" w:hAnsiTheme="minorHAnsi" w:cstheme="minorHAnsi"/>
          <w:sz w:val="36"/>
          <w:szCs w:val="36"/>
        </w:rPr>
      </w:pPr>
      <w:r w:rsidRPr="000F539E">
        <w:rPr>
          <w:rFonts w:asciiTheme="minorHAnsi" w:eastAsia="Arial" w:hAnsiTheme="minorHAnsi" w:cstheme="minorHAnsi"/>
          <w:b/>
          <w:sz w:val="36"/>
          <w:szCs w:val="36"/>
        </w:rPr>
        <w:t>Čl.</w:t>
      </w:r>
      <w:r w:rsidR="000F539E" w:rsidRPr="000F539E">
        <w:rPr>
          <w:rFonts w:asciiTheme="minorHAnsi" w:eastAsia="Arial" w:hAnsiTheme="minorHAnsi" w:cstheme="minorHAnsi"/>
          <w:b/>
          <w:sz w:val="36"/>
          <w:szCs w:val="36"/>
        </w:rPr>
        <w:t xml:space="preserve"> I</w:t>
      </w:r>
      <w:r w:rsidRPr="000F539E">
        <w:rPr>
          <w:rFonts w:asciiTheme="minorHAnsi" w:eastAsia="Arial" w:hAnsiTheme="minorHAnsi" w:cstheme="minorHAnsi"/>
          <w:b/>
          <w:sz w:val="36"/>
          <w:szCs w:val="36"/>
        </w:rPr>
        <w:t>I</w:t>
      </w:r>
      <w:r w:rsidRPr="000F539E">
        <w:rPr>
          <w:rFonts w:asciiTheme="minorHAnsi" w:eastAsia="Arial" w:hAnsiTheme="minorHAnsi" w:cstheme="minorHAnsi"/>
          <w:b/>
          <w:sz w:val="36"/>
          <w:szCs w:val="36"/>
        </w:rPr>
        <w:t xml:space="preserve"> </w:t>
      </w:r>
      <w:r w:rsidRPr="000F539E">
        <w:rPr>
          <w:rFonts w:asciiTheme="minorHAnsi" w:eastAsia="Arial" w:hAnsiTheme="minorHAnsi" w:cstheme="minorHAnsi"/>
          <w:b/>
          <w:sz w:val="36"/>
          <w:szCs w:val="36"/>
        </w:rPr>
        <w:t xml:space="preserve">Opis hospodárskej činnosti účtovnej jednotky: </w:t>
      </w:r>
    </w:p>
    <w:p w:rsidR="004B78D6" w:rsidRDefault="00107D82">
      <w:pPr>
        <w:spacing w:after="0" w:line="259" w:lineRule="auto"/>
        <w:ind w:left="62" w:firstLine="0"/>
        <w:jc w:val="center"/>
      </w:pPr>
      <w:r>
        <w:rPr>
          <w:rFonts w:ascii="Arial" w:eastAsia="Arial" w:hAnsi="Arial" w:cs="Arial"/>
        </w:rPr>
        <w:t xml:space="preserve"> </w:t>
      </w:r>
    </w:p>
    <w:p w:rsidR="004B78D6" w:rsidRDefault="00107D82">
      <w:pPr>
        <w:spacing w:after="106"/>
        <w:ind w:left="12"/>
      </w:pPr>
      <w:r>
        <w:rPr>
          <w:rFonts w:ascii="Arial" w:eastAsia="Arial" w:hAnsi="Arial" w:cs="Arial"/>
          <w:sz w:val="15"/>
        </w:rPr>
        <w:t>-</w:t>
      </w:r>
      <w:r>
        <w:t xml:space="preserve">služby súvisiace s počítačovým spracovaním údajov </w:t>
      </w:r>
      <w:r>
        <w:t xml:space="preserve"> </w:t>
      </w:r>
    </w:p>
    <w:p w:rsidR="004B78D6" w:rsidRDefault="00107D82">
      <w:pPr>
        <w:ind w:left="12"/>
      </w:pPr>
      <w:r>
        <w:t>-</w:t>
      </w:r>
      <w:r>
        <w:t>počítačové služby , programátorské práce</w:t>
      </w:r>
      <w:r>
        <w:t xml:space="preserve"> </w:t>
      </w:r>
    </w:p>
    <w:p w:rsidR="004B78D6" w:rsidRDefault="00107D82">
      <w:pPr>
        <w:spacing w:after="0" w:line="259" w:lineRule="auto"/>
        <w:ind w:left="17" w:firstLine="0"/>
        <w:jc w:val="left"/>
      </w:pPr>
      <w:r>
        <w:t xml:space="preserve"> </w:t>
      </w:r>
    </w:p>
    <w:p w:rsidR="004B78D6" w:rsidRDefault="00107D82">
      <w:pPr>
        <w:spacing w:after="220" w:line="259" w:lineRule="auto"/>
        <w:ind w:left="17" w:firstLine="0"/>
        <w:jc w:val="left"/>
      </w:pPr>
      <w:r>
        <w:rPr>
          <w:rFonts w:ascii="Arial" w:eastAsia="Arial" w:hAnsi="Arial" w:cs="Arial"/>
          <w:sz w:val="15"/>
        </w:rPr>
        <w:t xml:space="preserve"> </w:t>
      </w:r>
    </w:p>
    <w:p w:rsidR="004B78D6" w:rsidRDefault="00107D82">
      <w:pPr>
        <w:pStyle w:val="Nadpis2"/>
        <w:spacing w:after="0"/>
        <w:ind w:left="12"/>
      </w:pPr>
      <w:r>
        <w:rPr>
          <w:b/>
        </w:rPr>
        <w:t>1. Informácie o počte zamestnancov</w:t>
      </w:r>
      <w:r>
        <w:t xml:space="preserve"> </w:t>
      </w:r>
    </w:p>
    <w:tbl>
      <w:tblPr>
        <w:tblStyle w:val="TableGrid"/>
        <w:tblW w:w="9065" w:type="dxa"/>
        <w:tblInd w:w="5" w:type="dxa"/>
        <w:tblCellMar>
          <w:top w:w="62" w:type="dxa"/>
          <w:left w:w="19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441"/>
        <w:gridCol w:w="1814"/>
        <w:gridCol w:w="1810"/>
      </w:tblGrid>
      <w:tr w:rsidR="004B78D6">
        <w:trPr>
          <w:trHeight w:val="903"/>
        </w:trPr>
        <w:tc>
          <w:tcPr>
            <w:tcW w:w="5441" w:type="dxa"/>
            <w:tcBorders>
              <w:top w:val="single" w:sz="6" w:space="0" w:color="A0A0A0"/>
              <w:left w:val="single" w:sz="6" w:space="0" w:color="F0F0F0"/>
              <w:bottom w:val="single" w:sz="6" w:space="0" w:color="A0A0A0"/>
              <w:right w:val="single" w:sz="6" w:space="0" w:color="A0A0A0"/>
            </w:tcBorders>
            <w:vAlign w:val="center"/>
          </w:tcPr>
          <w:p w:rsidR="004B78D6" w:rsidRDefault="00107D82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  <w:sz w:val="20"/>
              </w:rPr>
              <w:t>Názov položky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81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</w:tcPr>
          <w:p w:rsidR="004B78D6" w:rsidRDefault="00107D82">
            <w:pPr>
              <w:spacing w:after="0" w:line="259" w:lineRule="auto"/>
              <w:ind w:left="536" w:hanging="266"/>
              <w:jc w:val="left"/>
            </w:pPr>
            <w:r>
              <w:rPr>
                <w:b/>
                <w:sz w:val="20"/>
              </w:rPr>
              <w:t>Bežné účtovné obdobie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810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4B78D6" w:rsidRDefault="00107D82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Bezprostredne predchádzajúce účtovné obdobie</w:t>
            </w:r>
            <w:r>
              <w:rPr>
                <w:sz w:val="20"/>
              </w:rPr>
              <w:t xml:space="preserve"> </w:t>
            </w:r>
          </w:p>
        </w:tc>
      </w:tr>
      <w:tr w:rsidR="004B78D6">
        <w:trPr>
          <w:trHeight w:val="425"/>
        </w:trPr>
        <w:tc>
          <w:tcPr>
            <w:tcW w:w="5441" w:type="dxa"/>
            <w:tcBorders>
              <w:top w:val="single" w:sz="6" w:space="0" w:color="A0A0A0"/>
              <w:left w:val="single" w:sz="6" w:space="0" w:color="F0F0F0"/>
              <w:bottom w:val="single" w:sz="6" w:space="0" w:color="A0A0A0"/>
              <w:right w:val="single" w:sz="6" w:space="0" w:color="A0A0A0"/>
            </w:tcBorders>
          </w:tcPr>
          <w:p w:rsidR="004B78D6" w:rsidRDefault="00107D82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Priemerný prepočítaný počet zamestnancov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81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4B78D6" w:rsidRDefault="00254A3F">
            <w:pPr>
              <w:spacing w:after="0" w:line="259" w:lineRule="auto"/>
              <w:ind w:left="0" w:right="40" w:firstLine="0"/>
              <w:jc w:val="right"/>
            </w:pPr>
            <w:r>
              <w:rPr>
                <w:sz w:val="20"/>
              </w:rPr>
              <w:t>5</w:t>
            </w:r>
            <w:r w:rsidR="00107D82">
              <w:rPr>
                <w:sz w:val="20"/>
              </w:rPr>
              <w:t>,</w:t>
            </w:r>
            <w:r>
              <w:rPr>
                <w:sz w:val="20"/>
              </w:rPr>
              <w:t>13</w:t>
            </w:r>
            <w:r w:rsidR="00107D82">
              <w:rPr>
                <w:sz w:val="20"/>
              </w:rPr>
              <w:t xml:space="preserve"> </w:t>
            </w:r>
          </w:p>
        </w:tc>
        <w:tc>
          <w:tcPr>
            <w:tcW w:w="1810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4B78D6" w:rsidRDefault="00107D82">
            <w:pPr>
              <w:spacing w:after="0" w:line="259" w:lineRule="auto"/>
              <w:ind w:left="0" w:right="35" w:firstLine="0"/>
              <w:jc w:val="right"/>
            </w:pPr>
            <w:r>
              <w:rPr>
                <w:sz w:val="20"/>
              </w:rPr>
              <w:t>4,</w:t>
            </w:r>
            <w:r w:rsidR="00450F07">
              <w:rPr>
                <w:sz w:val="20"/>
              </w:rPr>
              <w:t>75</w:t>
            </w:r>
          </w:p>
        </w:tc>
      </w:tr>
      <w:tr w:rsidR="004B78D6">
        <w:trPr>
          <w:trHeight w:val="667"/>
        </w:trPr>
        <w:tc>
          <w:tcPr>
            <w:tcW w:w="5441" w:type="dxa"/>
            <w:tcBorders>
              <w:top w:val="single" w:sz="6" w:space="0" w:color="A0A0A0"/>
              <w:left w:val="single" w:sz="6" w:space="0" w:color="F0F0F0"/>
              <w:bottom w:val="single" w:sz="6" w:space="0" w:color="A0A0A0"/>
              <w:right w:val="single" w:sz="6" w:space="0" w:color="A0A0A0"/>
            </w:tcBorders>
          </w:tcPr>
          <w:p w:rsidR="004B78D6" w:rsidRDefault="00107D82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Stav zamestnancov ku dňu, ku ktorému sa zostavuje účtovná závierka, z toho: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81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</w:tcPr>
          <w:p w:rsidR="004B78D6" w:rsidRDefault="00450F07">
            <w:pPr>
              <w:spacing w:after="0" w:line="259" w:lineRule="auto"/>
              <w:ind w:left="0" w:right="40" w:firstLine="0"/>
              <w:jc w:val="right"/>
            </w:pPr>
            <w:r>
              <w:rPr>
                <w:sz w:val="20"/>
              </w:rPr>
              <w:t>6</w:t>
            </w:r>
            <w:r w:rsidR="00107D82">
              <w:rPr>
                <w:sz w:val="20"/>
              </w:rPr>
              <w:t xml:space="preserve">,00 </w:t>
            </w:r>
          </w:p>
        </w:tc>
        <w:tc>
          <w:tcPr>
            <w:tcW w:w="1810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</w:tcPr>
          <w:p w:rsidR="004B78D6" w:rsidRDefault="00450F07">
            <w:pPr>
              <w:spacing w:after="0" w:line="259" w:lineRule="auto"/>
              <w:ind w:left="0" w:right="35" w:firstLine="0"/>
              <w:jc w:val="right"/>
            </w:pPr>
            <w:r>
              <w:rPr>
                <w:sz w:val="20"/>
              </w:rPr>
              <w:t>5</w:t>
            </w:r>
            <w:r w:rsidR="00107D82">
              <w:rPr>
                <w:sz w:val="20"/>
              </w:rPr>
              <w:t>,00</w:t>
            </w:r>
          </w:p>
        </w:tc>
      </w:tr>
      <w:tr w:rsidR="004B78D6">
        <w:trPr>
          <w:trHeight w:val="425"/>
        </w:trPr>
        <w:tc>
          <w:tcPr>
            <w:tcW w:w="5441" w:type="dxa"/>
            <w:tcBorders>
              <w:top w:val="single" w:sz="6" w:space="0" w:color="A0A0A0"/>
              <w:left w:val="single" w:sz="6" w:space="0" w:color="F0F0F0"/>
              <w:bottom w:val="single" w:sz="6" w:space="0" w:color="A0A0A0"/>
              <w:right w:val="single" w:sz="6" w:space="0" w:color="A0A0A0"/>
            </w:tcBorders>
          </w:tcPr>
          <w:p w:rsidR="004B78D6" w:rsidRDefault="00107D82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počet vedúcich zamestnancov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81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4B78D6" w:rsidRDefault="00107D82">
            <w:pPr>
              <w:spacing w:after="0" w:line="259" w:lineRule="auto"/>
              <w:ind w:left="0" w:right="40" w:firstLine="0"/>
              <w:jc w:val="right"/>
            </w:pPr>
            <w:r>
              <w:rPr>
                <w:sz w:val="20"/>
              </w:rPr>
              <w:t xml:space="preserve">1,00 </w:t>
            </w:r>
          </w:p>
        </w:tc>
        <w:tc>
          <w:tcPr>
            <w:tcW w:w="1810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4B78D6" w:rsidRDefault="00107D82">
            <w:pPr>
              <w:spacing w:after="0" w:line="259" w:lineRule="auto"/>
              <w:ind w:left="0" w:right="35" w:firstLine="0"/>
              <w:jc w:val="right"/>
            </w:pPr>
            <w:r>
              <w:rPr>
                <w:sz w:val="20"/>
              </w:rPr>
              <w:t>1,00</w:t>
            </w:r>
          </w:p>
        </w:tc>
      </w:tr>
      <w:tr w:rsidR="004B78D6">
        <w:trPr>
          <w:trHeight w:val="424"/>
        </w:trPr>
        <w:tc>
          <w:tcPr>
            <w:tcW w:w="5441" w:type="dxa"/>
            <w:tcBorders>
              <w:top w:val="single" w:sz="6" w:space="0" w:color="A0A0A0"/>
              <w:left w:val="single" w:sz="6" w:space="0" w:color="F0F0F0"/>
              <w:bottom w:val="single" w:sz="6" w:space="0" w:color="A0A0A0"/>
              <w:right w:val="single" w:sz="6" w:space="0" w:color="A0A0A0"/>
            </w:tcBorders>
          </w:tcPr>
          <w:p w:rsidR="004B78D6" w:rsidRDefault="00107D82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1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4B78D6" w:rsidRDefault="00107D82">
            <w:pPr>
              <w:spacing w:after="0" w:line="259" w:lineRule="auto"/>
              <w:ind w:left="0" w:right="-5" w:firstLine="0"/>
              <w:jc w:val="right"/>
            </w:pPr>
            <w:r>
              <w:rPr>
                <w:rFonts w:ascii="Arial" w:eastAsia="Arial" w:hAnsi="Arial" w:cs="Arial"/>
                <w:sz w:val="15"/>
              </w:rPr>
              <w:t xml:space="preserve"> </w:t>
            </w:r>
          </w:p>
        </w:tc>
        <w:tc>
          <w:tcPr>
            <w:tcW w:w="1810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</w:tcPr>
          <w:p w:rsidR="004B78D6" w:rsidRDefault="004B78D6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4B78D6" w:rsidRDefault="00107D82">
      <w:pPr>
        <w:spacing w:after="24" w:line="259" w:lineRule="auto"/>
        <w:ind w:left="0" w:firstLine="0"/>
        <w:jc w:val="left"/>
      </w:pPr>
      <w:r>
        <w:rPr>
          <w:rFonts w:ascii="Arial" w:eastAsia="Arial" w:hAnsi="Arial" w:cs="Arial"/>
          <w:sz w:val="20"/>
        </w:rPr>
        <w:t xml:space="preserve"> </w:t>
      </w:r>
    </w:p>
    <w:p w:rsidR="004B78D6" w:rsidRDefault="00107D82">
      <w:pPr>
        <w:ind w:left="12"/>
      </w:pPr>
      <w:r>
        <w:t xml:space="preserve">Účtovná jednotka nie je neobmedzene ručiacim spoločníkom </w:t>
      </w:r>
      <w:r>
        <w:t xml:space="preserve">v </w:t>
      </w:r>
      <w:r>
        <w:t>iných účtovných jednotkách.</w:t>
      </w:r>
      <w:r>
        <w:t xml:space="preserve"> </w:t>
      </w:r>
    </w:p>
    <w:p w:rsidR="004B78D6" w:rsidRDefault="00107D82">
      <w:pPr>
        <w:spacing w:after="0" w:line="259" w:lineRule="auto"/>
        <w:ind w:left="0" w:firstLine="0"/>
        <w:jc w:val="left"/>
      </w:pPr>
      <w:r>
        <w:rPr>
          <w:rFonts w:ascii="Arial" w:eastAsia="Arial" w:hAnsi="Arial" w:cs="Arial"/>
          <w:sz w:val="20"/>
        </w:rPr>
        <w:t xml:space="preserve"> </w:t>
      </w:r>
    </w:p>
    <w:p w:rsidR="004B78D6" w:rsidRDefault="00107D82">
      <w:pPr>
        <w:spacing w:after="24" w:line="259" w:lineRule="auto"/>
        <w:ind w:left="0" w:firstLine="0"/>
        <w:jc w:val="left"/>
      </w:pPr>
      <w:r>
        <w:rPr>
          <w:rFonts w:ascii="Arial" w:eastAsia="Arial" w:hAnsi="Arial" w:cs="Arial"/>
          <w:sz w:val="20"/>
        </w:rPr>
        <w:t xml:space="preserve"> </w:t>
      </w:r>
    </w:p>
    <w:p w:rsidR="004B78D6" w:rsidRDefault="00107D82" w:rsidP="004C2149">
      <w:pPr>
        <w:ind w:left="2" w:firstLine="0"/>
      </w:pPr>
      <w:r>
        <w:t xml:space="preserve">Účtovná závierka spoločnosti je zostavená ako riadna účtovná závierka podľa zákona č. </w:t>
      </w:r>
      <w:r>
        <w:t xml:space="preserve">431/2002 </w:t>
      </w:r>
      <w:proofErr w:type="spellStart"/>
      <w:r>
        <w:t>Z,z</w:t>
      </w:r>
      <w:proofErr w:type="spellEnd"/>
      <w:r>
        <w:t xml:space="preserve">, o </w:t>
      </w:r>
      <w:r>
        <w:t>účtovníctve v</w:t>
      </w:r>
      <w:r>
        <w:t xml:space="preserve"> </w:t>
      </w:r>
      <w:r>
        <w:t xml:space="preserve">znení neskorších </w:t>
      </w:r>
      <w:r>
        <w:t>predpisov za obdobie od 1.1.20</w:t>
      </w:r>
      <w:r w:rsidR="00450F07">
        <w:t>20</w:t>
      </w:r>
      <w:r>
        <w:t xml:space="preserve"> do 31.12.20</w:t>
      </w:r>
      <w:r w:rsidR="00450F07">
        <w:t>20</w:t>
      </w:r>
      <w:r>
        <w:t xml:space="preserve">. </w:t>
      </w:r>
    </w:p>
    <w:p w:rsidR="004B78D6" w:rsidRDefault="00107D82">
      <w:pPr>
        <w:spacing w:after="67" w:line="262" w:lineRule="auto"/>
        <w:ind w:left="0" w:right="9027" w:firstLine="0"/>
        <w:jc w:val="left"/>
      </w:pPr>
      <w:r>
        <w:t xml:space="preserve"> </w:t>
      </w:r>
      <w:r>
        <w:rPr>
          <w:rFonts w:ascii="Arial" w:eastAsia="Arial" w:hAnsi="Arial" w:cs="Arial"/>
          <w:sz w:val="20"/>
        </w:rPr>
        <w:t xml:space="preserve"> </w:t>
      </w:r>
    </w:p>
    <w:p w:rsidR="004B78D6" w:rsidRDefault="00107D82">
      <w:pPr>
        <w:spacing w:after="156" w:line="259" w:lineRule="auto"/>
        <w:ind w:left="12"/>
        <w:jc w:val="left"/>
      </w:pPr>
      <w:r>
        <w:rPr>
          <w:b/>
        </w:rPr>
        <w:t>Dátum schválenia účtovnej závierky za predchádzajúce obdobie:</w:t>
      </w:r>
      <w:r>
        <w:t xml:space="preserve"> </w:t>
      </w:r>
    </w:p>
    <w:p w:rsidR="004B78D6" w:rsidRDefault="00107D82">
      <w:pPr>
        <w:ind w:left="12"/>
      </w:pPr>
      <w:r>
        <w:t>Účtovná závierka za rok 201</w:t>
      </w:r>
      <w:r w:rsidR="004E0A24">
        <w:t>9</w:t>
      </w:r>
      <w:r>
        <w:t xml:space="preserve"> </w:t>
      </w:r>
      <w:r>
        <w:t xml:space="preserve">bola schválená valným zhromaždením dňa: </w:t>
      </w:r>
      <w:r>
        <w:t>1</w:t>
      </w:r>
      <w:r w:rsidR="00B76F9F">
        <w:t>0</w:t>
      </w:r>
      <w:r>
        <w:t>.03.20</w:t>
      </w:r>
      <w:r w:rsidR="00B15BE2">
        <w:t>20</w:t>
      </w:r>
      <w:r>
        <w:t xml:space="preserve">. </w:t>
      </w:r>
    </w:p>
    <w:p w:rsidR="004B78D6" w:rsidRDefault="00107D82" w:rsidP="005A6E96">
      <w:pPr>
        <w:spacing w:after="0" w:line="259" w:lineRule="auto"/>
        <w:ind w:left="46" w:firstLine="0"/>
        <w:jc w:val="center"/>
      </w:pPr>
      <w:r>
        <w:rPr>
          <w:b/>
          <w:sz w:val="36"/>
        </w:rPr>
        <w:lastRenderedPageBreak/>
        <w:t>Čl.</w:t>
      </w:r>
      <w:r w:rsidR="005A6E96">
        <w:rPr>
          <w:b/>
          <w:sz w:val="36"/>
        </w:rPr>
        <w:t xml:space="preserve"> </w:t>
      </w:r>
      <w:r>
        <w:rPr>
          <w:b/>
          <w:sz w:val="36"/>
        </w:rPr>
        <w:t>III Informácie a účtovných zásadách a účtovných</w:t>
      </w:r>
    </w:p>
    <w:p w:rsidR="004B78D6" w:rsidRDefault="00107D82">
      <w:pPr>
        <w:spacing w:after="132" w:line="259" w:lineRule="auto"/>
        <w:ind w:left="10" w:right="13"/>
        <w:jc w:val="center"/>
      </w:pPr>
      <w:r>
        <w:rPr>
          <w:b/>
          <w:sz w:val="36"/>
        </w:rPr>
        <w:t>metódach</w:t>
      </w:r>
      <w:r>
        <w:t xml:space="preserve">  </w:t>
      </w:r>
    </w:p>
    <w:p w:rsidR="004B78D6" w:rsidRDefault="00107D82">
      <w:pPr>
        <w:spacing w:after="258" w:line="259" w:lineRule="auto"/>
        <w:ind w:left="45" w:firstLine="0"/>
        <w:jc w:val="center"/>
      </w:pPr>
      <w:r>
        <w:t xml:space="preserve"> </w:t>
      </w:r>
    </w:p>
    <w:p w:rsidR="004B78D6" w:rsidRDefault="00107D82">
      <w:pPr>
        <w:spacing w:after="257" w:line="259" w:lineRule="auto"/>
        <w:ind w:left="12"/>
        <w:jc w:val="left"/>
      </w:pPr>
      <w:r>
        <w:rPr>
          <w:b/>
        </w:rPr>
        <w:t>Účtovná jednotka bude nepretržite pokračovať vo svojej činnosti.</w:t>
      </w:r>
      <w:r>
        <w:t xml:space="preserve"> </w:t>
      </w:r>
    </w:p>
    <w:p w:rsidR="004B78D6" w:rsidRDefault="00107D82">
      <w:pPr>
        <w:ind w:left="12"/>
      </w:pPr>
      <w:r>
        <w:t>Účtovné metódy a</w:t>
      </w:r>
      <w:r>
        <w:t xml:space="preserve"> </w:t>
      </w:r>
      <w:r>
        <w:t>všeobecné účtovné zásady boli počas účtovného obdobia dodržané.</w:t>
      </w:r>
      <w:r>
        <w:t xml:space="preserve"> </w:t>
      </w:r>
    </w:p>
    <w:p w:rsidR="004B78D6" w:rsidRDefault="00107D82">
      <w:pPr>
        <w:spacing w:after="303" w:line="259" w:lineRule="auto"/>
        <w:ind w:left="0" w:firstLine="0"/>
        <w:jc w:val="left"/>
      </w:pPr>
      <w:r>
        <w:t xml:space="preserve"> </w:t>
      </w:r>
    </w:p>
    <w:p w:rsidR="004B78D6" w:rsidRPr="000158DF" w:rsidRDefault="00107D82">
      <w:pPr>
        <w:spacing w:after="293" w:line="259" w:lineRule="auto"/>
        <w:ind w:left="0" w:firstLine="0"/>
        <w:jc w:val="left"/>
        <w:rPr>
          <w:rFonts w:asciiTheme="minorHAnsi" w:hAnsiTheme="minorHAnsi" w:cstheme="minorHAnsi"/>
        </w:rPr>
      </w:pPr>
      <w:r w:rsidRPr="000158DF">
        <w:rPr>
          <w:rFonts w:asciiTheme="minorHAnsi" w:eastAsia="Times New Roman" w:hAnsiTheme="minorHAnsi" w:cstheme="minorHAnsi"/>
          <w:b/>
        </w:rPr>
        <w:t xml:space="preserve">Spôsob oceňovania jednotlivých zložiek majetku a záväzkov: </w:t>
      </w:r>
    </w:p>
    <w:p w:rsidR="004B78D6" w:rsidRPr="00971FE5" w:rsidRDefault="00107D82">
      <w:pPr>
        <w:spacing w:after="34"/>
        <w:ind w:left="370"/>
        <w:rPr>
          <w:b/>
        </w:rPr>
      </w:pPr>
      <w:r>
        <w:rPr>
          <w:rFonts w:ascii="Arial" w:eastAsia="Arial" w:hAnsi="Arial" w:cs="Arial"/>
        </w:rPr>
        <w:t xml:space="preserve"> </w:t>
      </w:r>
      <w:r w:rsidR="005A6E96">
        <w:rPr>
          <w:rFonts w:ascii="Arial" w:eastAsia="Arial" w:hAnsi="Arial" w:cs="Arial"/>
        </w:rPr>
        <w:tab/>
      </w:r>
      <w:r w:rsidRPr="00971FE5">
        <w:rPr>
          <w:b/>
        </w:rPr>
        <w:t>Zásoby</w:t>
      </w:r>
      <w:r w:rsidRPr="00971FE5">
        <w:rPr>
          <w:b/>
        </w:rPr>
        <w:t xml:space="preserve"> </w:t>
      </w:r>
    </w:p>
    <w:p w:rsidR="004B78D6" w:rsidRDefault="00107D82">
      <w:pPr>
        <w:ind w:left="12"/>
      </w:pPr>
      <w:r>
        <w:t>Zásoby sa oceňujú v</w:t>
      </w:r>
      <w:r>
        <w:t xml:space="preserve"> </w:t>
      </w:r>
      <w:r>
        <w:t>súlade s</w:t>
      </w:r>
      <w:r>
        <w:t xml:space="preserve"> </w:t>
      </w:r>
      <w:r>
        <w:t>ustanovením § 25 zákona č. 431/2002 Z. z.</w:t>
      </w:r>
      <w:r>
        <w:t xml:space="preserve">  o </w:t>
      </w:r>
      <w:r>
        <w:t>účtovníctve v</w:t>
      </w:r>
      <w:r>
        <w:t xml:space="preserve"> </w:t>
      </w:r>
      <w:r>
        <w:t>znení neskorších predpisov nasledovne:</w:t>
      </w:r>
      <w:r>
        <w:t xml:space="preserve">   </w:t>
      </w:r>
    </w:p>
    <w:p w:rsidR="004B78D6" w:rsidRDefault="00107D82">
      <w:pPr>
        <w:ind w:left="12" w:right="1097"/>
      </w:pPr>
      <w:r>
        <w:t xml:space="preserve"> - </w:t>
      </w:r>
      <w:r>
        <w:t>nakúpené zásoby obstarávacími cenami</w:t>
      </w:r>
      <w:r>
        <w:t xml:space="preserve"> </w:t>
      </w:r>
      <w:r>
        <w:t xml:space="preserve">, ktoré tvorí samotná cena obstarania </w:t>
      </w:r>
      <w:r>
        <w:t xml:space="preserve"> </w:t>
      </w:r>
      <w:r>
        <w:t>a  vedľajšie náklady obstarania ( napr. doprava)</w:t>
      </w:r>
      <w:r>
        <w:t xml:space="preserve"> </w:t>
      </w:r>
    </w:p>
    <w:p w:rsidR="004B78D6" w:rsidRDefault="00107D82">
      <w:pPr>
        <w:ind w:left="12"/>
      </w:pPr>
      <w:r>
        <w:t>Materiál, ktorý j</w:t>
      </w:r>
      <w:r>
        <w:t xml:space="preserve">e určený priamo do spotreby sa </w:t>
      </w:r>
      <w:r>
        <w:t xml:space="preserve">v </w:t>
      </w:r>
      <w:r>
        <w:t>okamihu nákupu účtuje na účet nákladov 501. Spravidla sa jedná o</w:t>
      </w:r>
      <w:r>
        <w:t xml:space="preserve"> </w:t>
      </w:r>
      <w:r>
        <w:t>kancelárske potreby, hygienické potreby</w:t>
      </w:r>
      <w:r>
        <w:t>, bežnú réžiu.</w:t>
      </w:r>
      <w:r>
        <w:t xml:space="preserve"> </w:t>
      </w:r>
    </w:p>
    <w:p w:rsidR="004B78D6" w:rsidRDefault="00107D82">
      <w:pPr>
        <w:spacing w:after="0" w:line="259" w:lineRule="auto"/>
        <w:ind w:left="0" w:firstLine="0"/>
        <w:jc w:val="left"/>
      </w:pPr>
      <w:r>
        <w:t xml:space="preserve"> </w:t>
      </w:r>
    </w:p>
    <w:p w:rsidR="004B78D6" w:rsidRDefault="00107D82">
      <w:pPr>
        <w:ind w:left="12"/>
      </w:pPr>
      <w:r>
        <w:t>Pri nákupe tovaru sa nepredaný tovar eviduje na sklade v</w:t>
      </w:r>
      <w:r>
        <w:t xml:space="preserve"> </w:t>
      </w:r>
      <w:r>
        <w:t>obstarávacích cenách, ktorú tvorí cena obst</w:t>
      </w:r>
      <w:r>
        <w:t>arania. Vedľajšia cena obstarania</w:t>
      </w:r>
      <w:r>
        <w:t xml:space="preserve"> </w:t>
      </w:r>
      <w:r>
        <w:t xml:space="preserve">sa eviduje na samostatnom analytickom účte </w:t>
      </w:r>
      <w:r>
        <w:t xml:space="preserve">a </w:t>
      </w:r>
      <w:r>
        <w:t>následne sa rozpúšťa priamo úmerne vyskladneniu tovaru.</w:t>
      </w:r>
      <w:r>
        <w:t xml:space="preserve"> </w:t>
      </w:r>
    </w:p>
    <w:p w:rsidR="004B78D6" w:rsidRDefault="00107D82">
      <w:pPr>
        <w:spacing w:after="11" w:line="259" w:lineRule="auto"/>
        <w:ind w:left="0" w:firstLine="0"/>
        <w:jc w:val="left"/>
      </w:pPr>
      <w:r>
        <w:t xml:space="preserve">   </w:t>
      </w:r>
    </w:p>
    <w:p w:rsidR="004B78D6" w:rsidRPr="00971FE5" w:rsidRDefault="00107D82">
      <w:pPr>
        <w:pStyle w:val="Nadpis2"/>
        <w:spacing w:after="24"/>
        <w:ind w:left="355"/>
        <w:rPr>
          <w:b/>
        </w:rPr>
      </w:pPr>
      <w:r>
        <w:rPr>
          <w:rFonts w:ascii="Arial" w:eastAsia="Arial" w:hAnsi="Arial" w:cs="Arial"/>
        </w:rPr>
        <w:t xml:space="preserve"> </w:t>
      </w:r>
      <w:r w:rsidR="005A6E96">
        <w:rPr>
          <w:rFonts w:ascii="Arial" w:eastAsia="Arial" w:hAnsi="Arial" w:cs="Arial"/>
        </w:rPr>
        <w:tab/>
      </w:r>
      <w:r w:rsidRPr="00971FE5">
        <w:rPr>
          <w:b/>
        </w:rPr>
        <w:t xml:space="preserve">Majetok </w:t>
      </w:r>
    </w:p>
    <w:p w:rsidR="004B78D6" w:rsidRDefault="00107D82">
      <w:pPr>
        <w:spacing w:after="29"/>
        <w:ind w:left="12"/>
      </w:pPr>
      <w:r>
        <w:t>Hmotný majetok obstaraný kúpou sa oceňuje obstarávacou cenou.</w:t>
      </w:r>
      <w:r>
        <w:t xml:space="preserve"> </w:t>
      </w:r>
    </w:p>
    <w:p w:rsidR="004B78D6" w:rsidRDefault="00107D82">
      <w:pPr>
        <w:ind w:left="12"/>
      </w:pPr>
      <w:r>
        <w:t xml:space="preserve">O </w:t>
      </w:r>
      <w:r>
        <w:t>dlhodobom  nehmotnom majetku, ktorého ob</w:t>
      </w:r>
      <w:r>
        <w:t>starávacia cena je 2</w:t>
      </w:r>
      <w:r>
        <w:t xml:space="preserve"> 400 eur a </w:t>
      </w:r>
      <w:r>
        <w:t>nižšia</w:t>
      </w:r>
      <w:r>
        <w:t>,</w:t>
      </w:r>
      <w:r>
        <w:t xml:space="preserve"> sa </w:t>
      </w:r>
      <w:r>
        <w:t>účtuje priamo do nákladov.</w:t>
      </w:r>
      <w:r>
        <w:t xml:space="preserve"> </w:t>
      </w:r>
    </w:p>
    <w:p w:rsidR="004B78D6" w:rsidRDefault="00107D82">
      <w:pPr>
        <w:ind w:left="12"/>
      </w:pPr>
      <w:r>
        <w:t xml:space="preserve">O </w:t>
      </w:r>
      <w:r>
        <w:t>dlhodobom  hmotnom  majetku, ktorého obstarávacia cena je 1</w:t>
      </w:r>
      <w:r>
        <w:t xml:space="preserve"> 700 eur a </w:t>
      </w:r>
      <w:r>
        <w:t>nižšia</w:t>
      </w:r>
      <w:r>
        <w:t xml:space="preserve">, sa účtuje </w:t>
      </w:r>
      <w:r>
        <w:t xml:space="preserve">ako o </w:t>
      </w:r>
      <w:r>
        <w:t>zásobách a</w:t>
      </w:r>
      <w:r>
        <w:t xml:space="preserve"> </w:t>
      </w:r>
      <w:r>
        <w:t>účtuje sa priamo na účet spotreby.</w:t>
      </w:r>
      <w:r>
        <w:t xml:space="preserve"> </w:t>
      </w:r>
    </w:p>
    <w:p w:rsidR="004E1AA7" w:rsidRPr="005A6E96" w:rsidRDefault="00107D82" w:rsidP="005A6E96">
      <w:pPr>
        <w:ind w:left="12"/>
      </w:pPr>
      <w:r>
        <w:t>Nehmotný majetok obstaraný kúpou sa oceňu</w:t>
      </w:r>
      <w:r>
        <w:t>je obstarávacou cenou.</w:t>
      </w:r>
    </w:p>
    <w:p w:rsidR="004E1AA7" w:rsidRDefault="004E1AA7" w:rsidP="005D5388">
      <w:pPr>
        <w:ind w:firstLine="0"/>
        <w:rPr>
          <w:b/>
        </w:rPr>
      </w:pPr>
    </w:p>
    <w:p w:rsidR="004B78D6" w:rsidRDefault="00107D82" w:rsidP="005A6E96">
      <w:pPr>
        <w:ind w:firstLine="681"/>
        <w:rPr>
          <w:b/>
        </w:rPr>
      </w:pPr>
      <w:r w:rsidRPr="00971FE5">
        <w:rPr>
          <w:b/>
        </w:rPr>
        <w:t>Pohľadávky</w:t>
      </w:r>
      <w:r w:rsidRPr="00971FE5">
        <w:rPr>
          <w:b/>
        </w:rPr>
        <w:t xml:space="preserve"> </w:t>
      </w:r>
    </w:p>
    <w:p w:rsidR="00616ABE" w:rsidRPr="00971FE5" w:rsidRDefault="00616ABE" w:rsidP="005D5388">
      <w:pPr>
        <w:ind w:firstLine="0"/>
        <w:rPr>
          <w:b/>
        </w:rPr>
      </w:pPr>
    </w:p>
    <w:p w:rsidR="004B78D6" w:rsidRDefault="00107D82" w:rsidP="00590AED">
      <w:pPr>
        <w:spacing w:after="0" w:line="240" w:lineRule="auto"/>
        <w:ind w:left="-5"/>
        <w:jc w:val="left"/>
      </w:pPr>
      <w:r>
        <w:t>Pohľadávky sa pri ich vzniku oceňujú menovitou hodnotou. Postúpené pohľadávky sa oceňujú obstarávacou cenou</w:t>
      </w:r>
      <w:r>
        <w:t>, vrátane nákladov súvisiacich s</w:t>
      </w:r>
      <w:r>
        <w:t xml:space="preserve"> </w:t>
      </w:r>
      <w:r>
        <w:t>ich obstaraním. Toto ocenenie sa znižuje o</w:t>
      </w:r>
      <w:r>
        <w:t xml:space="preserve"> </w:t>
      </w:r>
      <w:r>
        <w:t>nevymožiteľné pohľadávky prostredníctvom opravných položiek.</w:t>
      </w:r>
      <w:r>
        <w:t xml:space="preserve"> </w:t>
      </w:r>
    </w:p>
    <w:p w:rsidR="004B78D6" w:rsidRDefault="00107D82" w:rsidP="00A82C01">
      <w:pPr>
        <w:ind w:left="12"/>
      </w:pPr>
      <w:r>
        <w:t>Opravná položka na pohľadávky z obchodného styku sa vytvára vtedy, ak existuje objektívny dôkaz, že obchodná spoločnosť nebude schopná  zinkasovať všetky dlžné čiastky podľa pôvodných podmieno</w:t>
      </w:r>
      <w:r>
        <w:t>k pohľadávok.  Významné finančné problémy</w:t>
      </w:r>
      <w:r w:rsidR="00A82C01">
        <w:t xml:space="preserve"> </w:t>
      </w:r>
      <w:r>
        <w:rPr>
          <w:rFonts w:ascii="Times New Roman" w:eastAsia="Times New Roman" w:hAnsi="Times New Roman" w:cs="Times New Roman"/>
        </w:rPr>
        <w:t>dlžníka, pravdepodobnosť, že dlžník vstúpi do konkurzu, platobná neschopnosť alebo omeškanie platieb sa považujú za indikátory toho, že pohľadávka z obchodného styk</w:t>
      </w:r>
      <w:r w:rsidR="00A82C01">
        <w:rPr>
          <w:rFonts w:ascii="Times New Roman" w:eastAsia="Times New Roman" w:hAnsi="Times New Roman" w:cs="Times New Roman"/>
        </w:rPr>
        <w:t xml:space="preserve">u </w:t>
      </w:r>
      <w:r>
        <w:t>m</w:t>
      </w:r>
      <w:r>
        <w:t xml:space="preserve">ôže byť </w:t>
      </w:r>
      <w:r>
        <w:t xml:space="preserve"> </w:t>
      </w:r>
      <w:r>
        <w:t>znehodnotená. Výška opravnej polož</w:t>
      </w:r>
      <w:r>
        <w:t xml:space="preserve">ky predstavuje rozdiel medzi účtovnou hodnotou daného majetku a hodnotou predpokladaných budúcich peňažných tokov. </w:t>
      </w:r>
      <w:r>
        <w:t xml:space="preserve"> </w:t>
      </w:r>
    </w:p>
    <w:p w:rsidR="004B78D6" w:rsidRDefault="00107D82">
      <w:pPr>
        <w:spacing w:after="12" w:line="259" w:lineRule="auto"/>
        <w:ind w:left="0" w:firstLine="0"/>
        <w:jc w:val="left"/>
      </w:pPr>
      <w:r>
        <w:t xml:space="preserve"> </w:t>
      </w:r>
    </w:p>
    <w:p w:rsidR="004B78D6" w:rsidRDefault="00107D82" w:rsidP="00A82C01">
      <w:pPr>
        <w:ind w:left="720" w:firstLine="0"/>
        <w:rPr>
          <w:b/>
        </w:rPr>
      </w:pPr>
      <w:r w:rsidRPr="003320A9">
        <w:rPr>
          <w:b/>
        </w:rPr>
        <w:lastRenderedPageBreak/>
        <w:t>Náklady budúcich období</w:t>
      </w:r>
      <w:r w:rsidRPr="003320A9">
        <w:rPr>
          <w:b/>
        </w:rPr>
        <w:t xml:space="preserve"> </w:t>
      </w:r>
    </w:p>
    <w:p w:rsidR="00616ABE" w:rsidRPr="003320A9" w:rsidRDefault="00616ABE" w:rsidP="00A82C01">
      <w:pPr>
        <w:ind w:left="720" w:firstLine="0"/>
        <w:rPr>
          <w:b/>
        </w:rPr>
      </w:pPr>
    </w:p>
    <w:p w:rsidR="004B78D6" w:rsidRDefault="00107D82">
      <w:pPr>
        <w:spacing w:after="0" w:line="240" w:lineRule="auto"/>
        <w:ind w:left="-5"/>
        <w:jc w:val="left"/>
      </w:pPr>
      <w:r>
        <w:t>Náklady budúcich období sa vykazujú vo výške, ktorá je potrebná na dodržanie zás</w:t>
      </w:r>
      <w:r>
        <w:t xml:space="preserve">ady vecnej a </w:t>
      </w:r>
      <w:r>
        <w:t xml:space="preserve">časovej súvislosti </w:t>
      </w:r>
      <w:r>
        <w:t>s</w:t>
      </w:r>
      <w:r>
        <w:t xml:space="preserve"> </w:t>
      </w:r>
      <w:r>
        <w:t>účtovným obdobím. V</w:t>
      </w:r>
      <w:r>
        <w:t xml:space="preserve"> </w:t>
      </w:r>
      <w:r>
        <w:t>súlade so zákonom o</w:t>
      </w:r>
      <w:r>
        <w:t xml:space="preserve"> </w:t>
      </w:r>
      <w:r>
        <w:t>účtovníctve opakujúce sa platby ako je platba za telefón, zákonné poistenie vozidla sa časovo nerozlišujú, ale sú súčasťou nákladov aktuálneho obdobia.</w:t>
      </w:r>
      <w:r>
        <w:t xml:space="preserve"> </w:t>
      </w:r>
    </w:p>
    <w:p w:rsidR="004B78D6" w:rsidRDefault="00107D82">
      <w:pPr>
        <w:spacing w:after="11" w:line="259" w:lineRule="auto"/>
        <w:ind w:left="0" w:firstLine="0"/>
        <w:jc w:val="left"/>
      </w:pPr>
      <w:r>
        <w:t xml:space="preserve"> </w:t>
      </w:r>
    </w:p>
    <w:p w:rsidR="004B78D6" w:rsidRDefault="00107D82" w:rsidP="00A82C01">
      <w:pPr>
        <w:ind w:left="720" w:firstLine="0"/>
        <w:rPr>
          <w:b/>
        </w:rPr>
      </w:pPr>
      <w:r w:rsidRPr="003320A9">
        <w:rPr>
          <w:b/>
        </w:rPr>
        <w:t>Záväzky</w:t>
      </w:r>
      <w:r w:rsidRPr="003320A9">
        <w:rPr>
          <w:b/>
        </w:rPr>
        <w:t xml:space="preserve"> </w:t>
      </w:r>
    </w:p>
    <w:p w:rsidR="00616ABE" w:rsidRPr="003320A9" w:rsidRDefault="00616ABE" w:rsidP="00A82C01">
      <w:pPr>
        <w:ind w:left="720" w:firstLine="0"/>
        <w:rPr>
          <w:b/>
        </w:rPr>
      </w:pPr>
    </w:p>
    <w:p w:rsidR="004B78D6" w:rsidRDefault="00107D82">
      <w:pPr>
        <w:ind w:left="12"/>
      </w:pPr>
      <w:r>
        <w:t>Záväzky sa pri ich vzniku oceňujú menovitou hodnot</w:t>
      </w:r>
      <w:r>
        <w:t>ou. Záväzky sa pri ich prevzatí oceňujú obstarávacou cenou.</w:t>
      </w:r>
      <w:r>
        <w:t xml:space="preserve"> </w:t>
      </w:r>
    </w:p>
    <w:p w:rsidR="004B78D6" w:rsidRDefault="00107D82">
      <w:pPr>
        <w:spacing w:after="12" w:line="259" w:lineRule="auto"/>
        <w:ind w:left="0" w:firstLine="0"/>
        <w:jc w:val="left"/>
      </w:pPr>
      <w:r>
        <w:t xml:space="preserve"> </w:t>
      </w:r>
    </w:p>
    <w:p w:rsidR="004B78D6" w:rsidRDefault="00107D82" w:rsidP="00A82C01">
      <w:pPr>
        <w:ind w:left="720" w:firstLine="0"/>
        <w:rPr>
          <w:b/>
        </w:rPr>
      </w:pPr>
      <w:r w:rsidRPr="003320A9">
        <w:rPr>
          <w:b/>
        </w:rPr>
        <w:t>Peňažné prostriedky</w:t>
      </w:r>
      <w:r w:rsidRPr="003320A9">
        <w:rPr>
          <w:b/>
        </w:rPr>
        <w:t xml:space="preserve"> </w:t>
      </w:r>
    </w:p>
    <w:p w:rsidR="00616ABE" w:rsidRPr="003320A9" w:rsidRDefault="00616ABE" w:rsidP="00A82C01">
      <w:pPr>
        <w:ind w:left="720" w:firstLine="0"/>
        <w:rPr>
          <w:b/>
        </w:rPr>
      </w:pPr>
    </w:p>
    <w:p w:rsidR="004B78D6" w:rsidRDefault="00107D82">
      <w:pPr>
        <w:spacing w:after="318"/>
        <w:ind w:left="12"/>
      </w:pPr>
      <w:r>
        <w:t>Peňažné prostriedky, ceniny sa oceňujú menovitou hodnotou.</w:t>
      </w:r>
      <w:r>
        <w:t xml:space="preserve"> </w:t>
      </w:r>
    </w:p>
    <w:p w:rsidR="004B78D6" w:rsidRPr="003320A9" w:rsidRDefault="00A82C01">
      <w:pPr>
        <w:pStyle w:val="Nadpis2"/>
        <w:ind w:left="355"/>
        <w:rPr>
          <w:b/>
        </w:rPr>
      </w:pPr>
      <w:r>
        <w:rPr>
          <w:rFonts w:ascii="Segoe UI Symbol" w:eastAsia="Segoe UI Symbol" w:hAnsi="Segoe UI Symbol" w:cs="Segoe UI Symbol"/>
        </w:rPr>
        <w:t xml:space="preserve">      </w:t>
      </w:r>
      <w:r w:rsidR="00107D82" w:rsidRPr="003320A9">
        <w:rPr>
          <w:b/>
        </w:rPr>
        <w:t xml:space="preserve">Cudzia mena </w:t>
      </w:r>
    </w:p>
    <w:p w:rsidR="004B78D6" w:rsidRDefault="00107D82">
      <w:pPr>
        <w:ind w:left="12"/>
      </w:pPr>
      <w:r>
        <w:t xml:space="preserve">Majetok a </w:t>
      </w:r>
      <w:r>
        <w:t>záväzky vyjadrené v</w:t>
      </w:r>
      <w:r>
        <w:t xml:space="preserve"> </w:t>
      </w:r>
      <w:r>
        <w:t>cudzej mene prepočítava účtovná jednotka na eurá referenčným kurzom</w:t>
      </w:r>
      <w:r>
        <w:t xml:space="preserve"> určeným </w:t>
      </w:r>
      <w:r>
        <w:t>vyhláseným ECB</w:t>
      </w:r>
      <w:r w:rsidR="00822DC7">
        <w:t>:</w:t>
      </w:r>
      <w:r>
        <w:t xml:space="preserve"> </w:t>
      </w:r>
    </w:p>
    <w:p w:rsidR="004B78D6" w:rsidRDefault="00822DC7" w:rsidP="00822DC7">
      <w:r>
        <w:t>-</w:t>
      </w:r>
      <w:r w:rsidR="00107D82">
        <w:t>v</w:t>
      </w:r>
      <w:r w:rsidR="00107D82">
        <w:t xml:space="preserve"> </w:t>
      </w:r>
      <w:r w:rsidR="00107D82">
        <w:t>deň predchádzajúci dňu uskutočnenia účtovného prípadu</w:t>
      </w:r>
      <w:r w:rsidR="00B06C41">
        <w:t>,</w:t>
      </w:r>
      <w:r w:rsidR="00107D82">
        <w:t xml:space="preserve"> </w:t>
      </w:r>
    </w:p>
    <w:p w:rsidR="004B78D6" w:rsidRDefault="00822DC7" w:rsidP="00822DC7">
      <w:pPr>
        <w:spacing w:after="24" w:line="259" w:lineRule="auto"/>
        <w:jc w:val="left"/>
      </w:pPr>
      <w:r>
        <w:t>-</w:t>
      </w:r>
      <w:r w:rsidR="00107D82">
        <w:t xml:space="preserve">v </w:t>
      </w:r>
      <w:r w:rsidR="00107D82">
        <w:t>deň, ku ktorému sa zostavuje účtovná závierka</w:t>
      </w:r>
      <w:r w:rsidR="00B06C41">
        <w:t>.</w:t>
      </w:r>
      <w:r w:rsidR="00107D82">
        <w:t xml:space="preserve"> </w:t>
      </w:r>
      <w:r w:rsidR="00107D82" w:rsidRPr="00822DC7">
        <w:rPr>
          <w:rFonts w:ascii="Arial" w:eastAsia="Arial" w:hAnsi="Arial" w:cs="Arial"/>
          <w:sz w:val="20"/>
        </w:rPr>
        <w:t xml:space="preserve"> </w:t>
      </w:r>
    </w:p>
    <w:p w:rsidR="004B78D6" w:rsidRDefault="00107D82">
      <w:pPr>
        <w:spacing w:after="322"/>
        <w:ind w:left="12"/>
      </w:pPr>
      <w:r>
        <w:t>N</w:t>
      </w:r>
      <w:r>
        <w:t>a ocenenie prírastku cudzej meny sa používa kurz, za ktorý bola cudzia mena nakúpená. Na úbytok ro</w:t>
      </w:r>
      <w:r>
        <w:t xml:space="preserve">vnakej cudzej meny v </w:t>
      </w:r>
      <w:r>
        <w:t>hotovosti sa používa cena zistená priemerom</w:t>
      </w:r>
      <w:r>
        <w:rPr>
          <w:rFonts w:ascii="Arial" w:eastAsia="Arial" w:hAnsi="Arial" w:cs="Arial"/>
          <w:sz w:val="20"/>
        </w:rPr>
        <w:t xml:space="preserve">. </w:t>
      </w:r>
    </w:p>
    <w:p w:rsidR="004B78D6" w:rsidRPr="003320A9" w:rsidRDefault="008F34F8">
      <w:pPr>
        <w:pStyle w:val="Nadpis2"/>
        <w:ind w:left="355"/>
        <w:rPr>
          <w:b/>
        </w:rPr>
      </w:pPr>
      <w:r>
        <w:rPr>
          <w:rFonts w:ascii="Arial" w:eastAsia="Arial" w:hAnsi="Arial" w:cs="Arial"/>
        </w:rPr>
        <w:t xml:space="preserve">    </w:t>
      </w:r>
      <w:r w:rsidR="00107D82"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 xml:space="preserve"> </w:t>
      </w:r>
      <w:r w:rsidR="00107D82" w:rsidRPr="003320A9">
        <w:rPr>
          <w:b/>
        </w:rPr>
        <w:t xml:space="preserve">Rezervy </w:t>
      </w:r>
    </w:p>
    <w:p w:rsidR="00616ABE" w:rsidRPr="00616ABE" w:rsidRDefault="00107D82" w:rsidP="00616ABE">
      <w:pPr>
        <w:spacing w:after="322"/>
        <w:ind w:left="12"/>
      </w:pPr>
      <w:r>
        <w:t xml:space="preserve">Rezerva </w:t>
      </w:r>
      <w:r w:rsidR="00C87E00">
        <w:t xml:space="preserve">sa tvorí </w:t>
      </w:r>
      <w:r>
        <w:t>na nevyčerpanú dovolenku vrátane sociálneho poistenia</w:t>
      </w:r>
      <w:r>
        <w:t>. Pri jej výpočte vychádza organizácia z</w:t>
      </w:r>
      <w:r>
        <w:t xml:space="preserve"> </w:t>
      </w:r>
      <w:r>
        <w:t>počtu dní nevyčerpanej dovolenky k</w:t>
      </w:r>
      <w:r>
        <w:t xml:space="preserve"> 31. </w:t>
      </w:r>
      <w:r>
        <w:t xml:space="preserve">decembru za každého zamestnanca, </w:t>
      </w:r>
      <w:r>
        <w:t>priemernej dennej mzdy a</w:t>
      </w:r>
      <w:r>
        <w:t xml:space="preserve"> </w:t>
      </w:r>
      <w:r>
        <w:t>výpočtu sociálneho poistenia.</w:t>
      </w:r>
      <w:r>
        <w:t xml:space="preserve">  </w:t>
      </w:r>
    </w:p>
    <w:p w:rsidR="004E1AA7" w:rsidRPr="004E1AA7" w:rsidRDefault="004E1AA7" w:rsidP="004E1AA7">
      <w:pPr>
        <w:spacing w:after="237"/>
        <w:ind w:left="370"/>
        <w:rPr>
          <w:b/>
        </w:rPr>
      </w:pPr>
      <w:r w:rsidRPr="003320A9">
        <w:rPr>
          <w:b/>
        </w:rPr>
        <w:t xml:space="preserve">Kontrolované transakcie </w:t>
      </w:r>
    </w:p>
    <w:p w:rsidR="004B78D6" w:rsidRDefault="00107D82" w:rsidP="00345146">
      <w:pPr>
        <w:spacing w:after="271"/>
        <w:ind w:left="12"/>
      </w:pPr>
      <w:r>
        <w:t>Spoločnosť používa ceny za svoje služby pre skupinu kontrolovaných transakcií na základe internej nezávislej ceny.</w:t>
      </w:r>
      <w:r>
        <w:t xml:space="preserve"> </w:t>
      </w:r>
      <w:r>
        <w:t>T</w:t>
      </w:r>
      <w:r>
        <w:t>ak isto ceny pri nákupe služieb sú stanovené na základe internej nezávislej cen</w:t>
      </w:r>
      <w:r>
        <w:t>y a</w:t>
      </w:r>
      <w:r>
        <w:t xml:space="preserve"> </w:t>
      </w:r>
      <w:r>
        <w:t>tieto sú porovnateľné s</w:t>
      </w:r>
      <w:r>
        <w:t xml:space="preserve"> </w:t>
      </w:r>
      <w:r>
        <w:t>cenami na nezávislom trhu.</w:t>
      </w:r>
      <w:r>
        <w:t xml:space="preserve"> </w:t>
      </w:r>
    </w:p>
    <w:p w:rsidR="004B78D6" w:rsidRDefault="00107D82">
      <w:pPr>
        <w:ind w:left="12"/>
      </w:pPr>
      <w:r>
        <w:t xml:space="preserve">Transakcie  sa realizovali s </w:t>
      </w:r>
      <w:r>
        <w:t>krajinou CZ Česká republika.</w:t>
      </w:r>
      <w:r>
        <w:t xml:space="preserve"> </w:t>
      </w:r>
    </w:p>
    <w:p w:rsidR="004B78D6" w:rsidRDefault="00107D82" w:rsidP="00616ABE">
      <w:pPr>
        <w:spacing w:after="0" w:line="259" w:lineRule="auto"/>
        <w:ind w:left="0" w:firstLine="0"/>
        <w:jc w:val="left"/>
      </w:pPr>
      <w:r>
        <w:t xml:space="preserve"> </w:t>
      </w:r>
      <w:r>
        <w:t xml:space="preserve"> </w:t>
      </w:r>
    </w:p>
    <w:p w:rsidR="004B78D6" w:rsidRDefault="00BE460E" w:rsidP="00BE460E">
      <w:pPr>
        <w:pStyle w:val="Nadpis2"/>
        <w:spacing w:after="0"/>
        <w:ind w:left="0" w:firstLine="0"/>
      </w:pPr>
      <w:r>
        <w:rPr>
          <w:b/>
        </w:rPr>
        <w:t xml:space="preserve">       </w:t>
      </w:r>
      <w:r w:rsidR="00107D82">
        <w:rPr>
          <w:b/>
        </w:rPr>
        <w:t xml:space="preserve">Dlhodobý hmotný majetok  </w:t>
      </w:r>
    </w:p>
    <w:p w:rsidR="004B78D6" w:rsidRDefault="00107D82">
      <w:pPr>
        <w:spacing w:after="17" w:line="259" w:lineRule="auto"/>
        <w:ind w:left="924" w:firstLine="0"/>
        <w:jc w:val="left"/>
      </w:pPr>
      <w:r>
        <w:rPr>
          <w:b/>
        </w:rPr>
        <w:t xml:space="preserve"> </w:t>
      </w:r>
      <w:r>
        <w:t xml:space="preserve"> </w:t>
      </w:r>
    </w:p>
    <w:p w:rsidR="004B78D6" w:rsidRDefault="00107D82" w:rsidP="00BE460E">
      <w:pPr>
        <w:ind w:left="12" w:right="674"/>
      </w:pPr>
      <w:r>
        <w:t xml:space="preserve">Dlhodobý hmotný majetok  nakupovaný sa oceňuje obstarávacou cenou, ktorá zahŕňa cenu obstarania a náklady súvisiace s obstaraním (clo, prepravu, montáž, poistné a </w:t>
      </w:r>
      <w:r>
        <w:t>pod.)</w:t>
      </w:r>
      <w:r w:rsidR="00BE460E">
        <w:t xml:space="preserve">. </w:t>
      </w:r>
      <w:r>
        <w:t xml:space="preserve"> </w:t>
      </w:r>
    </w:p>
    <w:p w:rsidR="004B78D6" w:rsidRDefault="00107D82" w:rsidP="00BE460E">
      <w:pPr>
        <w:ind w:left="12"/>
        <w:jc w:val="left"/>
      </w:pPr>
      <w:r>
        <w:lastRenderedPageBreak/>
        <w:t>Do dlhodobého hmotného majetku patrí majetok, ku ktorému má účtovná jednotka vlast</w:t>
      </w:r>
      <w:r>
        <w:t>nícke právo.</w:t>
      </w:r>
      <w:r>
        <w:t xml:space="preserve">  </w:t>
      </w:r>
    </w:p>
    <w:p w:rsidR="004B78D6" w:rsidRDefault="00107D82" w:rsidP="00BE460E">
      <w:pPr>
        <w:ind w:right="679"/>
      </w:pPr>
      <w:r>
        <w:t>Odpisy dlhodobého hmotného majetku sú stanovené podľa predpokladanej doby jeho používania a predpokladaného priebehu jeho opotrebovania.  Odpisovať sa začne v mesiaci zaradenia dlhodobého hmotného majetku do používania. O dlhodobom hm</w:t>
      </w:r>
      <w:r>
        <w:t>otnom majetku, ktorého obstarávacia cena</w:t>
      </w:r>
      <w:r>
        <w:t xml:space="preserve">  </w:t>
      </w:r>
      <w:r>
        <w:t xml:space="preserve">je  v ocenení rovnom alebo nižšom ako 1700 eur a zároveň s dobou použiteľnosti dlhšou ako jeden rok, sa účtuje ako o zásobách.  Pozemky, umelecké diela a zbierky sa neodpisujú. </w:t>
      </w:r>
      <w:r>
        <w:rPr>
          <w:sz w:val="20"/>
        </w:rPr>
        <w:t xml:space="preserve"> </w:t>
      </w:r>
    </w:p>
    <w:p w:rsidR="004B78D6" w:rsidRDefault="00107D82">
      <w:pPr>
        <w:spacing w:after="0" w:line="259" w:lineRule="auto"/>
        <w:ind w:left="0" w:firstLine="0"/>
        <w:jc w:val="left"/>
      </w:pPr>
      <w:r>
        <w:t xml:space="preserve"> </w:t>
      </w:r>
    </w:p>
    <w:p w:rsidR="004B78D6" w:rsidRPr="00183C05" w:rsidRDefault="00107D82">
      <w:pPr>
        <w:spacing w:after="0" w:line="259" w:lineRule="auto"/>
        <w:ind w:left="564" w:firstLine="0"/>
        <w:jc w:val="left"/>
        <w:rPr>
          <w:rFonts w:asciiTheme="minorHAnsi" w:hAnsiTheme="minorHAnsi" w:cstheme="minorHAnsi"/>
          <w:szCs w:val="24"/>
        </w:rPr>
      </w:pPr>
      <w:r w:rsidRPr="00183C05">
        <w:rPr>
          <w:rFonts w:asciiTheme="minorHAnsi" w:eastAsia="Times New Roman" w:hAnsiTheme="minorHAnsi" w:cstheme="minorHAnsi"/>
          <w:b/>
          <w:szCs w:val="24"/>
        </w:rPr>
        <w:t xml:space="preserve">Dlhodobý nehmotný majetok  </w:t>
      </w:r>
    </w:p>
    <w:p w:rsidR="004B78D6" w:rsidRDefault="00107D82">
      <w:pPr>
        <w:spacing w:after="138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4B78D6" w:rsidRDefault="00107D82" w:rsidP="00183C05">
      <w:pPr>
        <w:spacing w:after="0" w:line="259" w:lineRule="auto"/>
        <w:ind w:left="40" w:firstLine="0"/>
      </w:pPr>
      <w:r>
        <w:t xml:space="preserve">Ako </w:t>
      </w:r>
      <w:r>
        <w:t>dlhodobý nehmotný majetok</w:t>
      </w:r>
      <w:r>
        <w:rPr>
          <w:b/>
        </w:rPr>
        <w:t xml:space="preserve"> </w:t>
      </w:r>
      <w:r>
        <w:t xml:space="preserve">sa účtujú v účtovej triede 0 </w:t>
      </w:r>
      <w:r>
        <w:t xml:space="preserve">- </w:t>
      </w:r>
      <w:r>
        <w:t>Dlhodobý majetok:</w:t>
      </w:r>
      <w:r>
        <w:t xml:space="preserve"> </w:t>
      </w:r>
    </w:p>
    <w:p w:rsidR="004B78D6" w:rsidRDefault="00107D82">
      <w:pPr>
        <w:spacing w:after="0" w:line="240" w:lineRule="auto"/>
        <w:ind w:left="-5"/>
        <w:jc w:val="left"/>
      </w:pPr>
      <w:r>
        <w:t>a) aktivované náklady na vývoj, softvér, oceniteľné autorské práva, technické zhodnotenie, ak</w:t>
      </w:r>
      <w:r>
        <w:t xml:space="preserve"> </w:t>
      </w:r>
      <w:r>
        <w:t>nie je súčasťou ocenenia dlhodobého nehmotného majetku, ktorých ocenenie je vyššie</w:t>
      </w:r>
      <w:r>
        <w:t xml:space="preserve"> ako</w:t>
      </w:r>
      <w:r>
        <w:t xml:space="preserve"> </w:t>
      </w:r>
      <w:r>
        <w:t>2 400 €</w:t>
      </w:r>
      <w:r>
        <w:rPr>
          <w:b/>
        </w:rPr>
        <w:t xml:space="preserve"> </w:t>
      </w:r>
      <w:r>
        <w:t xml:space="preserve">(suma ustanovená osobitným predpisom pre nehmotný majetok </w:t>
      </w:r>
      <w:r>
        <w:t xml:space="preserve">- </w:t>
      </w:r>
      <w:r>
        <w:t>zákon o dani</w:t>
      </w:r>
      <w:r>
        <w:t xml:space="preserve"> </w:t>
      </w:r>
      <w:r>
        <w:t>z príjmov) a doba použiteľnosti je dlhšia ako jeden rok</w:t>
      </w:r>
      <w:r w:rsidR="00183C05">
        <w:t>.</w:t>
      </w:r>
      <w:r>
        <w:t xml:space="preserve"> </w:t>
      </w:r>
    </w:p>
    <w:p w:rsidR="004B78D6" w:rsidRDefault="00107D82">
      <w:pPr>
        <w:ind w:left="12"/>
      </w:pPr>
      <w:r>
        <w:t>Dlhodobý</w:t>
      </w:r>
      <w:r>
        <w:t xml:space="preserve">  ne</w:t>
      </w:r>
      <w:r>
        <w:t>hmotný majetok  nakupovaný sa oceňuje obstarávacou cenou, ktorá zahŕňa cenu obstarania</w:t>
      </w:r>
      <w:r>
        <w:t xml:space="preserve">. </w:t>
      </w:r>
    </w:p>
    <w:p w:rsidR="004B78D6" w:rsidRDefault="00107D82">
      <w:pPr>
        <w:spacing w:after="257" w:line="259" w:lineRule="auto"/>
        <w:ind w:left="0" w:firstLine="0"/>
        <w:jc w:val="left"/>
      </w:pPr>
      <w:r>
        <w:t xml:space="preserve"> </w:t>
      </w:r>
    </w:p>
    <w:p w:rsidR="004B78D6" w:rsidRDefault="00107D82">
      <w:pPr>
        <w:pStyle w:val="Nadpis2"/>
        <w:spacing w:after="257"/>
      </w:pPr>
      <w:r>
        <w:rPr>
          <w:b/>
        </w:rPr>
        <w:t xml:space="preserve">Tvorba odpisového plánu </w:t>
      </w:r>
    </w:p>
    <w:p w:rsidR="004B78D6" w:rsidRDefault="00107D82" w:rsidP="00616ABE">
      <w:pPr>
        <w:spacing w:after="299"/>
        <w:ind w:left="12" w:right="676"/>
      </w:pPr>
      <w:r>
        <w:t xml:space="preserve">Odpisy boli zahrňované do nákladov spoločnosti mesačne pomernou čiastkou. Dlhodobý majetok evidovaný v akciovej spoločnosti bol odpisovaný rovnomernými </w:t>
      </w:r>
      <w:r>
        <w:t>odpismi.</w:t>
      </w:r>
      <w:r>
        <w:rPr>
          <w:color w:val="FF0000"/>
        </w:rPr>
        <w:t xml:space="preserve"> </w:t>
      </w:r>
      <w:r>
        <w:t xml:space="preserve"> </w:t>
      </w:r>
    </w:p>
    <w:tbl>
      <w:tblPr>
        <w:tblStyle w:val="TableGrid"/>
        <w:tblW w:w="9021" w:type="dxa"/>
        <w:tblInd w:w="46" w:type="dxa"/>
        <w:tblCellMar>
          <w:top w:w="72" w:type="dxa"/>
          <w:left w:w="0" w:type="dxa"/>
          <w:bottom w:w="0" w:type="dxa"/>
          <w:right w:w="71" w:type="dxa"/>
        </w:tblCellMar>
        <w:tblLook w:val="04A0" w:firstRow="1" w:lastRow="0" w:firstColumn="1" w:lastColumn="0" w:noHBand="0" w:noVBand="1"/>
      </w:tblPr>
      <w:tblGrid>
        <w:gridCol w:w="2225"/>
        <w:gridCol w:w="2266"/>
        <w:gridCol w:w="2266"/>
        <w:gridCol w:w="2264"/>
      </w:tblGrid>
      <w:tr w:rsidR="00616ABE" w:rsidTr="00616ABE">
        <w:trPr>
          <w:trHeight w:val="477"/>
        </w:trPr>
        <w:tc>
          <w:tcPr>
            <w:tcW w:w="2225" w:type="dxa"/>
            <w:tcBorders>
              <w:top w:val="double" w:sz="4" w:space="0" w:color="000000"/>
              <w:left w:val="single" w:sz="8" w:space="0" w:color="000000"/>
              <w:bottom w:val="single" w:sz="4" w:space="0" w:color="auto"/>
              <w:right w:val="double" w:sz="4" w:space="0" w:color="000000"/>
            </w:tcBorders>
          </w:tcPr>
          <w:p w:rsidR="00616ABE" w:rsidRDefault="00107D82" w:rsidP="00616ABE">
            <w:pPr>
              <w:spacing w:after="0" w:line="259" w:lineRule="auto"/>
              <w:ind w:left="-19" w:firstLine="0"/>
              <w:jc w:val="left"/>
            </w:pPr>
            <w:r>
              <w:rPr>
                <w:b/>
              </w:rPr>
              <w:t xml:space="preserve"> </w:t>
            </w:r>
            <w:r w:rsidR="00616ABE">
              <w:t xml:space="preserve">Software </w:t>
            </w:r>
          </w:p>
        </w:tc>
        <w:tc>
          <w:tcPr>
            <w:tcW w:w="2266" w:type="dxa"/>
            <w:tcBorders>
              <w:top w:val="double" w:sz="4" w:space="0" w:color="000000"/>
              <w:left w:val="double" w:sz="4" w:space="0" w:color="000000"/>
              <w:bottom w:val="single" w:sz="4" w:space="0" w:color="auto"/>
              <w:right w:val="double" w:sz="4" w:space="0" w:color="000000"/>
            </w:tcBorders>
          </w:tcPr>
          <w:p w:rsidR="00616ABE" w:rsidRDefault="00616ABE" w:rsidP="00616ABE">
            <w:pPr>
              <w:spacing w:after="0" w:line="259" w:lineRule="auto"/>
              <w:ind w:left="22" w:firstLine="0"/>
              <w:jc w:val="left"/>
            </w:pPr>
            <w:r>
              <w:t xml:space="preserve">4 roky </w:t>
            </w:r>
          </w:p>
        </w:tc>
        <w:tc>
          <w:tcPr>
            <w:tcW w:w="2266" w:type="dxa"/>
            <w:tcBorders>
              <w:top w:val="double" w:sz="4" w:space="0" w:color="000000"/>
              <w:left w:val="double" w:sz="4" w:space="0" w:color="000000"/>
              <w:bottom w:val="single" w:sz="4" w:space="0" w:color="auto"/>
              <w:right w:val="double" w:sz="4" w:space="0" w:color="000000"/>
            </w:tcBorders>
          </w:tcPr>
          <w:p w:rsidR="00616ABE" w:rsidRDefault="00616ABE" w:rsidP="00616ABE">
            <w:pPr>
              <w:spacing w:after="0" w:line="259" w:lineRule="auto"/>
              <w:ind w:left="22" w:firstLine="0"/>
              <w:jc w:val="left"/>
            </w:pPr>
            <w:r>
              <w:t xml:space="preserve">25% </w:t>
            </w:r>
          </w:p>
        </w:tc>
        <w:tc>
          <w:tcPr>
            <w:tcW w:w="2264" w:type="dxa"/>
            <w:tcBorders>
              <w:top w:val="double" w:sz="4" w:space="0" w:color="000000"/>
              <w:left w:val="double" w:sz="4" w:space="0" w:color="000000"/>
              <w:bottom w:val="single" w:sz="4" w:space="0" w:color="auto"/>
              <w:right w:val="single" w:sz="6" w:space="0" w:color="000000"/>
            </w:tcBorders>
          </w:tcPr>
          <w:p w:rsidR="00616ABE" w:rsidRDefault="00616ABE" w:rsidP="00616ABE">
            <w:pPr>
              <w:spacing w:after="0" w:line="259" w:lineRule="auto"/>
              <w:ind w:left="22" w:firstLine="0"/>
              <w:jc w:val="left"/>
            </w:pPr>
            <w:r>
              <w:t xml:space="preserve">rovnomerná </w:t>
            </w:r>
          </w:p>
        </w:tc>
      </w:tr>
      <w:tr w:rsidR="00616ABE" w:rsidTr="00616ABE">
        <w:trPr>
          <w:trHeight w:val="475"/>
        </w:trPr>
        <w:tc>
          <w:tcPr>
            <w:tcW w:w="2225" w:type="dxa"/>
            <w:tcBorders>
              <w:top w:val="single" w:sz="4" w:space="0" w:color="auto"/>
            </w:tcBorders>
          </w:tcPr>
          <w:p w:rsidR="00616ABE" w:rsidRDefault="00616ABE" w:rsidP="00616ABE">
            <w:pPr>
              <w:spacing w:after="0" w:line="259" w:lineRule="auto"/>
              <w:ind w:left="-19" w:firstLine="0"/>
              <w:jc w:val="left"/>
            </w:pPr>
          </w:p>
        </w:tc>
        <w:tc>
          <w:tcPr>
            <w:tcW w:w="2266" w:type="dxa"/>
            <w:tcBorders>
              <w:top w:val="single" w:sz="4" w:space="0" w:color="auto"/>
            </w:tcBorders>
          </w:tcPr>
          <w:p w:rsidR="00616ABE" w:rsidRDefault="00616ABE" w:rsidP="00616ABE">
            <w:pPr>
              <w:spacing w:after="0" w:line="259" w:lineRule="auto"/>
              <w:ind w:left="22" w:firstLine="0"/>
              <w:jc w:val="left"/>
            </w:pPr>
          </w:p>
        </w:tc>
        <w:tc>
          <w:tcPr>
            <w:tcW w:w="2266" w:type="dxa"/>
            <w:tcBorders>
              <w:top w:val="single" w:sz="4" w:space="0" w:color="auto"/>
            </w:tcBorders>
          </w:tcPr>
          <w:p w:rsidR="00616ABE" w:rsidRDefault="00616ABE" w:rsidP="00616ABE">
            <w:pPr>
              <w:spacing w:after="0" w:line="259" w:lineRule="auto"/>
              <w:ind w:left="22" w:firstLine="0"/>
              <w:jc w:val="left"/>
            </w:pPr>
          </w:p>
        </w:tc>
        <w:tc>
          <w:tcPr>
            <w:tcW w:w="2264" w:type="dxa"/>
            <w:tcBorders>
              <w:top w:val="single" w:sz="4" w:space="0" w:color="auto"/>
            </w:tcBorders>
          </w:tcPr>
          <w:p w:rsidR="00616ABE" w:rsidRDefault="00616ABE" w:rsidP="00616ABE">
            <w:pPr>
              <w:spacing w:after="0" w:line="259" w:lineRule="auto"/>
              <w:ind w:left="22" w:firstLine="0"/>
              <w:jc w:val="left"/>
            </w:pPr>
          </w:p>
        </w:tc>
      </w:tr>
      <w:tr w:rsidR="00616ABE" w:rsidTr="00616ABE">
        <w:trPr>
          <w:trHeight w:val="463"/>
        </w:trPr>
        <w:tc>
          <w:tcPr>
            <w:tcW w:w="2225" w:type="dxa"/>
          </w:tcPr>
          <w:p w:rsidR="00616ABE" w:rsidRDefault="00616ABE" w:rsidP="00616AB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6" w:type="dxa"/>
          </w:tcPr>
          <w:p w:rsidR="00616ABE" w:rsidRDefault="00616ABE" w:rsidP="00616ABE">
            <w:pPr>
              <w:spacing w:after="0" w:line="259" w:lineRule="auto"/>
              <w:ind w:left="22" w:firstLine="0"/>
              <w:jc w:val="left"/>
            </w:pPr>
            <w:r>
              <w:t xml:space="preserve"> </w:t>
            </w:r>
          </w:p>
        </w:tc>
        <w:tc>
          <w:tcPr>
            <w:tcW w:w="2266" w:type="dxa"/>
          </w:tcPr>
          <w:p w:rsidR="00616ABE" w:rsidRDefault="00616ABE" w:rsidP="00616ABE">
            <w:pPr>
              <w:spacing w:after="0" w:line="259" w:lineRule="auto"/>
              <w:ind w:left="22" w:firstLine="0"/>
              <w:jc w:val="left"/>
            </w:pPr>
            <w:r>
              <w:t xml:space="preserve"> </w:t>
            </w:r>
          </w:p>
        </w:tc>
        <w:tc>
          <w:tcPr>
            <w:tcW w:w="2264" w:type="dxa"/>
          </w:tcPr>
          <w:p w:rsidR="00616ABE" w:rsidRDefault="00616ABE" w:rsidP="00616ABE">
            <w:pPr>
              <w:spacing w:after="0" w:line="259" w:lineRule="auto"/>
              <w:ind w:left="22" w:firstLine="0"/>
              <w:jc w:val="left"/>
            </w:pPr>
            <w:r>
              <w:t xml:space="preserve"> </w:t>
            </w:r>
          </w:p>
        </w:tc>
      </w:tr>
    </w:tbl>
    <w:p w:rsidR="004B78D6" w:rsidRDefault="00107D82" w:rsidP="00616ABE">
      <w:pPr>
        <w:spacing w:after="119" w:line="240" w:lineRule="auto"/>
        <w:ind w:left="17" w:firstLine="0"/>
        <w:jc w:val="left"/>
      </w:pPr>
      <w:r>
        <w:t xml:space="preserve">Odpisový plán účtovných odpisov </w:t>
      </w:r>
      <w:r>
        <w:t>spoločnosť</w:t>
      </w:r>
      <w:r>
        <w:t xml:space="preserve"> zostavila </w:t>
      </w:r>
      <w:r>
        <w:t xml:space="preserve">interným </w:t>
      </w:r>
      <w:r>
        <w:t>p</w:t>
      </w:r>
      <w:r>
        <w:t>redpisom tak, že za základ vzala metódy používané pri vyčísľovaní daňových odpisov. Odpisové sadzby pre účtovné a daňové odpisy podnikateľa sa rovnajú. Účtovné odpisy sa zaokrúhľujú na 2 desatinné miesta.</w:t>
      </w:r>
      <w:r>
        <w:t xml:space="preserve"> </w:t>
      </w:r>
    </w:p>
    <w:p w:rsidR="004B78D6" w:rsidRDefault="00107D82">
      <w:pPr>
        <w:spacing w:after="0" w:line="240" w:lineRule="auto"/>
        <w:ind w:left="-5"/>
        <w:jc w:val="left"/>
      </w:pPr>
      <w:r>
        <w:t>Ak sa zmenia podmienky používania majetku, prehodn</w:t>
      </w:r>
      <w:r>
        <w:t>otí sa odpisový plán a upraví sa</w:t>
      </w:r>
      <w:r>
        <w:t xml:space="preserve"> </w:t>
      </w:r>
      <w:r>
        <w:t>zostatková doba odpisovania alebo sadzby odpisovania. Ak účtovná jednotka zmení odpisový plán v priebehu účtovného obdobia, musí nový postup odpisovania použiť spätne od prvého dňa daného účtovného obdobia.</w:t>
      </w:r>
      <w:r>
        <w:t xml:space="preserve"> </w:t>
      </w:r>
    </w:p>
    <w:p w:rsidR="004B78D6" w:rsidRDefault="00107D82" w:rsidP="004004F4">
      <w:pPr>
        <w:spacing w:after="96" w:line="259" w:lineRule="auto"/>
        <w:ind w:left="72" w:firstLine="0"/>
        <w:jc w:val="left"/>
      </w:pPr>
      <w:r>
        <w:t xml:space="preserve"> </w:t>
      </w:r>
    </w:p>
    <w:p w:rsidR="004B78D6" w:rsidRDefault="003F134D">
      <w:pPr>
        <w:pStyle w:val="Nadpis2"/>
        <w:spacing w:after="0"/>
        <w:ind w:left="12"/>
      </w:pPr>
      <w:r>
        <w:rPr>
          <w:b/>
        </w:rPr>
        <w:t xml:space="preserve">       </w:t>
      </w:r>
      <w:r w:rsidR="00107D82">
        <w:rPr>
          <w:b/>
        </w:rPr>
        <w:t xml:space="preserve">Informácie, ktoré vysvetľujú a dopĺňajú súvahu a výkaz ziskov a strát </w:t>
      </w:r>
    </w:p>
    <w:p w:rsidR="004B78D6" w:rsidRDefault="00107D82">
      <w:pPr>
        <w:spacing w:after="0" w:line="259" w:lineRule="auto"/>
        <w:ind w:left="0" w:firstLine="0"/>
        <w:jc w:val="left"/>
      </w:pPr>
      <w:r>
        <w:t xml:space="preserve"> </w:t>
      </w:r>
    </w:p>
    <w:p w:rsidR="004B78D6" w:rsidRDefault="00107D82" w:rsidP="004004F4">
      <w:pPr>
        <w:ind w:left="12"/>
      </w:pPr>
      <w:r>
        <w:t>Informácie o záväzkoch –</w:t>
      </w:r>
      <w:r>
        <w:t xml:space="preserve"> </w:t>
      </w:r>
      <w:r>
        <w:t>záväzky so zostatkovou dobou splatnosti dlhšou ako päť rokov:</w:t>
      </w:r>
      <w:r>
        <w:t xml:space="preserve"> </w:t>
      </w:r>
      <w:r>
        <w:t>Vklad spoločníka –</w:t>
      </w:r>
      <w:r>
        <w:t xml:space="preserve"> 1</w:t>
      </w:r>
      <w:r w:rsidR="004004F4">
        <w:t> </w:t>
      </w:r>
      <w:r>
        <w:t>500</w:t>
      </w:r>
      <w:r w:rsidR="004004F4">
        <w:t>,00</w:t>
      </w:r>
      <w:r>
        <w:t xml:space="preserve"> eur</w:t>
      </w:r>
      <w:r w:rsidR="004004F4">
        <w:t>.</w:t>
      </w:r>
      <w:bookmarkStart w:id="0" w:name="_GoBack"/>
      <w:bookmarkEnd w:id="0"/>
      <w:r>
        <w:t xml:space="preserve"> </w:t>
      </w:r>
    </w:p>
    <w:sectPr w:rsidR="004B78D6">
      <w:headerReference w:type="even" r:id="rId7"/>
      <w:headerReference w:type="default" r:id="rId8"/>
      <w:headerReference w:type="first" r:id="rId9"/>
      <w:pgSz w:w="11906" w:h="16838"/>
      <w:pgMar w:top="1427" w:right="1570" w:bottom="1440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07D82" w:rsidRDefault="00107D82">
      <w:pPr>
        <w:spacing w:after="0" w:line="240" w:lineRule="auto"/>
      </w:pPr>
      <w:r>
        <w:separator/>
      </w:r>
    </w:p>
  </w:endnote>
  <w:endnote w:type="continuationSeparator" w:id="0">
    <w:p w:rsidR="00107D82" w:rsidRDefault="00107D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07D82" w:rsidRDefault="00107D82">
      <w:pPr>
        <w:spacing w:after="0" w:line="240" w:lineRule="auto"/>
      </w:pPr>
      <w:r>
        <w:separator/>
      </w:r>
    </w:p>
  </w:footnote>
  <w:footnote w:type="continuationSeparator" w:id="0">
    <w:p w:rsidR="00107D82" w:rsidRDefault="00107D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78D6" w:rsidRDefault="004B78D6">
    <w:pPr>
      <w:spacing w:after="160" w:line="259" w:lineRule="auto"/>
      <w:ind w:left="0" w:firstLine="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78D6" w:rsidRDefault="004B78D6">
    <w:pPr>
      <w:spacing w:after="160" w:line="259" w:lineRule="auto"/>
      <w:ind w:left="0" w:firstLine="0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78D6" w:rsidRDefault="004B78D6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22F3FCD"/>
    <w:multiLevelType w:val="hybridMultilevel"/>
    <w:tmpl w:val="A176C896"/>
    <w:lvl w:ilvl="0" w:tplc="B6B4B102">
      <w:start w:val="1"/>
      <w:numFmt w:val="bullet"/>
      <w:lvlText w:val="-"/>
      <w:lvlJc w:val="left"/>
      <w:pPr>
        <w:ind w:left="13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BF6CB7E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126B392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BF0A2E2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2781588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E66EE0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5120454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CF65840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8D4B458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D2972BD"/>
    <w:multiLevelType w:val="hybridMultilevel"/>
    <w:tmpl w:val="38709094"/>
    <w:lvl w:ilvl="0" w:tplc="1828F9A0">
      <w:start w:val="1"/>
      <w:numFmt w:val="bullet"/>
      <w:lvlText w:val="▪"/>
      <w:lvlJc w:val="left"/>
      <w:pPr>
        <w:ind w:left="7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C4E7932">
      <w:start w:val="1"/>
      <w:numFmt w:val="bullet"/>
      <w:lvlText w:val="o"/>
      <w:lvlJc w:val="left"/>
      <w:pPr>
        <w:ind w:left="14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3F6EEA0">
      <w:start w:val="1"/>
      <w:numFmt w:val="bullet"/>
      <w:lvlText w:val="▪"/>
      <w:lvlJc w:val="left"/>
      <w:pPr>
        <w:ind w:left="21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805A6E">
      <w:start w:val="1"/>
      <w:numFmt w:val="bullet"/>
      <w:lvlText w:val="•"/>
      <w:lvlJc w:val="left"/>
      <w:pPr>
        <w:ind w:left="28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E5CDB46">
      <w:start w:val="1"/>
      <w:numFmt w:val="bullet"/>
      <w:lvlText w:val="o"/>
      <w:lvlJc w:val="left"/>
      <w:pPr>
        <w:ind w:left="36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2D092CA">
      <w:start w:val="1"/>
      <w:numFmt w:val="bullet"/>
      <w:lvlText w:val="▪"/>
      <w:lvlJc w:val="left"/>
      <w:pPr>
        <w:ind w:left="43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130D00C">
      <w:start w:val="1"/>
      <w:numFmt w:val="bullet"/>
      <w:lvlText w:val="•"/>
      <w:lvlJc w:val="left"/>
      <w:pPr>
        <w:ind w:left="50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A827232">
      <w:start w:val="1"/>
      <w:numFmt w:val="bullet"/>
      <w:lvlText w:val="o"/>
      <w:lvlJc w:val="left"/>
      <w:pPr>
        <w:ind w:left="57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016BEF0">
      <w:start w:val="1"/>
      <w:numFmt w:val="bullet"/>
      <w:lvlText w:val="▪"/>
      <w:lvlJc w:val="left"/>
      <w:pPr>
        <w:ind w:left="64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78D6"/>
    <w:rsid w:val="000158DF"/>
    <w:rsid w:val="000F539E"/>
    <w:rsid w:val="00107D82"/>
    <w:rsid w:val="00183C05"/>
    <w:rsid w:val="00254A3F"/>
    <w:rsid w:val="002A241C"/>
    <w:rsid w:val="003320A9"/>
    <w:rsid w:val="00345146"/>
    <w:rsid w:val="003F134D"/>
    <w:rsid w:val="004004F4"/>
    <w:rsid w:val="00450F07"/>
    <w:rsid w:val="004B78D6"/>
    <w:rsid w:val="004C2149"/>
    <w:rsid w:val="004E0A24"/>
    <w:rsid w:val="004E1AA7"/>
    <w:rsid w:val="00571BD5"/>
    <w:rsid w:val="00590AED"/>
    <w:rsid w:val="005A6E96"/>
    <w:rsid w:val="005D5388"/>
    <w:rsid w:val="00613BD9"/>
    <w:rsid w:val="00616ABE"/>
    <w:rsid w:val="00822DC7"/>
    <w:rsid w:val="00834D89"/>
    <w:rsid w:val="00886AD0"/>
    <w:rsid w:val="008B3481"/>
    <w:rsid w:val="008E4575"/>
    <w:rsid w:val="008F34F8"/>
    <w:rsid w:val="00971FE5"/>
    <w:rsid w:val="00A02BB9"/>
    <w:rsid w:val="00A82C01"/>
    <w:rsid w:val="00B06C41"/>
    <w:rsid w:val="00B15BE2"/>
    <w:rsid w:val="00B76F9F"/>
    <w:rsid w:val="00BE460E"/>
    <w:rsid w:val="00C87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FDC79"/>
  <w15:docId w15:val="{08991494-A378-4554-AD90-9B7862ACBE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250" w:lineRule="auto"/>
      <w:ind w:left="27" w:hanging="10"/>
      <w:jc w:val="both"/>
    </w:pPr>
    <w:rPr>
      <w:rFonts w:ascii="Calibri" w:eastAsia="Calibri" w:hAnsi="Calibri" w:cs="Calibri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47"/>
      <w:ind w:right="12"/>
      <w:jc w:val="center"/>
      <w:outlineLvl w:val="0"/>
    </w:pPr>
    <w:rPr>
      <w:rFonts w:ascii="Arial" w:eastAsia="Arial" w:hAnsi="Arial" w:cs="Arial"/>
      <w:b/>
      <w:color w:val="000000"/>
      <w:sz w:val="36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229"/>
      <w:ind w:left="370" w:hanging="10"/>
      <w:outlineLvl w:val="1"/>
    </w:pPr>
    <w:rPr>
      <w:rFonts w:ascii="Calibri" w:eastAsia="Calibri" w:hAnsi="Calibri" w:cs="Calibri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Calibri" w:eastAsia="Calibri" w:hAnsi="Calibri" w:cs="Calibri"/>
      <w:color w:val="000000"/>
      <w:sz w:val="24"/>
    </w:rPr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3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822D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4</Pages>
  <Words>1068</Words>
  <Characters>6091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ESO9 international</Company>
  <LinksUpToDate>false</LinksUpToDate>
  <CharactersWithSpaces>7145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Káčerová Viera</dc:creator>
  <cp:keywords/>
  <cp:lastModifiedBy>Timková Iveta</cp:lastModifiedBy>
  <cp:revision>30</cp:revision>
  <dcterms:created xsi:type="dcterms:W3CDTF">2021-03-23T11:17:00Z</dcterms:created>
  <dcterms:modified xsi:type="dcterms:W3CDTF">2021-03-23T13:08:00Z</dcterms:modified>
</cp:coreProperties>
</file>