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b/>
          <w:bCs/>
        </w:rPr>
      </w:pPr>
      <w:bookmarkStart w:id="0" w:name="_GoBack"/>
      <w:bookmarkEnd w:id="0"/>
    </w:p>
    <w:tbl>
      <w:tblPr>
        <w:tblStyle w:val="12"/>
        <w:tblpPr w:leftFromText="141" w:rightFromText="141" w:vertAnchor="text" w:tblpY="1"/>
        <w:tblOverlap w:val="never"/>
        <w:tblW w:w="0" w:type="auto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182" w:hRule="atLeast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 31.12.2020</w:t>
            </w:r>
          </w:p>
          <w:p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vAlign w:val="top"/>
          </w:tcPr>
          <w:p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nil"/>
              <w:bottom w:val="nil"/>
              <w:righ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color="auto" w:sz="6" w:space="0"/>
            </w:tcBorders>
            <w:noWrap w:val="0"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celých eurách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  <w:vAlign w:val="top"/>
          </w:tcPr>
          <w:p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color="auto" w:sz="6" w:space="0"/>
              <w:right w:val="nil"/>
            </w:tcBorders>
            <w:noWrap/>
            <w:vAlign w:val="top"/>
          </w:tcPr>
          <w:p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  <w:vAlign w:val="top"/>
          </w:tcPr>
          <w:p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  <w:noWrap w:val="0"/>
            <w:vAlign w:val="top"/>
          </w:tcPr>
          <w:p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4233" w:type="dxa"/>
            <w:gridSpan w:val="17"/>
            <w:tcBorders>
              <w:top w:val="nil"/>
              <w:left w:val="nil"/>
              <w:righ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righ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left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4233" w:type="dxa"/>
            <w:gridSpan w:val="17"/>
            <w:tcBorders>
              <w:left w:val="nil"/>
              <w:bottom w:val="nil"/>
              <w:righ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righ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747" w:type="dxa"/>
            <w:gridSpan w:val="3"/>
            <w:tcBorders>
              <w:left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color="auto" w:sz="6" w:space="0"/>
            </w:tcBorders>
            <w:noWrap/>
            <w:vAlign w:val="top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top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Zostavené dňa: 24.03.2021</w:t>
            </w:r>
          </w:p>
          <w:p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Schválené dňa: 24.03.2021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249" w:type="dxa"/>
            <w:tcBorders>
              <w:left w:val="nil"/>
            </w:tcBorders>
            <w:noWrap/>
            <w:vAlign w:val="top"/>
          </w:tcPr>
          <w:p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 xml:space="preserve">                                    </w:t>
            </w:r>
          </w:p>
        </w:tc>
        <w:tc>
          <w:tcPr>
            <w:tcW w:w="3735" w:type="dxa"/>
            <w:gridSpan w:val="15"/>
            <w:noWrap/>
            <w:vAlign w:val="top"/>
          </w:tcPr>
          <w:p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147" w:hRule="atLeast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  <w:vAlign w:val="top"/>
          </w:tcPr>
          <w:p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  <w:vAlign w:val="top"/>
          </w:tcPr>
          <w:p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>
      <w:pPr>
        <w:numPr>
          <w:ilvl w:val="0"/>
          <w:numId w:val="1"/>
        </w:numPr>
        <w:shd w:val="clear" w:color="auto" w:fill="E6E6E6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Všeobecné informácie             </w:t>
      </w:r>
    </w:p>
    <w:p>
      <w:pPr>
        <w:pStyle w:val="53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9"/>
        <w:gridCol w:w="7083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459" w:hRule="atLeast"/>
        </w:trPr>
        <w:tc>
          <w:tcPr>
            <w:tcW w:w="1096" w:type="pct"/>
            <w:noWrap w:val="0"/>
            <w:vAlign w:val="center"/>
          </w:tcPr>
          <w:p>
            <w:pPr>
              <w:pStyle w:val="53"/>
              <w:keepNext/>
              <w:spacing w:after="0" w:line="240" w:lineRule="auto"/>
              <w:ind w:left="0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noWrap w:val="0"/>
            <w:vAlign w:val="center"/>
          </w:tcPr>
          <w:p>
            <w:pPr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>Procesys s.r.o.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1096" w:type="pct"/>
            <w:noWrap w:val="0"/>
            <w:vAlign w:val="center"/>
          </w:tcPr>
          <w:p>
            <w:pPr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noWrap w:val="0"/>
            <w:vAlign w:val="center"/>
          </w:tcPr>
          <w:p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Bajkalská 9/A, 831 04 Bratislava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1096" w:type="pct"/>
            <w:noWrap w:val="0"/>
            <w:vAlign w:val="center"/>
          </w:tcPr>
          <w:p>
            <w:pPr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Dátum vzniku účtovnej jednotky:</w:t>
            </w:r>
          </w:p>
        </w:tc>
        <w:tc>
          <w:tcPr>
            <w:tcW w:w="3904" w:type="pct"/>
            <w:noWrap w:val="0"/>
            <w:vAlign w:val="center"/>
          </w:tcPr>
          <w:p>
            <w:pPr>
              <w:rPr>
                <w:rFonts w:hint="default" w:cs="Arial Narrow"/>
                <w:sz w:val="20"/>
                <w:szCs w:val="20"/>
                <w:lang w:val="sk-SK"/>
              </w:rPr>
            </w:pPr>
            <w:r>
              <w:rPr>
                <w:rFonts w:cs="Arial Narrow"/>
                <w:sz w:val="20"/>
                <w:szCs w:val="20"/>
              </w:rPr>
              <w:t>24.03.2005</w:t>
            </w:r>
            <w:r>
              <w:rPr>
                <w:rFonts w:hint="default" w:cs="Arial Narrow"/>
                <w:sz w:val="20"/>
                <w:szCs w:val="20"/>
                <w:lang w:val="sk-SK"/>
              </w:rPr>
              <w:t xml:space="preserve">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1096" w:type="pct"/>
            <w:noWrap w:val="0"/>
            <w:vAlign w:val="center"/>
          </w:tcPr>
          <w:p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Hlavná, prevažná činnosť</w:t>
            </w:r>
          </w:p>
        </w:tc>
        <w:tc>
          <w:tcPr>
            <w:tcW w:w="3904" w:type="pct"/>
            <w:noWrap w:val="0"/>
            <w:vAlign w:val="center"/>
          </w:tcPr>
          <w:p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Poradenské služby v oblasti podnikania  a riadenia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1096" w:type="pct"/>
            <w:noWrap w:val="0"/>
            <w:vAlign w:val="center"/>
          </w:tcPr>
          <w:p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Kód SK NACE</w:t>
            </w:r>
          </w:p>
        </w:tc>
        <w:tc>
          <w:tcPr>
            <w:tcW w:w="3904" w:type="pct"/>
            <w:noWrap w:val="0"/>
            <w:vAlign w:val="center"/>
          </w:tcPr>
          <w:p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70.22.0</w:t>
            </w:r>
          </w:p>
        </w:tc>
      </w:tr>
    </w:tbl>
    <w:p/>
    <w:p>
      <w:pPr>
        <w:jc w:val="both"/>
        <w:rPr>
          <w:bCs/>
          <w:sz w:val="20"/>
          <w:szCs w:val="20"/>
        </w:rPr>
      </w:pPr>
      <w:r>
        <w:rPr>
          <w:b/>
          <w:bCs/>
          <w:sz w:val="20"/>
          <w:szCs w:val="20"/>
        </w:rPr>
        <w:t>Opis vykonávanej  činnosti účtovnej jednotky v nadväznosti na predmet podnikania:</w:t>
      </w:r>
    </w:p>
    <w:p>
      <w:pPr>
        <w:numPr>
          <w:ilvl w:val="0"/>
          <w:numId w:val="3"/>
        </w:numPr>
        <w:ind w:left="0"/>
        <w:jc w:val="both"/>
        <w:rPr>
          <w:rStyle w:val="55"/>
          <w:bCs/>
          <w:sz w:val="20"/>
          <w:szCs w:val="20"/>
        </w:rPr>
      </w:pPr>
      <w:r>
        <w:rPr>
          <w:rStyle w:val="55"/>
        </w:rPr>
        <w:t xml:space="preserve">sprostredkovateľská činnosť v oblasti obchodu v rozsahu voľnej živnosti </w:t>
      </w:r>
    </w:p>
    <w:p>
      <w:pPr>
        <w:numPr>
          <w:ilvl w:val="0"/>
          <w:numId w:val="3"/>
        </w:numPr>
        <w:ind w:left="0"/>
        <w:jc w:val="both"/>
        <w:rPr>
          <w:rStyle w:val="55"/>
          <w:bCs/>
          <w:sz w:val="20"/>
          <w:szCs w:val="20"/>
        </w:rPr>
      </w:pPr>
      <w:r>
        <w:rPr>
          <w:rStyle w:val="55"/>
        </w:rPr>
        <w:t>poradenská činnosť v oblastiach vzťahujúcich sa k počítaču vrátane systémovej údržby software, v obchodnej a reklamnej činnosti</w:t>
      </w:r>
    </w:p>
    <w:p>
      <w:pPr>
        <w:jc w:val="both"/>
        <w:rPr>
          <w:rStyle w:val="55"/>
          <w:bCs/>
          <w:sz w:val="20"/>
          <w:szCs w:val="20"/>
        </w:rPr>
      </w:pPr>
    </w:p>
    <w:p>
      <w:pPr>
        <w:jc w:val="both"/>
        <w:rPr>
          <w:bCs/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3543"/>
        <w:gridCol w:w="3402"/>
        <w:gridCol w:w="1383"/>
        <w:gridCol w:w="3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exact"/>
        </w:trPr>
        <w:tc>
          <w:tcPr>
            <w:tcW w:w="426" w:type="dxa"/>
            <w:noWrap w:val="0"/>
            <w:vAlign w:val="center"/>
          </w:tcPr>
          <w:p>
            <w:pPr>
              <w:pStyle w:val="53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noWrap w:val="0"/>
            <w:vAlign w:val="center"/>
          </w:tcPr>
          <w:p>
            <w:pPr>
              <w:pStyle w:val="53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29.03.2020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exact"/>
        </w:trPr>
        <w:tc>
          <w:tcPr>
            <w:tcW w:w="426" w:type="dxa"/>
            <w:vMerge w:val="restart"/>
            <w:noWrap w:val="0"/>
            <w:vAlign w:val="center"/>
          </w:tcPr>
          <w:p>
            <w:pPr>
              <w:pStyle w:val="53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noWrap w:val="0"/>
            <w:vAlign w:val="center"/>
          </w:tcPr>
          <w:p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wBefore w:w="0" w:type="dxa"/>
          <w:wAfter w:w="0" w:type="dxa"/>
          <w:trHeight w:val="340" w:hRule="exact"/>
        </w:trPr>
        <w:tc>
          <w:tcPr>
            <w:tcW w:w="426" w:type="dxa"/>
            <w:vMerge w:val="continue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continue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383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exact"/>
        </w:trPr>
        <w:tc>
          <w:tcPr>
            <w:tcW w:w="426" w:type="dxa"/>
            <w:vMerge w:val="continue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3543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-----------------</w:t>
            </w:r>
          </w:p>
        </w:tc>
      </w:tr>
    </w:tbl>
    <w:p>
      <w:pPr>
        <w:keepNext/>
        <w:jc w:val="center"/>
        <w:outlineLvl w:val="1"/>
        <w:rPr>
          <w:b/>
          <w:bCs/>
          <w:sz w:val="20"/>
          <w:szCs w:val="20"/>
        </w:rPr>
      </w:pPr>
    </w:p>
    <w:tbl>
      <w:tblPr>
        <w:tblStyle w:val="12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3"/>
        <w:gridCol w:w="3158"/>
        <w:gridCol w:w="422"/>
        <w:gridCol w:w="4152"/>
        <w:gridCol w:w="3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072" w:type="dxa"/>
            <w:gridSpan w:val="5"/>
            <w:noWrap w:val="0"/>
            <w:vAlign w:val="center"/>
          </w:tcPr>
          <w:p>
            <w:pPr>
              <w:pStyle w:val="53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15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left="56"/>
              <w:rPr>
                <w:rFonts w:cs="Arial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464" w:hRule="atLeast"/>
        </w:trPr>
        <w:tc>
          <w:tcPr>
            <w:tcW w:w="9072" w:type="dxa"/>
            <w:gridSpan w:val="5"/>
            <w:noWrap w:val="0"/>
            <w:vAlign w:val="top"/>
          </w:tcPr>
          <w:p>
            <w:pPr>
              <w:pStyle w:val="53"/>
              <w:keepNext/>
              <w:numPr>
                <w:ilvl w:val="0"/>
                <w:numId w:val="4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93" w:type="dxa"/>
            <w:tcBorders>
              <w:right w:val="single" w:color="auto" w:sz="8" w:space="0"/>
            </w:tcBorders>
            <w:noWrap w:val="0"/>
            <w:vAlign w:val="center"/>
          </w:tcPr>
          <w:p>
            <w:pPr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color="auto" w:sz="8" w:space="0"/>
            </w:tcBorders>
            <w:noWrap w:val="0"/>
            <w:vAlign w:val="center"/>
          </w:tcPr>
          <w:p>
            <w:pPr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93" w:type="dxa"/>
            <w:noWrap w:val="0"/>
            <w:vAlign w:val="center"/>
          </w:tcPr>
          <w:p>
            <w:pPr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noWrap w:val="0"/>
            <w:vAlign w:val="center"/>
          </w:tcPr>
          <w:p>
            <w:pPr>
              <w:rPr>
                <w:rFonts w:cs="Arial"/>
                <w:bCs/>
                <w:sz w:val="20"/>
                <w:szCs w:val="20"/>
              </w:rPr>
            </w:pPr>
          </w:p>
        </w:tc>
      </w:tr>
    </w:tbl>
    <w:p>
      <w:pPr>
        <w:ind w:right="113"/>
        <w:jc w:val="both"/>
        <w:rPr>
          <w:rFonts w:cs="Arial"/>
          <w:i/>
          <w:sz w:val="20"/>
          <w:szCs w:val="20"/>
        </w:rPr>
      </w:pPr>
    </w:p>
    <w:tbl>
      <w:tblPr>
        <w:tblStyle w:val="12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3"/>
        <w:gridCol w:w="80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484" w:hRule="atLeast"/>
        </w:trPr>
        <w:tc>
          <w:tcPr>
            <w:tcW w:w="9072" w:type="dxa"/>
            <w:gridSpan w:val="2"/>
            <w:noWrap w:val="0"/>
            <w:vAlign w:val="top"/>
          </w:tcPr>
          <w:p>
            <w:pPr>
              <w:pStyle w:val="53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93" w:type="dxa"/>
            <w:tcBorders>
              <w:right w:val="single" w:color="auto" w:sz="8" w:space="0"/>
            </w:tcBorders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color="auto" w:sz="8" w:space="0"/>
            </w:tcBorders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93" w:type="dxa"/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</w:rPr>
            </w:pPr>
          </w:p>
        </w:tc>
      </w:tr>
    </w:tbl>
    <w:p>
      <w:pPr>
        <w:ind w:right="113"/>
        <w:jc w:val="both"/>
        <w:rPr>
          <w:rFonts w:cs="Arial"/>
          <w:i/>
          <w:sz w:val="20"/>
          <w:szCs w:val="20"/>
        </w:rPr>
      </w:pPr>
    </w:p>
    <w:tbl>
      <w:tblPr>
        <w:tblStyle w:val="12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3"/>
        <w:gridCol w:w="80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190" w:hRule="atLeast"/>
        </w:trPr>
        <w:tc>
          <w:tcPr>
            <w:tcW w:w="9072" w:type="dxa"/>
            <w:gridSpan w:val="2"/>
            <w:noWrap w:val="0"/>
            <w:vAlign w:val="top"/>
          </w:tcPr>
          <w:p>
            <w:pPr>
              <w:pStyle w:val="53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c)  adresa, kde sa môže vyžiadať kópia konsolidovaných účtovných závierok uvedených v písmenách a) a b)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93" w:type="dxa"/>
            <w:tcBorders>
              <w:right w:val="single" w:color="auto" w:sz="8" w:space="0"/>
            </w:tcBorders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color="auto" w:sz="8" w:space="0"/>
            </w:tcBorders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93" w:type="dxa"/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</w:rPr>
            </w:pPr>
          </w:p>
        </w:tc>
      </w:tr>
    </w:tbl>
    <w:p>
      <w:pPr>
        <w:ind w:right="113"/>
        <w:jc w:val="both"/>
        <w:rPr>
          <w:rFonts w:cs="Arial"/>
          <w:i/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6804" w:type="dxa"/>
            <w:gridSpan w:val="3"/>
            <w:noWrap w:val="0"/>
            <w:vAlign w:val="center"/>
          </w:tcPr>
          <w:p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d)  ÚJ je materskou účtovnou jednotkou</w:t>
            </w:r>
          </w:p>
        </w:tc>
        <w:tc>
          <w:tcPr>
            <w:tcW w:w="709" w:type="dxa"/>
            <w:noWrap w:val="0"/>
            <w:vAlign w:val="center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noWrap w:val="0"/>
            <w:vAlign w:val="center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noWrap w:val="0"/>
            <w:vAlign w:val="center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68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ÚJ je oslobodená od povinnosti zostaviť konsolidovanú ÚZ podľa § 22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686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51"/>
              </w:tabs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both"/>
              <w:rPr>
                <w:rFonts w:cs="Arial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51"/>
              </w:tabs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ods.10 a 12</w:t>
            </w:r>
          </w:p>
        </w:tc>
        <w:tc>
          <w:tcPr>
            <w:tcW w:w="3685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>
      <w:pPr>
        <w:tabs>
          <w:tab w:val="left" w:pos="851"/>
        </w:tabs>
        <w:ind w:left="1077"/>
        <w:jc w:val="both"/>
        <w:rPr>
          <w:sz w:val="20"/>
          <w:szCs w:val="20"/>
        </w:rPr>
      </w:pPr>
    </w:p>
    <w:tbl>
      <w:tblPr>
        <w:tblStyle w:val="12"/>
        <w:tblW w:w="491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38"/>
        <w:gridCol w:w="6312"/>
        <w:gridCol w:w="841"/>
        <w:gridCol w:w="16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  <w:jc w:val="center"/>
        </w:trPr>
        <w:tc>
          <w:tcPr>
            <w:tcW w:w="333" w:type="dxa"/>
            <w:vMerge w:val="restart"/>
            <w:noWrap w:val="0"/>
            <w:vAlign w:val="center"/>
          </w:tcPr>
          <w:p>
            <w:pPr>
              <w:pStyle w:val="53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noWrap w:val="0"/>
            <w:vAlign w:val="center"/>
          </w:tcPr>
          <w:p>
            <w:pPr>
              <w:pStyle w:val="53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Priemerný prepočítaný počet zamestnancov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noWrap w:val="0"/>
            <w:vAlign w:val="center"/>
          </w:tcPr>
          <w:p>
            <w:pPr>
              <w:pStyle w:val="53"/>
              <w:keepNext/>
              <w:spacing w:after="0" w:line="240" w:lineRule="auto"/>
              <w:ind w:left="0"/>
              <w:jc w:val="center"/>
              <w:outlineLvl w:val="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noWrap w:val="0"/>
            <w:vAlign w:val="center"/>
          </w:tcPr>
          <w:p>
            <w:pPr>
              <w:pStyle w:val="5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  <w:jc w:val="center"/>
        </w:trPr>
        <w:tc>
          <w:tcPr>
            <w:tcW w:w="333" w:type="dxa"/>
            <w:vMerge w:val="continue"/>
            <w:noWrap w:val="0"/>
            <w:vAlign w:val="center"/>
          </w:tcPr>
          <w:p>
            <w:pPr>
              <w:pStyle w:val="53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continue"/>
            <w:noWrap w:val="0"/>
            <w:vAlign w:val="center"/>
          </w:tcPr>
          <w:p>
            <w:pPr>
              <w:pStyle w:val="53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noWrap w:val="0"/>
            <w:vAlign w:val="center"/>
          </w:tcPr>
          <w:p>
            <w:pPr>
              <w:pStyle w:val="53"/>
              <w:keepNext/>
              <w:spacing w:after="0" w:line="240" w:lineRule="auto"/>
              <w:ind w:left="0"/>
              <w:jc w:val="center"/>
              <w:outlineLvl w:val="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noWrap w:val="0"/>
            <w:vAlign w:val="center"/>
          </w:tcPr>
          <w:p>
            <w:pPr>
              <w:pStyle w:val="53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>
      <w:pPr>
        <w:ind w:left="705" w:hanging="705"/>
        <w:jc w:val="both"/>
        <w:rPr>
          <w:i/>
          <w:sz w:val="20"/>
          <w:szCs w:val="20"/>
        </w:rPr>
      </w:pPr>
    </w:p>
    <w:p>
      <w:pPr>
        <w:ind w:left="705" w:hanging="705"/>
        <w:jc w:val="both"/>
        <w:rPr>
          <w:i/>
          <w:sz w:val="20"/>
          <w:szCs w:val="20"/>
        </w:rPr>
      </w:pPr>
    </w:p>
    <w:p>
      <w:pPr>
        <w:ind w:left="705" w:hanging="705"/>
        <w:jc w:val="both"/>
        <w:rPr>
          <w:i/>
          <w:sz w:val="20"/>
          <w:szCs w:val="20"/>
        </w:rPr>
      </w:pPr>
    </w:p>
    <w:p>
      <w:pPr>
        <w:numPr>
          <w:ilvl w:val="0"/>
          <w:numId w:val="1"/>
        </w:numPr>
        <w:shd w:val="clear" w:color="auto" w:fill="E6E6E6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 Informácie o orgánoch spoločnosti</w:t>
      </w:r>
    </w:p>
    <w:p>
      <w:pPr>
        <w:ind w:left="360" w:right="-468"/>
        <w:jc w:val="both"/>
        <w:rPr>
          <w:bCs/>
          <w:i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9"/>
        <w:gridCol w:w="1983"/>
        <w:gridCol w:w="1565"/>
        <w:gridCol w:w="127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57" w:hRule="atLeast"/>
        </w:trPr>
        <w:tc>
          <w:tcPr>
            <w:tcW w:w="9072" w:type="dxa"/>
            <w:gridSpan w:val="4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a) </w:t>
            </w:r>
            <w:r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49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49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072" w:type="dxa"/>
            <w:gridSpan w:val="7"/>
            <w:noWrap w:val="0"/>
            <w:vAlign w:val="top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b) </w:t>
            </w:r>
            <w:r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43" w:type="dxa"/>
            <w:tcBorders>
              <w:right w:val="single" w:color="auto" w:sz="4" w:space="0"/>
            </w:tcBorders>
            <w:noWrap w:val="0"/>
            <w:vAlign w:val="top"/>
          </w:tcPr>
          <w:p>
            <w:pPr>
              <w:spacing w:after="100" w:afterAutospacing="1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072" w:type="dxa"/>
            <w:gridSpan w:val="7"/>
            <w:noWrap w:val="0"/>
            <w:vAlign w:val="top"/>
          </w:tcPr>
          <w:p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072" w:type="dxa"/>
            <w:gridSpan w:val="7"/>
            <w:noWrap w:val="0"/>
            <w:vAlign w:val="top"/>
          </w:tcPr>
          <w:p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072" w:type="dxa"/>
            <w:gridSpan w:val="7"/>
            <w:noWrap w:val="0"/>
            <w:vAlign w:val="top"/>
          </w:tcPr>
          <w:p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9"/>
        <w:gridCol w:w="1983"/>
        <w:gridCol w:w="1565"/>
        <w:gridCol w:w="127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072" w:type="dxa"/>
            <w:gridSpan w:val="4"/>
            <w:noWrap w:val="0"/>
            <w:vAlign w:val="top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d) </w:t>
            </w:r>
            <w:r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49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49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49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ind w:left="360" w:right="-468"/>
        <w:jc w:val="both"/>
        <w:rPr>
          <w:bCs/>
          <w:i/>
          <w:sz w:val="20"/>
          <w:szCs w:val="20"/>
        </w:rPr>
      </w:pPr>
    </w:p>
    <w:p>
      <w:pPr>
        <w:ind w:left="360" w:right="-468"/>
        <w:jc w:val="both"/>
        <w:rPr>
          <w:bCs/>
          <w:i/>
          <w:sz w:val="20"/>
          <w:szCs w:val="20"/>
        </w:rPr>
      </w:pPr>
    </w:p>
    <w:p>
      <w:pPr>
        <w:ind w:left="360" w:right="-468"/>
        <w:jc w:val="both"/>
        <w:rPr>
          <w:bCs/>
          <w:i/>
          <w:sz w:val="20"/>
          <w:szCs w:val="20"/>
        </w:rPr>
      </w:pPr>
    </w:p>
    <w:p>
      <w:pPr>
        <w:ind w:left="360" w:right="-468"/>
        <w:jc w:val="both"/>
        <w:rPr>
          <w:bCs/>
          <w:i/>
          <w:sz w:val="20"/>
          <w:szCs w:val="20"/>
        </w:rPr>
      </w:pPr>
    </w:p>
    <w:p>
      <w:pPr>
        <w:ind w:left="360" w:right="-468"/>
        <w:jc w:val="both"/>
        <w:rPr>
          <w:bCs/>
          <w:i/>
          <w:sz w:val="20"/>
          <w:szCs w:val="20"/>
        </w:rPr>
      </w:pPr>
    </w:p>
    <w:p>
      <w:pPr>
        <w:ind w:left="360" w:right="-468"/>
        <w:jc w:val="both"/>
        <w:rPr>
          <w:bCs/>
          <w:i/>
          <w:sz w:val="20"/>
          <w:szCs w:val="20"/>
        </w:rPr>
      </w:pPr>
    </w:p>
    <w:p>
      <w:pPr>
        <w:ind w:left="360" w:right="-468"/>
        <w:jc w:val="both"/>
        <w:rPr>
          <w:bCs/>
          <w:i/>
          <w:sz w:val="20"/>
          <w:szCs w:val="20"/>
        </w:rPr>
      </w:pPr>
    </w:p>
    <w:p>
      <w:pPr>
        <w:numPr>
          <w:ilvl w:val="0"/>
          <w:numId w:val="1"/>
        </w:numPr>
        <w:shd w:val="clear" w:color="auto" w:fill="E6E6E6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prijatých postupoch</w:t>
      </w:r>
    </w:p>
    <w:p>
      <w:pPr>
        <w:ind w:left="360" w:right="-468"/>
        <w:jc w:val="both"/>
        <w:rPr>
          <w:bCs/>
          <w:i/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6510"/>
        <w:gridCol w:w="824"/>
        <w:gridCol w:w="291"/>
        <w:gridCol w:w="578"/>
        <w:gridCol w:w="2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510" w:hRule="exact"/>
        </w:trPr>
        <w:tc>
          <w:tcPr>
            <w:tcW w:w="578" w:type="dxa"/>
            <w:noWrap w:val="0"/>
            <w:vAlign w:val="center"/>
          </w:tcPr>
          <w:p>
            <w:pPr>
              <w:pStyle w:val="53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noWrap w:val="0"/>
            <w:vAlign w:val="center"/>
          </w:tcPr>
          <w:p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>
      <w:pPr>
        <w:pStyle w:val="53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exact"/>
        </w:trPr>
        <w:tc>
          <w:tcPr>
            <w:tcW w:w="578" w:type="dxa"/>
            <w:noWrap w:val="0"/>
            <w:vAlign w:val="center"/>
          </w:tcPr>
          <w:p>
            <w:pPr>
              <w:pStyle w:val="53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noWrap w:val="0"/>
            <w:vAlign w:val="center"/>
          </w:tcPr>
          <w:p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578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2694" w:type="dxa"/>
            <w:gridSpan w:val="2"/>
            <w:vMerge w:val="restart"/>
            <w:noWrap w:val="0"/>
            <w:vAlign w:val="top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noWrap w:val="0"/>
            <w:vAlign w:val="top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noWrap w:val="0"/>
            <w:vAlign w:val="top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27" w:hRule="atLeast"/>
        </w:trPr>
        <w:tc>
          <w:tcPr>
            <w:tcW w:w="2694" w:type="dxa"/>
            <w:gridSpan w:val="2"/>
            <w:vMerge w:val="continue"/>
            <w:noWrap w:val="0"/>
            <w:vAlign w:val="top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Merge w:val="continue"/>
            <w:noWrap w:val="0"/>
            <w:vAlign w:val="top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noWrap w:val="0"/>
            <w:vAlign w:val="top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noWrap w:val="0"/>
            <w:vAlign w:val="top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noWrap w:val="0"/>
            <w:vAlign w:val="top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2694" w:type="dxa"/>
            <w:gridSpan w:val="2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2694" w:type="dxa"/>
            <w:gridSpan w:val="2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2694" w:type="dxa"/>
            <w:gridSpan w:val="2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ind w:left="360" w:right="-468"/>
        <w:jc w:val="both"/>
        <w:rPr>
          <w:bCs/>
          <w:i/>
          <w:sz w:val="20"/>
          <w:szCs w:val="20"/>
        </w:rPr>
      </w:pPr>
    </w:p>
    <w:p>
      <w:pPr>
        <w:pStyle w:val="53"/>
        <w:keepNext/>
        <w:numPr>
          <w:ilvl w:val="0"/>
          <w:numId w:val="5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>
        <w:rPr>
          <w:b/>
          <w:sz w:val="20"/>
          <w:szCs w:val="20"/>
        </w:rPr>
        <w:t>Informácia o charaktere a účele transakcií, ktoré sa neuvádzajú v súvahe</w:t>
      </w:r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widowControl w:val="0"/>
        <w:autoSpaceDE w:val="0"/>
        <w:autoSpaceDN w:val="0"/>
        <w:adjustRightInd w:val="0"/>
        <w:jc w:val="center"/>
        <w:rPr>
          <w:bCs/>
          <w:i/>
          <w:sz w:val="20"/>
          <w:szCs w:val="20"/>
        </w:rPr>
      </w:pPr>
    </w:p>
    <w:p>
      <w:pPr>
        <w:widowControl w:val="0"/>
        <w:autoSpaceDE w:val="0"/>
        <w:autoSpaceDN w:val="0"/>
        <w:adjustRightInd w:val="0"/>
        <w:jc w:val="center"/>
        <w:rPr>
          <w:bCs/>
          <w:i/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84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574" w:hRule="exact"/>
        </w:trPr>
        <w:tc>
          <w:tcPr>
            <w:tcW w:w="578" w:type="dxa"/>
            <w:noWrap w:val="0"/>
            <w:vAlign w:val="center"/>
          </w:tcPr>
          <w:p>
            <w:pPr>
              <w:pStyle w:val="53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noWrap w:val="0"/>
            <w:vAlign w:val="center"/>
          </w:tcPr>
          <w:p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>
      <w:pPr>
        <w:pStyle w:val="53"/>
        <w:spacing w:after="0" w:line="240" w:lineRule="auto"/>
        <w:jc w:val="both"/>
        <w:rPr>
          <w:sz w:val="20"/>
          <w:szCs w:val="20"/>
        </w:rPr>
      </w:pPr>
    </w:p>
    <w:p>
      <w:pPr>
        <w:pStyle w:val="27"/>
        <w:spacing w:before="0" w:beforeAutospacing="0"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a)</w:t>
      </w:r>
    </w:p>
    <w:p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Spôsob ocenenia jednotlivých  zložiek majetku a záväzkov:</w:t>
      </w:r>
      <w:r>
        <w:rPr>
          <w:sz w:val="20"/>
          <w:szCs w:val="20"/>
        </w:rPr>
        <w:t xml:space="preserve">  </w:t>
      </w:r>
    </w:p>
    <w:p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nehmotný dlhodobý majetok </w:t>
      </w:r>
      <w:r>
        <w:rPr>
          <w:sz w:val="20"/>
          <w:szCs w:val="20"/>
        </w:rPr>
        <w:t>– obstarávacou cenou, spoločnosť nenakupovala</w:t>
      </w:r>
    </w:p>
    <w:p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nehmotný dlhodobý majetok vytvorený vlastnou činnosťou </w:t>
      </w:r>
      <w:r>
        <w:rPr>
          <w:sz w:val="20"/>
          <w:szCs w:val="20"/>
        </w:rPr>
        <w:t>– spoločnosť nevytvárala</w:t>
      </w:r>
    </w:p>
    <w:p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hmotný dlhodobý majetok </w:t>
      </w:r>
      <w:r>
        <w:rPr>
          <w:sz w:val="20"/>
          <w:szCs w:val="20"/>
        </w:rPr>
        <w:t xml:space="preserve">– obstarávacou cenou, spoločnosť nenakupovala </w:t>
      </w:r>
    </w:p>
    <w:p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hmotný dlhodobý majetok vytvorený vlastnou činnosťou</w:t>
      </w:r>
      <w:r>
        <w:rPr>
          <w:sz w:val="20"/>
          <w:szCs w:val="20"/>
        </w:rPr>
        <w:t xml:space="preserve"> – spoločnosť nevytvárala</w:t>
      </w:r>
    </w:p>
    <w:p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cenné papiere</w:t>
      </w:r>
      <w:r>
        <w:rPr>
          <w:sz w:val="20"/>
          <w:szCs w:val="20"/>
        </w:rPr>
        <w:t xml:space="preserve"> – spoločnosť nevlastní</w:t>
      </w:r>
    </w:p>
    <w:p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zásoby nakupované</w:t>
      </w:r>
      <w:r>
        <w:rPr>
          <w:sz w:val="20"/>
          <w:szCs w:val="20"/>
        </w:rPr>
        <w:t xml:space="preserve"> – obstarávacou cenou, spoločnosť nenakupovala</w:t>
      </w:r>
    </w:p>
    <w:p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zásoby vytvorené vlastnou činnosťou</w:t>
      </w:r>
      <w:r>
        <w:rPr>
          <w:sz w:val="20"/>
          <w:szCs w:val="20"/>
        </w:rPr>
        <w:t xml:space="preserve"> – spoločnosť nevytvárala</w:t>
      </w:r>
    </w:p>
    <w:p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pohľadávky, záväzky, peňažné prostriedky</w:t>
      </w:r>
      <w:r>
        <w:rPr>
          <w:b/>
          <w:bCs/>
          <w:sz w:val="20"/>
          <w:szCs w:val="20"/>
        </w:rPr>
        <w:t xml:space="preserve">, ceniny </w:t>
      </w:r>
      <w:r>
        <w:rPr>
          <w:sz w:val="20"/>
          <w:szCs w:val="20"/>
        </w:rPr>
        <w:t>– ocenené pri vzniku menovitou hodnotou</w:t>
      </w:r>
    </w:p>
    <w:p>
      <w:pPr>
        <w:jc w:val="both"/>
        <w:rPr>
          <w:b/>
          <w:sz w:val="20"/>
          <w:szCs w:val="20"/>
        </w:rPr>
      </w:pPr>
    </w:p>
    <w:p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Zásady pre tvorbu opravných položiek – </w:t>
      </w:r>
      <w:r>
        <w:rPr>
          <w:sz w:val="20"/>
          <w:szCs w:val="20"/>
        </w:rPr>
        <w:t>spoločnosť netvorila opravné položky podľa zákona o dani z príjmu</w:t>
      </w:r>
    </w:p>
    <w:p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Prepočet údajov v cudzích menách na slovenskú menu</w:t>
      </w:r>
      <w:r>
        <w:rPr>
          <w:sz w:val="20"/>
          <w:szCs w:val="20"/>
        </w:rPr>
        <w:t xml:space="preserve"> – spoločnosť oceňuje majetok, záväzky a pohľadávky vyjadrené v cudzej mene  podľa § 24 zákona č. 431/2002 Z.z. o účtovníctve.</w:t>
      </w:r>
    </w:p>
    <w:p>
      <w:pPr>
        <w:pStyle w:val="27"/>
        <w:spacing w:before="0" w:beforeAutospacing="0" w:after="0"/>
        <w:jc w:val="left"/>
        <w:rPr>
          <w:sz w:val="21"/>
          <w:szCs w:val="21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97" w:hRule="atLeast"/>
        </w:trPr>
        <w:tc>
          <w:tcPr>
            <w:tcW w:w="8789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(menovitá hodnota) sa vykazujú vo výške, ktorá je potrebná na dodržanie zásady vecnej a časovej súvislosti s účtovným obdobím.</w:t>
            </w:r>
          </w:p>
        </w:tc>
        <w:tc>
          <w:tcPr>
            <w:tcW w:w="283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97" w:hRule="atLeast"/>
        </w:trPr>
        <w:tc>
          <w:tcPr>
            <w:tcW w:w="8789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97" w:hRule="atLeast"/>
        </w:trPr>
        <w:tc>
          <w:tcPr>
            <w:tcW w:w="8789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97" w:hRule="atLeast"/>
        </w:trPr>
        <w:tc>
          <w:tcPr>
            <w:tcW w:w="8789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97" w:hRule="atLeast"/>
        </w:trPr>
        <w:tc>
          <w:tcPr>
            <w:tcW w:w="8789" w:type="dxa"/>
            <w:noWrap w:val="0"/>
            <w:vAlign w:val="top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>
      <w:pPr>
        <w:jc w:val="both"/>
        <w:rPr>
          <w:sz w:val="20"/>
          <w:szCs w:val="20"/>
        </w:rPr>
      </w:pPr>
    </w:p>
    <w:p>
      <w:pPr>
        <w:jc w:val="both"/>
        <w:rPr>
          <w:sz w:val="20"/>
          <w:szCs w:val="20"/>
        </w:rPr>
      </w:pPr>
    </w:p>
    <w:tbl>
      <w:tblPr>
        <w:tblStyle w:val="12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44"/>
        <w:gridCol w:w="5245"/>
        <w:gridCol w:w="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089" w:type="dxa"/>
            <w:gridSpan w:val="3"/>
            <w:noWrap w:val="0"/>
            <w:vAlign w:val="center"/>
          </w:tcPr>
          <w:p>
            <w:pPr>
              <w:pStyle w:val="53"/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50" w:hRule="atLeast"/>
        </w:trPr>
        <w:tc>
          <w:tcPr>
            <w:tcW w:w="8789" w:type="dxa"/>
            <w:gridSpan w:val="2"/>
            <w:noWrap w:val="0"/>
            <w:vAlign w:val="center"/>
          </w:tcPr>
          <w:p>
            <w:pPr>
              <w:pStyle w:val="53"/>
              <w:spacing w:after="0" w:line="240" w:lineRule="auto"/>
              <w:ind w:left="64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544" w:type="dxa"/>
            <w:vMerge w:val="restart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kritérií definovaných v zákone o dani z príjmov</w:t>
            </w:r>
          </w:p>
        </w:tc>
        <w:tc>
          <w:tcPr>
            <w:tcW w:w="300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544" w:type="dxa"/>
            <w:vMerge w:val="continue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5245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544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zásobám</w:t>
            </w:r>
          </w:p>
        </w:tc>
        <w:tc>
          <w:tcPr>
            <w:tcW w:w="5245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544" w:type="dxa"/>
            <w:vMerge w:val="restart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......................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544" w:type="dxa"/>
            <w:vMerge w:val="continue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089" w:type="dxa"/>
            <w:gridSpan w:val="3"/>
            <w:noWrap w:val="0"/>
            <w:vAlign w:val="top"/>
          </w:tcPr>
          <w:p>
            <w:pPr>
              <w:pStyle w:val="53"/>
              <w:numPr>
                <w:ilvl w:val="0"/>
                <w:numId w:val="4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8789" w:type="dxa"/>
            <w:gridSpan w:val="2"/>
            <w:noWrap w:val="0"/>
            <w:vAlign w:val="top"/>
          </w:tcPr>
          <w:p>
            <w:pPr>
              <w:pStyle w:val="53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noWrap w:val="0"/>
            <w:vAlign w:val="center"/>
          </w:tcPr>
          <w:p>
            <w:pPr>
              <w:pStyle w:val="53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544" w:type="dxa"/>
            <w:vMerge w:val="restart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544" w:type="dxa"/>
            <w:vMerge w:val="continue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544" w:type="dxa"/>
            <w:vMerge w:val="restart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544" w:type="dxa"/>
            <w:vMerge w:val="continue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544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</w:tbl>
    <w:p>
      <w:pPr>
        <w:jc w:val="both"/>
        <w:rPr>
          <w:sz w:val="20"/>
          <w:szCs w:val="20"/>
        </w:rPr>
      </w:pPr>
    </w:p>
    <w:p>
      <w:pPr>
        <w:pStyle w:val="53"/>
        <w:spacing w:after="0" w:line="240" w:lineRule="auto"/>
        <w:ind w:left="1418"/>
        <w:jc w:val="both"/>
        <w:rPr>
          <w:i/>
          <w:sz w:val="20"/>
          <w:szCs w:val="20"/>
        </w:rPr>
      </w:pPr>
    </w:p>
    <w:p>
      <w:pPr>
        <w:pStyle w:val="53"/>
        <w:numPr>
          <w:ilvl w:val="0"/>
          <w:numId w:val="4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reálnou hodnotou</w:t>
      </w:r>
      <w:r>
        <w:rPr>
          <w:sz w:val="20"/>
          <w:szCs w:val="20"/>
        </w:rPr>
        <w:t xml:space="preserve">, a to: </w:t>
      </w:r>
    </w:p>
    <w:p>
      <w:pPr>
        <w:pStyle w:val="53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53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53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53"/>
        <w:spacing w:after="0" w:line="240" w:lineRule="auto"/>
        <w:ind w:left="1068"/>
        <w:jc w:val="both"/>
        <w:rPr>
          <w:i/>
          <w:sz w:val="20"/>
          <w:szCs w:val="20"/>
        </w:rPr>
      </w:pPr>
    </w:p>
    <w:p>
      <w:pPr>
        <w:pStyle w:val="53"/>
        <w:numPr>
          <w:ilvl w:val="0"/>
          <w:numId w:val="4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obstarávacou cenou alebo vlastnými nákladmi</w:t>
      </w:r>
      <w:r>
        <w:rPr>
          <w:sz w:val="20"/>
          <w:szCs w:val="20"/>
        </w:rPr>
        <w:t>, a to</w:t>
      </w:r>
      <w:r>
        <w:rPr>
          <w:b/>
          <w:sz w:val="20"/>
          <w:szCs w:val="20"/>
        </w:rPr>
        <w:t xml:space="preserve">: </w:t>
      </w:r>
    </w:p>
    <w:p>
      <w:pPr>
        <w:pStyle w:val="53"/>
        <w:numPr>
          <w:ilvl w:val="0"/>
          <w:numId w:val="8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53"/>
        <w:numPr>
          <w:ilvl w:val="0"/>
          <w:numId w:val="8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>
      <w:pPr>
        <w:pStyle w:val="53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>
      <w:pPr>
        <w:pStyle w:val="53"/>
        <w:numPr>
          <w:ilvl w:val="0"/>
          <w:numId w:val="10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>
      <w:pPr>
        <w:pStyle w:val="53"/>
        <w:spacing w:after="0" w:line="240" w:lineRule="auto"/>
        <w:ind w:left="0"/>
        <w:jc w:val="both"/>
        <w:rPr>
          <w:b/>
          <w:sz w:val="20"/>
          <w:szCs w:val="20"/>
        </w:rPr>
      </w:pPr>
    </w:p>
    <w:p>
      <w:pPr>
        <w:pStyle w:val="53"/>
        <w:spacing w:after="0" w:line="240" w:lineRule="auto"/>
        <w:ind w:left="0"/>
        <w:jc w:val="both"/>
        <w:rPr>
          <w:rFonts w:ascii="Arial" w:hAnsi="Arial" w:cs="Arial"/>
          <w:sz w:val="16"/>
          <w:szCs w:val="16"/>
        </w:rPr>
      </w:pPr>
      <w:r>
        <w:rPr>
          <w:bCs/>
          <w:sz w:val="21"/>
          <w:szCs w:val="21"/>
        </w:rPr>
        <w:t>f)</w:t>
      </w:r>
      <w:r>
        <w:rPr>
          <w:b/>
          <w:sz w:val="20"/>
          <w:szCs w:val="20"/>
        </w:rPr>
        <w:t xml:space="preserve">    </w:t>
      </w:r>
      <w:r>
        <w:rPr>
          <w:b/>
          <w:sz w:val="21"/>
          <w:szCs w:val="21"/>
        </w:rPr>
        <w:t>Stanovenie metódy vlastného imania</w:t>
      </w:r>
      <w:r>
        <w:rPr>
          <w:b/>
          <w:sz w:val="20"/>
          <w:szCs w:val="20"/>
        </w:rPr>
        <w:t xml:space="preserve"> – </w:t>
      </w:r>
      <w:r>
        <w:rPr>
          <w:rFonts w:ascii="Arial" w:hAnsi="Arial" w:cs="Arial"/>
          <w:sz w:val="18"/>
          <w:szCs w:val="18"/>
        </w:rPr>
        <w:t>účtovná jednotka nemá náplň pre túto položku</w:t>
      </w:r>
    </w:p>
    <w:p>
      <w:pPr>
        <w:pStyle w:val="53"/>
        <w:spacing w:after="0" w:line="240" w:lineRule="auto"/>
        <w:jc w:val="both"/>
        <w:rPr>
          <w:b/>
          <w:sz w:val="20"/>
          <w:szCs w:val="20"/>
        </w:rPr>
      </w:pPr>
    </w:p>
    <w:p>
      <w:pPr>
        <w:pStyle w:val="27"/>
        <w:spacing w:before="0" w:beforeAutospacing="0" w:after="0"/>
        <w:jc w:val="left"/>
        <w:rPr>
          <w:sz w:val="21"/>
          <w:szCs w:val="21"/>
        </w:rPr>
      </w:pPr>
      <w:r>
        <w:rPr>
          <w:b w:val="0"/>
          <w:bCs w:val="0"/>
          <w:sz w:val="21"/>
          <w:szCs w:val="21"/>
        </w:rPr>
        <w:t>g)</w:t>
      </w:r>
      <w:r>
        <w:rPr>
          <w:sz w:val="21"/>
          <w:szCs w:val="21"/>
        </w:rPr>
        <w:t xml:space="preserve">  Informácie o dlhodobom hmotnom majetku</w:t>
      </w:r>
    </w:p>
    <w:p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Spôsob  zostavenia odpisového plánu pre dlhodobý majetok, doba odpisovania, sadzby odpisov a odpisové metódy pri stanovení účtovných odpisov.</w:t>
      </w:r>
    </w:p>
    <w:p>
      <w:pPr>
        <w:jc w:val="both"/>
        <w:rPr>
          <w:sz w:val="20"/>
          <w:szCs w:val="20"/>
        </w:rPr>
      </w:pPr>
      <w:r>
        <w:rPr>
          <w:sz w:val="20"/>
          <w:szCs w:val="20"/>
        </w:rPr>
        <w:t>Spoločnosť používa rovnomernú odpisovú metódu.</w:t>
      </w:r>
    </w:p>
    <w:p>
      <w:pPr>
        <w:pStyle w:val="53"/>
        <w:spacing w:after="0" w:line="240" w:lineRule="auto"/>
        <w:jc w:val="both"/>
        <w:rPr>
          <w:b/>
          <w:sz w:val="20"/>
          <w:szCs w:val="20"/>
        </w:rPr>
      </w:pPr>
    </w:p>
    <w:tbl>
      <w:tblPr>
        <w:tblStyle w:val="12"/>
        <w:tblW w:w="524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979"/>
        <w:gridCol w:w="11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3085" w:type="dxa"/>
            <w:noWrap w:val="0"/>
            <w:vAlign w:val="top"/>
          </w:tcPr>
          <w:p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  <w:noWrap w:val="0"/>
            <w:vAlign w:val="top"/>
          </w:tcPr>
          <w:p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  <w:noWrap w:val="0"/>
            <w:vAlign w:val="top"/>
          </w:tcPr>
          <w:p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085" w:type="dxa"/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noWrap w:val="0"/>
            <w:vAlign w:val="center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noWrap w:val="0"/>
            <w:vAlign w:val="center"/>
          </w:tcPr>
          <w:p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085" w:type="dxa"/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085" w:type="dxa"/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>
      <w:pPr>
        <w:jc w:val="both"/>
        <w:rPr>
          <w:sz w:val="20"/>
          <w:szCs w:val="20"/>
        </w:rPr>
      </w:pPr>
    </w:p>
    <w:p>
      <w:pPr>
        <w:jc w:val="both"/>
        <w:rPr>
          <w:sz w:val="20"/>
          <w:szCs w:val="20"/>
        </w:rPr>
      </w:pPr>
    </w:p>
    <w:tbl>
      <w:tblPr>
        <w:tblStyle w:val="12"/>
        <w:tblW w:w="0" w:type="auto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223"/>
        <w:gridCol w:w="1440"/>
        <w:gridCol w:w="1134"/>
        <w:gridCol w:w="14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223" w:type="dxa"/>
            <w:noWrap w:val="0"/>
            <w:vAlign w:val="center"/>
          </w:tcPr>
          <w:p>
            <w:pPr>
              <w:pStyle w:val="53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>
              <w:rPr>
                <w:bCs/>
                <w:kern w:val="32"/>
                <w:sz w:val="20"/>
                <w:szCs w:val="20"/>
                <w:lang w:eastAsia="sk-SK"/>
              </w:rPr>
              <w:t xml:space="preserve">h) </w:t>
            </w:r>
            <w:r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pStyle w:val="53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53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pStyle w:val="53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223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223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>
      <w:pPr>
        <w:pStyle w:val="53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Style w:val="12"/>
        <w:tblW w:w="9214" w:type="dxa"/>
        <w:tblInd w:w="-3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8"/>
        <w:gridCol w:w="3118"/>
        <w:gridCol w:w="851"/>
        <w:gridCol w:w="2126"/>
        <w:gridCol w:w="255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632" w:hRule="atLeast"/>
        </w:trPr>
        <w:tc>
          <w:tcPr>
            <w:tcW w:w="568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numPr>
                <w:ilvl w:val="0"/>
                <w:numId w:val="5"/>
              </w:num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;</w:t>
            </w:r>
          </w:p>
          <w:p>
            <w:pPr>
              <w:rPr>
                <w:b/>
                <w:sz w:val="20"/>
                <w:szCs w:val="20"/>
                <w:lang w:eastAsia="sk-SK"/>
              </w:rPr>
            </w:pPr>
          </w:p>
          <w:p>
            <w:pPr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color="auto" w:sz="4" w:space="0"/>
            </w:tcBorders>
            <w:noWrap w:val="0"/>
            <w:vAlign w:val="center"/>
          </w:tcPr>
          <w:p>
            <w:pPr>
              <w:tabs>
                <w:tab w:val="left" w:pos="4207"/>
              </w:tabs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</w:rPr>
              <w:t xml:space="preserve">Informácia o </w:t>
            </w:r>
            <w:r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>
            <w:pPr>
              <w:tabs>
                <w:tab w:val="left" w:pos="4207"/>
              </w:tabs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686" w:type="dxa"/>
            <w:gridSpan w:val="2"/>
            <w:tcBorders>
              <w:right w:val="single" w:color="auto" w:sz="4" w:space="0"/>
            </w:tcBorders>
            <w:noWrap w:val="0"/>
            <w:vAlign w:val="top"/>
          </w:tcPr>
          <w:p>
            <w:pPr>
              <w:ind w:right="-468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color="auto" w:sz="4" w:space="0"/>
            </w:tcBorders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color="auto" w:sz="4" w:space="0"/>
            </w:tcBorders>
            <w:noWrap w:val="0"/>
            <w:vAlign w:val="top"/>
          </w:tcPr>
          <w:p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Vplyv na vlastné imanie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686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686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rPr>
          <w:sz w:val="20"/>
          <w:szCs w:val="20"/>
        </w:rPr>
      </w:pPr>
    </w:p>
    <w:p>
      <w:pPr>
        <w:rPr>
          <w:sz w:val="20"/>
          <w:szCs w:val="20"/>
        </w:rPr>
      </w:pPr>
    </w:p>
    <w:p>
      <w:pPr>
        <w:numPr>
          <w:ilvl w:val="0"/>
          <w:numId w:val="1"/>
        </w:numPr>
        <w:shd w:val="clear" w:color="auto" w:fill="E6E6E6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Informácie, ktoré vysvetľujú a dopĺňajú súvahu a výkaz ziskov a strát </w:t>
      </w:r>
    </w:p>
    <w:p>
      <w:pPr>
        <w:rPr>
          <w:sz w:val="20"/>
          <w:szCs w:val="20"/>
        </w:rPr>
      </w:pPr>
    </w:p>
    <w:p>
      <w:pPr>
        <w:pStyle w:val="53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 xml:space="preserve">K dlhodobému nehmotnému majetku, ktorým je </w:t>
      </w:r>
      <w:r>
        <w:rPr>
          <w:b/>
          <w:bCs/>
          <w:sz w:val="20"/>
          <w:szCs w:val="20"/>
          <w:lang w:eastAsia="sk-SK"/>
        </w:rPr>
        <w:t>goodwill alebo záporný goodwill</w:t>
      </w:r>
      <w:r>
        <w:rPr>
          <w:bCs/>
          <w:sz w:val="20"/>
          <w:szCs w:val="20"/>
          <w:lang w:eastAsia="sk-SK"/>
        </w:rPr>
        <w:t xml:space="preserve"> </w:t>
      </w:r>
      <w:r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>
        <w:rPr>
          <w:i/>
          <w:sz w:val="20"/>
          <w:szCs w:val="20"/>
          <w:u w:val="single"/>
        </w:rPr>
        <w:t xml:space="preserve"> </w:t>
      </w:r>
    </w:p>
    <w:p>
      <w:pPr>
        <w:pStyle w:val="53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>
      <w:pPr>
        <w:pStyle w:val="53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>
        <w:rPr>
          <w:bCs/>
          <w:sz w:val="20"/>
          <w:szCs w:val="20"/>
          <w:lang w:eastAsia="sk-SK"/>
        </w:rPr>
        <w:t xml:space="preserve">, </w:t>
      </w:r>
      <w:r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i/>
          <w:sz w:val="20"/>
          <w:szCs w:val="20"/>
          <w:u w:val="single"/>
        </w:rPr>
        <w:t xml:space="preserve"> .</w:t>
      </w:r>
    </w:p>
    <w:p>
      <w:pPr>
        <w:pStyle w:val="53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Style w:val="12"/>
        <w:tblW w:w="9180" w:type="dxa"/>
        <w:tblInd w:w="-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6"/>
        <w:gridCol w:w="4027"/>
        <w:gridCol w:w="2409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250" w:hRule="atLeast"/>
        </w:trPr>
        <w:tc>
          <w:tcPr>
            <w:tcW w:w="476" w:type="dxa"/>
            <w:noWrap w:val="0"/>
            <w:vAlign w:val="top"/>
          </w:tcPr>
          <w:p>
            <w:pPr>
              <w:pStyle w:val="53"/>
              <w:numPr>
                <w:ilvl w:val="0"/>
                <w:numId w:val="11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  <w:noWrap w:val="0"/>
            <w:vAlign w:val="top"/>
          </w:tcPr>
          <w:p>
            <w:pPr>
              <w:pStyle w:val="53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503" w:type="dxa"/>
            <w:gridSpan w:val="2"/>
            <w:vMerge w:val="restart"/>
            <w:noWrap w:val="0"/>
            <w:vAlign w:val="center"/>
          </w:tcPr>
          <w:p>
            <w:pPr>
              <w:numPr>
                <w:ilvl w:val="0"/>
                <w:numId w:val="12"/>
              </w:numPr>
              <w:spacing w:line="276" w:lineRule="auto"/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>
            <w:pPr>
              <w:pStyle w:val="48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noWrap w:val="0"/>
            <w:vAlign w:val="center"/>
          </w:tcPr>
          <w:p>
            <w:pPr>
              <w:pStyle w:val="48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503" w:type="dxa"/>
            <w:gridSpan w:val="2"/>
            <w:vMerge w:val="continue"/>
            <w:noWrap w:val="0"/>
            <w:vAlign w:val="top"/>
          </w:tcPr>
          <w:p>
            <w:pPr>
              <w:numPr>
                <w:ilvl w:val="0"/>
                <w:numId w:val="12"/>
              </w:numPr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vAlign w:val="top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250874</w:t>
            </w:r>
          </w:p>
        </w:tc>
        <w:tc>
          <w:tcPr>
            <w:tcW w:w="2268" w:type="dxa"/>
            <w:noWrap/>
            <w:vAlign w:val="top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240874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503" w:type="dxa"/>
            <w:gridSpan w:val="2"/>
            <w:noWrap w:val="0"/>
            <w:vAlign w:val="center"/>
          </w:tcPr>
          <w:p>
            <w:pPr>
              <w:numPr>
                <w:ilvl w:val="0"/>
                <w:numId w:val="12"/>
              </w:numPr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noWrap w:val="0"/>
            <w:vAlign w:val="center"/>
          </w:tcPr>
          <w:p>
            <w:pPr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noWrap w:val="0"/>
            <w:vAlign w:val="center"/>
          </w:tcPr>
          <w:p>
            <w:pPr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503" w:type="dxa"/>
            <w:gridSpan w:val="2"/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noWrap w:val="0"/>
            <w:vAlign w:val="center"/>
          </w:tcPr>
          <w:p>
            <w:pPr>
              <w:pStyle w:val="48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noWrap w:val="0"/>
            <w:vAlign w:val="center"/>
          </w:tcPr>
          <w:p>
            <w:pPr>
              <w:pStyle w:val="48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503" w:type="dxa"/>
            <w:gridSpan w:val="2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noWrap w:val="0"/>
            <w:vAlign w:val="center"/>
          </w:tcPr>
          <w:p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503" w:type="dxa"/>
            <w:gridSpan w:val="2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503" w:type="dxa"/>
            <w:gridSpan w:val="2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503" w:type="dxa"/>
            <w:gridSpan w:val="2"/>
            <w:noWrap/>
            <w:vAlign w:val="center"/>
          </w:tcPr>
          <w:p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</w:tbl>
    <w:p>
      <w:pPr>
        <w:pStyle w:val="53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>
      <w:pPr>
        <w:pStyle w:val="53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 vlastných akciách</w:t>
      </w:r>
      <w:r>
        <w:rPr>
          <w:bCs/>
          <w:sz w:val="20"/>
          <w:szCs w:val="20"/>
          <w:lang w:eastAsia="sk-SK"/>
        </w:rPr>
        <w:t>:</w:t>
      </w:r>
    </w:p>
    <w:p>
      <w:pPr>
        <w:pStyle w:val="53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>
      <w:pPr>
        <w:pStyle w:val="53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 xml:space="preserve">informácie </w:t>
      </w:r>
    </w:p>
    <w:p>
      <w:pPr>
        <w:pStyle w:val="53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53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53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>
      <w:pPr>
        <w:pStyle w:val="53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>
      <w:pPr>
        <w:pStyle w:val="53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Style w:val="12"/>
        <w:tblW w:w="9214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6" w:type="dxa"/>
            <w:vMerge w:val="restart"/>
            <w:noWrap w:val="0"/>
            <w:vAlign w:val="center"/>
          </w:tcPr>
          <w:p>
            <w:pPr>
              <w:pStyle w:val="53"/>
              <w:numPr>
                <w:ilvl w:val="0"/>
                <w:numId w:val="11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noWrap w:val="0"/>
            <w:vAlign w:val="center"/>
          </w:tcPr>
          <w:p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6" w:type="dxa"/>
            <w:vMerge w:val="continue"/>
            <w:noWrap w:val="0"/>
            <w:vAlign w:val="center"/>
          </w:tcPr>
          <w:p>
            <w:pPr>
              <w:pStyle w:val="53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continue"/>
            <w:noWrap w:val="0"/>
            <w:vAlign w:val="center"/>
          </w:tcPr>
          <w:p>
            <w:pPr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126" w:type="dxa"/>
            <w:noWrap w:val="0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noWrap w:val="0"/>
            <w:vAlign w:val="center"/>
          </w:tcPr>
          <w:p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>
      <w:pPr>
        <w:jc w:val="both"/>
        <w:rPr>
          <w:bCs/>
          <w:i/>
          <w:sz w:val="20"/>
          <w:szCs w:val="20"/>
          <w:lang w:eastAsia="sk-SK"/>
        </w:rPr>
      </w:pPr>
    </w:p>
    <w:tbl>
      <w:tblPr>
        <w:tblStyle w:val="12"/>
        <w:tblW w:w="9214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3827"/>
        <w:gridCol w:w="2268"/>
        <w:gridCol w:w="1385"/>
        <w:gridCol w:w="13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751" w:hRule="atLeast"/>
        </w:trPr>
        <w:tc>
          <w:tcPr>
            <w:tcW w:w="426" w:type="dxa"/>
            <w:noWrap w:val="0"/>
            <w:vAlign w:val="top"/>
          </w:tcPr>
          <w:p>
            <w:pPr>
              <w:pStyle w:val="53"/>
              <w:numPr>
                <w:ilvl w:val="0"/>
                <w:numId w:val="11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>
            <w:pPr>
              <w:pStyle w:val="53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>
            <w:pPr>
              <w:pStyle w:val="53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  <w:noWrap w:val="0"/>
            <w:vAlign w:val="top"/>
          </w:tcPr>
          <w:p>
            <w:pPr>
              <w:pStyle w:val="53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>
            <w:pPr>
              <w:pStyle w:val="53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>
            <w:pPr>
              <w:pStyle w:val="53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53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pStyle w:val="48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53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48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Tržby z predaja služieb</w:t>
            </w:r>
          </w:p>
        </w:tc>
        <w:tc>
          <w:tcPr>
            <w:tcW w:w="2268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48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396</w:t>
            </w:r>
          </w:p>
        </w:tc>
        <w:tc>
          <w:tcPr>
            <w:tcW w:w="1308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pStyle w:val="48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279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53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53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</w:p>
        </w:tc>
      </w:tr>
    </w:tbl>
    <w:p>
      <w:pPr>
        <w:rPr>
          <w:sz w:val="20"/>
          <w:szCs w:val="20"/>
        </w:rPr>
      </w:pPr>
    </w:p>
    <w:p>
      <w:pPr>
        <w:rPr>
          <w:sz w:val="20"/>
          <w:szCs w:val="20"/>
        </w:rPr>
      </w:pPr>
    </w:p>
    <w:p>
      <w:pPr>
        <w:numPr>
          <w:ilvl w:val="0"/>
          <w:numId w:val="1"/>
        </w:numPr>
        <w:shd w:val="clear" w:color="auto" w:fill="E6E6E6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iných aktívach a iných pasívach </w:t>
      </w:r>
    </w:p>
    <w:p>
      <w:pPr>
        <w:rPr>
          <w:sz w:val="20"/>
          <w:szCs w:val="20"/>
        </w:rPr>
      </w:pPr>
    </w:p>
    <w:tbl>
      <w:tblPr>
        <w:tblStyle w:val="12"/>
        <w:tblW w:w="9214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76"/>
        <w:gridCol w:w="5578"/>
        <w:gridCol w:w="283"/>
        <w:gridCol w:w="1560"/>
        <w:gridCol w:w="14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200" w:hRule="atLeast"/>
        </w:trPr>
        <w:tc>
          <w:tcPr>
            <w:tcW w:w="376" w:type="dxa"/>
            <w:noWrap w:val="0"/>
            <w:vAlign w:val="top"/>
          </w:tcPr>
          <w:p>
            <w:pPr>
              <w:pStyle w:val="53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  <w:noWrap w:val="0"/>
            <w:vAlign w:val="top"/>
          </w:tcPr>
          <w:p>
            <w:pPr>
              <w:pStyle w:val="53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53"/>
              <w:numPr>
                <w:ilvl w:val="0"/>
                <w:numId w:val="16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  <w:noWrap w:val="0"/>
            <w:vAlign w:val="top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pStyle w:val="48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954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214" w:type="dxa"/>
            <w:gridSpan w:val="5"/>
            <w:noWrap w:val="0"/>
            <w:vAlign w:val="center"/>
          </w:tcPr>
          <w:p>
            <w:pPr>
              <w:pStyle w:val="53"/>
              <w:numPr>
                <w:ilvl w:val="0"/>
                <w:numId w:val="16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954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color="auto" w:sz="4" w:space="0"/>
            </w:tcBorders>
            <w:noWrap w:val="0"/>
            <w:vAlign w:val="top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8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pStyle w:val="48"/>
              <w:jc w:val="left"/>
              <w:rPr>
                <w:b w:val="0"/>
                <w:sz w:val="20"/>
                <w:szCs w:val="20"/>
              </w:rPr>
            </w:pPr>
          </w:p>
        </w:tc>
      </w:tr>
    </w:tbl>
    <w:p>
      <w:pPr>
        <w:pStyle w:val="53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Style w:val="12"/>
        <w:tblW w:w="9214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1"/>
        <w:gridCol w:w="5553"/>
        <w:gridCol w:w="283"/>
        <w:gridCol w:w="1418"/>
        <w:gridCol w:w="155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401" w:type="dxa"/>
            <w:tcBorders>
              <w:right w:val="single" w:color="auto" w:sz="4" w:space="0"/>
            </w:tcBorders>
            <w:noWrap w:val="0"/>
            <w:vAlign w:val="top"/>
          </w:tcPr>
          <w:p>
            <w:pPr>
              <w:pStyle w:val="53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noWrap w:val="0"/>
            <w:vAlign w:val="top"/>
          </w:tcPr>
          <w:p>
            <w:pPr>
              <w:pStyle w:val="53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53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Uzatvorená zmluva o úvere (peniaze ešte neboli poskytnuté)</w:t>
            </w:r>
          </w:p>
        </w:tc>
        <w:tc>
          <w:tcPr>
            <w:tcW w:w="283" w:type="dxa"/>
            <w:noWrap w:val="0"/>
            <w:vAlign w:val="top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53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  <w:noWrap w:val="0"/>
            <w:vAlign w:val="top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53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  <w:noWrap w:val="0"/>
            <w:vAlign w:val="top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53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  <w:noWrap w:val="0"/>
            <w:vAlign w:val="top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53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  <w:noWrap w:val="0"/>
            <w:vAlign w:val="top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53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  <w:noWrap w:val="0"/>
            <w:vAlign w:val="top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pStyle w:val="53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Style w:val="12"/>
        <w:tblW w:w="9214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1"/>
        <w:gridCol w:w="4419"/>
        <w:gridCol w:w="1417"/>
        <w:gridCol w:w="1560"/>
        <w:gridCol w:w="141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401" w:type="dxa"/>
            <w:tcBorders>
              <w:right w:val="single" w:color="auto" w:sz="4" w:space="0"/>
            </w:tcBorders>
            <w:noWrap w:val="0"/>
            <w:vAlign w:val="top"/>
          </w:tcPr>
          <w:p>
            <w:pPr>
              <w:pStyle w:val="53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>
            <w:pPr>
              <w:pStyle w:val="53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color="auto" w:sz="4" w:space="0"/>
            </w:tcBorders>
            <w:noWrap w:val="0"/>
            <w:vAlign w:val="top"/>
          </w:tcPr>
          <w:p>
            <w:pPr>
              <w:pStyle w:val="53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>
            <w:pPr>
              <w:pStyle w:val="53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82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53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82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53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820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3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3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3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3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3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3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3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53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rPr>
          <w:sz w:val="20"/>
          <w:szCs w:val="20"/>
        </w:rPr>
      </w:pPr>
    </w:p>
    <w:p>
      <w:pPr>
        <w:rPr>
          <w:sz w:val="20"/>
          <w:szCs w:val="20"/>
        </w:rPr>
      </w:pPr>
    </w:p>
    <w:p>
      <w:pPr>
        <w:rPr>
          <w:sz w:val="20"/>
          <w:szCs w:val="20"/>
        </w:rPr>
      </w:pPr>
    </w:p>
    <w:p>
      <w:pPr>
        <w:rPr>
          <w:sz w:val="20"/>
          <w:szCs w:val="20"/>
        </w:rPr>
      </w:pPr>
    </w:p>
    <w:p>
      <w:pPr>
        <w:rPr>
          <w:sz w:val="20"/>
          <w:szCs w:val="20"/>
        </w:rPr>
      </w:pPr>
    </w:p>
    <w:p>
      <w:pPr>
        <w:numPr>
          <w:ilvl w:val="0"/>
          <w:numId w:val="1"/>
        </w:numPr>
        <w:shd w:val="clear" w:color="auto" w:fill="E6E6E6"/>
        <w:ind w:left="0" w:firstLine="2127"/>
        <w:rPr>
          <w:i/>
          <w:szCs w:val="20"/>
        </w:rPr>
      </w:pPr>
      <w:r>
        <w:rPr>
          <w:i/>
          <w:szCs w:val="20"/>
        </w:rPr>
        <w:t>Udalosti ,ktoré nastali po dni ,ku ktorému sa zostavuje účtovná závierka </w:t>
      </w:r>
    </w:p>
    <w:p>
      <w:pPr>
        <w:pStyle w:val="53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>
      <w:pPr>
        <w:pStyle w:val="53"/>
        <w:spacing w:after="0" w:line="240" w:lineRule="auto"/>
        <w:ind w:left="0"/>
        <w:jc w:val="both"/>
        <w:rPr>
          <w:b/>
          <w:sz w:val="20"/>
          <w:szCs w:val="20"/>
          <w:lang w:eastAsia="sk-SK"/>
        </w:rPr>
      </w:pPr>
      <w:r>
        <w:rPr>
          <w:b/>
          <w:sz w:val="20"/>
          <w:szCs w:val="20"/>
          <w:lang w:eastAsia="sk-SK"/>
        </w:rPr>
        <w:t>Ku dňu zostavenia účtovnej závierky nenastali žiadne významné udalosti.</w:t>
      </w:r>
    </w:p>
    <w:p>
      <w:pPr>
        <w:pStyle w:val="53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>
      <w:pPr>
        <w:pStyle w:val="53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Style w:val="12"/>
        <w:tblW w:w="9214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529"/>
        <w:gridCol w:w="3402"/>
        <w:gridCol w:w="2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538" w:hRule="atLeast"/>
        </w:trPr>
        <w:tc>
          <w:tcPr>
            <w:tcW w:w="9214" w:type="dxa"/>
            <w:gridSpan w:val="3"/>
            <w:noWrap w:val="0"/>
            <w:vAlign w:val="top"/>
          </w:tcPr>
          <w:p>
            <w:pPr>
              <w:pStyle w:val="53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strát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529" w:type="dxa"/>
            <w:noWrap w:val="0"/>
            <w:vAlign w:val="top"/>
          </w:tcPr>
          <w:p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noWrap w:val="0"/>
            <w:vAlign w:val="center"/>
          </w:tcPr>
          <w:p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529" w:type="dxa"/>
            <w:noWrap w:val="0"/>
            <w:vAlign w:val="top"/>
          </w:tcPr>
          <w:p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noWrap w:val="0"/>
            <w:vAlign w:val="center"/>
          </w:tcPr>
          <w:p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529" w:type="dxa"/>
            <w:noWrap w:val="0"/>
            <w:vAlign w:val="top"/>
          </w:tcPr>
          <w:p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noWrap w:val="0"/>
            <w:vAlign w:val="center"/>
          </w:tcPr>
          <w:p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529" w:type="dxa"/>
            <w:noWrap w:val="0"/>
            <w:vAlign w:val="top"/>
          </w:tcPr>
          <w:p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noWrap w:val="0"/>
            <w:vAlign w:val="center"/>
          </w:tcPr>
          <w:p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529" w:type="dxa"/>
            <w:noWrap w:val="0"/>
            <w:vAlign w:val="top"/>
          </w:tcPr>
          <w:p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noWrap w:val="0"/>
            <w:vAlign w:val="center"/>
          </w:tcPr>
          <w:p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529" w:type="dxa"/>
            <w:noWrap w:val="0"/>
            <w:vAlign w:val="top"/>
          </w:tcPr>
          <w:p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noWrap w:val="0"/>
            <w:vAlign w:val="center"/>
          </w:tcPr>
          <w:p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529" w:type="dxa"/>
            <w:noWrap w:val="0"/>
            <w:vAlign w:val="top"/>
          </w:tcPr>
          <w:p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noWrap w:val="0"/>
            <w:vAlign w:val="center"/>
          </w:tcPr>
          <w:p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529" w:type="dxa"/>
            <w:noWrap w:val="0"/>
            <w:vAlign w:val="top"/>
          </w:tcPr>
          <w:p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noWrap w:val="0"/>
            <w:vAlign w:val="center"/>
          </w:tcPr>
          <w:p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529" w:type="dxa"/>
            <w:noWrap w:val="0"/>
            <w:vAlign w:val="top"/>
          </w:tcPr>
          <w:p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noWrap w:val="0"/>
            <w:vAlign w:val="center"/>
          </w:tcPr>
          <w:p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529" w:type="dxa"/>
            <w:noWrap w:val="0"/>
            <w:vAlign w:val="top"/>
          </w:tcPr>
          <w:p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noWrap w:val="0"/>
            <w:vAlign w:val="center"/>
          </w:tcPr>
          <w:p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529" w:type="dxa"/>
            <w:noWrap w:val="0"/>
            <w:vAlign w:val="top"/>
          </w:tcPr>
          <w:p>
            <w:pPr>
              <w:numPr>
                <w:ilvl w:val="0"/>
                <w:numId w:val="17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noWrap w:val="0"/>
            <w:vAlign w:val="center"/>
          </w:tcPr>
          <w:p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>
      <w:pPr>
        <w:pStyle w:val="27"/>
        <w:spacing w:before="0" w:beforeAutospacing="0" w:after="0"/>
        <w:ind w:left="360"/>
        <w:jc w:val="left"/>
        <w:rPr>
          <w:sz w:val="20"/>
          <w:szCs w:val="20"/>
        </w:rPr>
      </w:pPr>
    </w:p>
    <w:p/>
    <w:p>
      <w:pPr>
        <w:numPr>
          <w:ilvl w:val="0"/>
          <w:numId w:val="1"/>
        </w:numPr>
        <w:shd w:val="clear" w:color="auto" w:fill="E6E6E6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Ostatné informácie</w:t>
      </w:r>
    </w:p>
    <w:p>
      <w:pPr>
        <w:rPr>
          <w:sz w:val="20"/>
          <w:szCs w:val="20"/>
        </w:rPr>
      </w:pPr>
    </w:p>
    <w:p>
      <w:pPr>
        <w:numPr>
          <w:ilvl w:val="0"/>
          <w:numId w:val="18"/>
        </w:numPr>
        <w:ind w:left="357" w:hanging="357"/>
        <w:jc w:val="both"/>
        <w:rPr>
          <w:sz w:val="20"/>
          <w:szCs w:val="20"/>
        </w:rPr>
      </w:pPr>
      <w:r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numPr>
          <w:ilvl w:val="0"/>
          <w:numId w:val="19"/>
        </w:numPr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formách prijatej náhrady,</w:t>
      </w:r>
    </w:p>
    <w:p>
      <w:pPr>
        <w:numPr>
          <w:ilvl w:val="0"/>
          <w:numId w:val="19"/>
        </w:numPr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účtovných zásadách použitých pri prideľovaní nákladov a výnosov,</w:t>
      </w:r>
    </w:p>
    <w:p>
      <w:pPr>
        <w:numPr>
          <w:ilvl w:val="0"/>
          <w:numId w:val="19"/>
        </w:numPr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druhoch činností účtovnej jednotky.</w:t>
      </w:r>
    </w:p>
    <w:p>
      <w:pPr>
        <w:ind w:left="641"/>
        <w:jc w:val="both"/>
        <w:rPr>
          <w:sz w:val="20"/>
          <w:szCs w:val="20"/>
        </w:rPr>
      </w:pPr>
    </w:p>
    <w:p>
      <w:pPr>
        <w:numPr>
          <w:ilvl w:val="0"/>
          <w:numId w:val="18"/>
        </w:numPr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>
      <w:pPr>
        <w:numPr>
          <w:ilvl w:val="0"/>
          <w:numId w:val="18"/>
        </w:numPr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>
      <w:pPr>
        <w:rPr>
          <w:sz w:val="20"/>
          <w:szCs w:val="20"/>
        </w:rPr>
      </w:pPr>
    </w:p>
    <w:p>
      <w:pPr>
        <w:rPr>
          <w:i/>
          <w:sz w:val="20"/>
          <w:szCs w:val="20"/>
        </w:rPr>
      </w:pPr>
      <w:r>
        <w:rPr>
          <w:i/>
          <w:sz w:val="20"/>
          <w:szCs w:val="20"/>
        </w:rPr>
        <w:t>Použité  skratky:</w:t>
      </w:r>
    </w:p>
    <w:p>
      <w:pPr>
        <w:rPr>
          <w:i/>
          <w:sz w:val="20"/>
          <w:szCs w:val="20"/>
        </w:rPr>
      </w:pPr>
      <w:r>
        <w:rPr>
          <w:i/>
          <w:sz w:val="20"/>
          <w:szCs w:val="20"/>
        </w:rPr>
        <w:t>ÚJ - účtovná jednotka</w:t>
      </w:r>
    </w:p>
    <w:p>
      <w:pPr>
        <w:rPr>
          <w:i/>
          <w:sz w:val="20"/>
          <w:szCs w:val="20"/>
        </w:rPr>
      </w:pPr>
      <w:r>
        <w:rPr>
          <w:i/>
          <w:sz w:val="20"/>
          <w:szCs w:val="20"/>
        </w:rPr>
        <w:t>BO - bežné účtovné obdobie</w:t>
      </w:r>
    </w:p>
    <w:p>
      <w:pPr>
        <w:rPr>
          <w:i/>
          <w:sz w:val="20"/>
          <w:szCs w:val="20"/>
        </w:rPr>
      </w:pPr>
      <w:r>
        <w:rPr>
          <w:i/>
          <w:sz w:val="20"/>
          <w:szCs w:val="20"/>
        </w:rPr>
        <w:t>PO - bezprostredne predchádzajúce účtovné obdobie</w:t>
      </w:r>
    </w:p>
    <w:p>
      <w:pPr>
        <w:rPr>
          <w:i/>
          <w:sz w:val="20"/>
          <w:szCs w:val="20"/>
        </w:rPr>
      </w:pPr>
      <w:r>
        <w:rPr>
          <w:i/>
          <w:sz w:val="20"/>
          <w:szCs w:val="20"/>
        </w:rPr>
        <w:t>ÚO - účtovné obdobie</w:t>
      </w:r>
    </w:p>
    <w:p>
      <w:pPr>
        <w:rPr>
          <w:i/>
          <w:sz w:val="20"/>
          <w:szCs w:val="20"/>
        </w:rPr>
      </w:pPr>
      <w:r>
        <w:rPr>
          <w:i/>
          <w:sz w:val="20"/>
          <w:szCs w:val="20"/>
        </w:rPr>
        <w:t>X - položka sa vzťahuje na účtovnú jednotku</w:t>
      </w:r>
    </w:p>
    <w:p>
      <w:pPr>
        <w:rPr>
          <w:i/>
          <w:sz w:val="20"/>
          <w:szCs w:val="20"/>
        </w:rPr>
      </w:pPr>
    </w:p>
    <w:p>
      <w:pPr>
        <w:rPr>
          <w:i/>
          <w:sz w:val="20"/>
          <w:szCs w:val="20"/>
        </w:rPr>
      </w:pPr>
    </w:p>
    <w:p>
      <w:pPr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>
      <w:pPr>
        <w:rPr>
          <w:i/>
          <w:sz w:val="20"/>
          <w:szCs w:val="20"/>
        </w:rPr>
      </w:pPr>
      <w:r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>
      <w:pPr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Informácie, ak je to </w:t>
      </w:r>
      <w:r>
        <w:rPr>
          <w:b/>
          <w:i/>
          <w:sz w:val="20"/>
          <w:szCs w:val="20"/>
        </w:rPr>
        <w:t>možné sa uvádzajú v tabuľkovej forme, pričom sa uvádzajú údaje za bežné účtovné obdobie</w:t>
      </w:r>
      <w:r>
        <w:rPr>
          <w:i/>
          <w:sz w:val="20"/>
          <w:szCs w:val="20"/>
        </w:rPr>
        <w:t xml:space="preserve">. </w:t>
      </w:r>
      <w:r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>
      <w:pPr>
        <w:rPr>
          <w:sz w:val="20"/>
          <w:szCs w:val="20"/>
        </w:rPr>
      </w:pPr>
    </w:p>
    <w:p>
      <w:pPr>
        <w:rPr>
          <w:i/>
          <w:sz w:val="20"/>
          <w:szCs w:val="20"/>
        </w:rPr>
      </w:pPr>
    </w:p>
    <w:p>
      <w:pPr>
        <w:rPr>
          <w:i/>
          <w:sz w:val="20"/>
          <w:szCs w:val="20"/>
        </w:rPr>
      </w:pPr>
    </w:p>
    <w:sectPr>
      <w:headerReference r:id="rId3" w:type="default"/>
      <w:footerReference r:id="rId4" w:type="default"/>
      <w:pgSz w:w="11907" w:h="16839"/>
      <w:pgMar w:top="1418" w:right="1361" w:bottom="1418" w:left="1361" w:header="709" w:footer="709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right"/>
      <w:rPr>
        <w:sz w:val="21"/>
        <w:szCs w:val="21"/>
      </w:rPr>
    </w:pPr>
    <w:r>
      <w:rPr>
        <w:sz w:val="21"/>
        <w:szCs w:val="21"/>
      </w:rPr>
      <w:fldChar w:fldCharType="begin"/>
    </w:r>
    <w:r>
      <w:rPr>
        <w:sz w:val="21"/>
        <w:szCs w:val="21"/>
      </w:rPr>
      <w:instrText xml:space="preserve"> PAGE   \* MERGEFORMAT </w:instrText>
    </w:r>
    <w:r>
      <w:rPr>
        <w:sz w:val="21"/>
        <w:szCs w:val="21"/>
      </w:rPr>
      <w:fldChar w:fldCharType="separate"/>
    </w:r>
    <w:r>
      <w:rPr>
        <w:sz w:val="21"/>
        <w:szCs w:val="21"/>
        <w:lang/>
      </w:rPr>
      <w:t>15</w:t>
    </w:r>
    <w:r>
      <w:rPr>
        <w:sz w:val="21"/>
        <w:szCs w:val="21"/>
      </w:rPr>
      <w:fldChar w:fldCharType="end"/>
    </w:r>
  </w:p>
  <w:p>
    <w:pPr>
      <w:pStyle w:val="19"/>
      <w:rPr>
        <w:sz w:val="19"/>
        <w:szCs w:val="19"/>
      </w:rPr>
    </w:pPr>
  </w:p>
  <w:p>
    <w:pPr>
      <w:rPr>
        <w:sz w:val="21"/>
        <w:szCs w:val="21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0" w:type="auto"/>
      <w:tblInd w:w="93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529"/>
      <w:gridCol w:w="1417"/>
      <w:gridCol w:w="2410"/>
      <w:gridCol w:w="444"/>
      <w:gridCol w:w="2249"/>
    </w:tblGrid>
    <w:tr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</w:tblPrEx>
      <w:trPr>
        <w:wBefore w:w="0" w:type="dxa"/>
        <w:wAfter w:w="0" w:type="dxa"/>
        <w:trHeight w:val="326" w:hRule="atLeast"/>
      </w:trPr>
      <w:tc>
        <w:tcPr>
          <w:tcW w:w="2529" w:type="dxa"/>
          <w:noWrap w:val="0"/>
          <w:vAlign w:val="center"/>
        </w:tcPr>
        <w:p>
          <w:pPr>
            <w:pStyle w:val="22"/>
          </w:pPr>
          <w:r>
            <w:t>Poznámky Úč POD 3- 01</w:t>
          </w:r>
        </w:p>
      </w:tc>
      <w:tc>
        <w:tcPr>
          <w:tcW w:w="1417" w:type="dxa"/>
          <w:tcBorders>
            <w:top w:val="nil"/>
            <w:bottom w:val="nil"/>
          </w:tcBorders>
          <w:noWrap w:val="0"/>
          <w:vAlign w:val="center"/>
        </w:tcPr>
        <w:p/>
      </w:tc>
      <w:tc>
        <w:tcPr>
          <w:tcW w:w="2410" w:type="dxa"/>
          <w:noWrap w:val="0"/>
          <w:vAlign w:val="center"/>
        </w:tcPr>
        <w:p>
          <w:r>
            <w:t>IČO: 35927275</w:t>
          </w:r>
        </w:p>
      </w:tc>
      <w:tc>
        <w:tcPr>
          <w:tcW w:w="444" w:type="dxa"/>
          <w:tcBorders>
            <w:top w:val="nil"/>
            <w:bottom w:val="nil"/>
          </w:tcBorders>
          <w:noWrap w:val="0"/>
          <w:vAlign w:val="center"/>
        </w:tcPr>
        <w:p/>
      </w:tc>
      <w:tc>
        <w:tcPr>
          <w:tcW w:w="2249" w:type="dxa"/>
          <w:noWrap w:val="0"/>
          <w:vAlign w:val="center"/>
        </w:tcPr>
        <w:p>
          <w:r>
            <w:t>DIČ: 2021979751</w:t>
          </w:r>
        </w:p>
      </w:tc>
    </w:tr>
  </w:tbl>
  <w:p>
    <w:pPr>
      <w:pStyle w:val="2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33B21C4"/>
    <w:multiLevelType w:val="multilevel"/>
    <w:tmpl w:val="033B21C4"/>
    <w:lvl w:ilvl="0" w:tentative="0">
      <w:start w:val="1"/>
      <w:numFmt w:val="lowerLetter"/>
      <w:lvlText w:val="%1)"/>
      <w:lvlJc w:val="left"/>
      <w:pPr>
        <w:ind w:left="862" w:hanging="360"/>
      </w:pPr>
    </w:lvl>
    <w:lvl w:ilvl="1" w:tentative="0">
      <w:start w:val="1"/>
      <w:numFmt w:val="lowerLetter"/>
      <w:lvlText w:val="%2."/>
      <w:lvlJc w:val="left"/>
      <w:pPr>
        <w:ind w:left="1582" w:hanging="360"/>
      </w:pPr>
    </w:lvl>
    <w:lvl w:ilvl="2" w:tentative="0">
      <w:start w:val="1"/>
      <w:numFmt w:val="lowerRoman"/>
      <w:lvlText w:val="%3."/>
      <w:lvlJc w:val="right"/>
      <w:pPr>
        <w:ind w:left="2302" w:hanging="180"/>
      </w:pPr>
    </w:lvl>
    <w:lvl w:ilvl="3" w:tentative="0">
      <w:start w:val="1"/>
      <w:numFmt w:val="decimal"/>
      <w:lvlText w:val="%4."/>
      <w:lvlJc w:val="left"/>
      <w:pPr>
        <w:ind w:left="3022" w:hanging="360"/>
      </w:pPr>
    </w:lvl>
    <w:lvl w:ilvl="4" w:tentative="0">
      <w:start w:val="1"/>
      <w:numFmt w:val="lowerLetter"/>
      <w:lvlText w:val="%5."/>
      <w:lvlJc w:val="left"/>
      <w:pPr>
        <w:ind w:left="3742" w:hanging="360"/>
      </w:pPr>
    </w:lvl>
    <w:lvl w:ilvl="5" w:tentative="0">
      <w:start w:val="1"/>
      <w:numFmt w:val="lowerRoman"/>
      <w:lvlText w:val="%6."/>
      <w:lvlJc w:val="right"/>
      <w:pPr>
        <w:ind w:left="4462" w:hanging="180"/>
      </w:pPr>
    </w:lvl>
    <w:lvl w:ilvl="6" w:tentative="0">
      <w:start w:val="1"/>
      <w:numFmt w:val="decimal"/>
      <w:lvlText w:val="%7."/>
      <w:lvlJc w:val="left"/>
      <w:pPr>
        <w:ind w:left="5182" w:hanging="360"/>
      </w:pPr>
    </w:lvl>
    <w:lvl w:ilvl="7" w:tentative="0">
      <w:start w:val="1"/>
      <w:numFmt w:val="lowerLetter"/>
      <w:lvlText w:val="%8."/>
      <w:lvlJc w:val="left"/>
      <w:pPr>
        <w:ind w:left="5902" w:hanging="360"/>
      </w:pPr>
    </w:lvl>
    <w:lvl w:ilvl="8" w:tentative="0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multilevel"/>
    <w:tmpl w:val="065F1FA0"/>
    <w:lvl w:ilvl="0" w:tentative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multilevel"/>
    <w:tmpl w:val="157E473F"/>
    <w:lvl w:ilvl="0" w:tentative="0">
      <w:start w:val="1"/>
      <w:numFmt w:val="lowerLetter"/>
      <w:lvlText w:val="%1)"/>
      <w:lvlJc w:val="left"/>
      <w:pPr>
        <w:tabs>
          <w:tab w:val="left" w:pos="-210"/>
        </w:tabs>
        <w:ind w:left="641" w:hanging="284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077" w:hanging="360"/>
      </w:pPr>
    </w:lvl>
    <w:lvl w:ilvl="2" w:tentative="0">
      <w:start w:val="1"/>
      <w:numFmt w:val="lowerRoman"/>
      <w:lvlText w:val="%3."/>
      <w:lvlJc w:val="right"/>
      <w:pPr>
        <w:ind w:left="1797" w:hanging="180"/>
      </w:pPr>
    </w:lvl>
    <w:lvl w:ilvl="3" w:tentative="0">
      <w:start w:val="1"/>
      <w:numFmt w:val="decimal"/>
      <w:lvlText w:val="%4."/>
      <w:lvlJc w:val="left"/>
      <w:pPr>
        <w:ind w:left="2517" w:hanging="360"/>
      </w:pPr>
    </w:lvl>
    <w:lvl w:ilvl="4" w:tentative="0">
      <w:start w:val="1"/>
      <w:numFmt w:val="lowerLetter"/>
      <w:lvlText w:val="%5."/>
      <w:lvlJc w:val="left"/>
      <w:pPr>
        <w:ind w:left="3237" w:hanging="360"/>
      </w:pPr>
    </w:lvl>
    <w:lvl w:ilvl="5" w:tentative="0">
      <w:start w:val="1"/>
      <w:numFmt w:val="lowerRoman"/>
      <w:lvlText w:val="%6."/>
      <w:lvlJc w:val="right"/>
      <w:pPr>
        <w:ind w:left="3957" w:hanging="180"/>
      </w:pPr>
    </w:lvl>
    <w:lvl w:ilvl="6" w:tentative="0">
      <w:start w:val="1"/>
      <w:numFmt w:val="decimal"/>
      <w:lvlText w:val="%7."/>
      <w:lvlJc w:val="left"/>
      <w:pPr>
        <w:ind w:left="4677" w:hanging="360"/>
      </w:pPr>
    </w:lvl>
    <w:lvl w:ilvl="7" w:tentative="0">
      <w:start w:val="1"/>
      <w:numFmt w:val="lowerLetter"/>
      <w:lvlText w:val="%8."/>
      <w:lvlJc w:val="left"/>
      <w:pPr>
        <w:ind w:left="5397" w:hanging="360"/>
      </w:pPr>
    </w:lvl>
    <w:lvl w:ilvl="8" w:tentative="0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multilevel"/>
    <w:tmpl w:val="1B1C2C20"/>
    <w:lvl w:ilvl="0" w:tentative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FE5B14"/>
    <w:multiLevelType w:val="multilevel"/>
    <w:tmpl w:val="1DFE5B14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multilevel"/>
    <w:tmpl w:val="207572B6"/>
    <w:lvl w:ilvl="0" w:tentative="0">
      <w:start w:val="1"/>
      <w:numFmt w:val="lowerLetter"/>
      <w:lvlText w:val="%1)"/>
      <w:lvlJc w:val="left"/>
      <w:pPr>
        <w:tabs>
          <w:tab w:val="left" w:pos="-567"/>
        </w:tabs>
        <w:ind w:left="284" w:hanging="284"/>
      </w:pPr>
      <w:rPr>
        <w:rFonts w:hint="default" w:cs="Times New Roman"/>
      </w:rPr>
    </w:lvl>
    <w:lvl w:ilvl="1" w:tentative="0">
      <w:start w:val="1"/>
      <w:numFmt w:val="lowerLetter"/>
      <w:lvlText w:val="%2."/>
      <w:lvlJc w:val="left"/>
      <w:pPr>
        <w:tabs>
          <w:tab w:val="left" w:pos="720"/>
        </w:tabs>
        <w:ind w:left="72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1440"/>
        </w:tabs>
        <w:ind w:left="144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3600"/>
        </w:tabs>
        <w:ind w:left="360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5760"/>
        </w:tabs>
        <w:ind w:left="5760" w:hanging="180"/>
      </w:pPr>
      <w:rPr>
        <w:rFonts w:cs="Times New Roman"/>
      </w:rPr>
    </w:lvl>
  </w:abstractNum>
  <w:abstractNum w:abstractNumId="6">
    <w:nsid w:val="221C3BD9"/>
    <w:multiLevelType w:val="multilevel"/>
    <w:tmpl w:val="221C3BD9"/>
    <w:lvl w:ilvl="0" w:tentative="0">
      <w:start w:val="1"/>
      <w:numFmt w:val="upperRoman"/>
      <w:lvlText w:val="%1."/>
      <w:lvlJc w:val="right"/>
      <w:pPr>
        <w:ind w:left="2345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44667"/>
    <w:multiLevelType w:val="multilevel"/>
    <w:tmpl w:val="29444667"/>
    <w:lvl w:ilvl="0" w:tentative="0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0771E8"/>
    <w:multiLevelType w:val="multilevel"/>
    <w:tmpl w:val="320771E8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39508A8"/>
    <w:multiLevelType w:val="multilevel"/>
    <w:tmpl w:val="339508A8"/>
    <w:lvl w:ilvl="0" w:tentative="0">
      <w:start w:val="1"/>
      <w:numFmt w:val="decimal"/>
      <w:lvlText w:val="%1."/>
      <w:lvlJc w:val="left"/>
      <w:pPr>
        <w:ind w:left="1068" w:hanging="360"/>
      </w:p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7EB7989"/>
    <w:multiLevelType w:val="multilevel"/>
    <w:tmpl w:val="37EB7989"/>
    <w:lvl w:ilvl="0" w:tentative="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BD111F9"/>
    <w:multiLevelType w:val="multilevel"/>
    <w:tmpl w:val="3BD111F9"/>
    <w:lvl w:ilvl="0" w:tentative="0">
      <w:start w:val="1"/>
      <w:numFmt w:val="decimal"/>
      <w:lvlText w:val="%1."/>
      <w:lvlJc w:val="left"/>
      <w:pPr>
        <w:ind w:left="1068" w:hanging="360"/>
      </w:p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CA71C56"/>
    <w:multiLevelType w:val="multilevel"/>
    <w:tmpl w:val="3CA71C56"/>
    <w:lvl w:ilvl="0" w:tentative="0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entative="0">
      <w:start w:val="1"/>
      <w:numFmt w:val="lowerLetter"/>
      <w:lvlText w:val="%2."/>
      <w:lvlJc w:val="left"/>
      <w:pPr>
        <w:ind w:left="1188" w:hanging="360"/>
      </w:pPr>
    </w:lvl>
    <w:lvl w:ilvl="2" w:tentative="0">
      <w:start w:val="1"/>
      <w:numFmt w:val="lowerRoman"/>
      <w:lvlText w:val="%3."/>
      <w:lvlJc w:val="right"/>
      <w:pPr>
        <w:ind w:left="1908" w:hanging="180"/>
      </w:pPr>
    </w:lvl>
    <w:lvl w:ilvl="3" w:tentative="0">
      <w:start w:val="1"/>
      <w:numFmt w:val="decimal"/>
      <w:lvlText w:val="%4."/>
      <w:lvlJc w:val="left"/>
      <w:pPr>
        <w:ind w:left="2628" w:hanging="360"/>
      </w:pPr>
    </w:lvl>
    <w:lvl w:ilvl="4" w:tentative="0">
      <w:start w:val="1"/>
      <w:numFmt w:val="lowerLetter"/>
      <w:lvlText w:val="%5."/>
      <w:lvlJc w:val="left"/>
      <w:pPr>
        <w:ind w:left="3348" w:hanging="360"/>
      </w:pPr>
    </w:lvl>
    <w:lvl w:ilvl="5" w:tentative="0">
      <w:start w:val="1"/>
      <w:numFmt w:val="lowerRoman"/>
      <w:lvlText w:val="%6."/>
      <w:lvlJc w:val="right"/>
      <w:pPr>
        <w:ind w:left="4068" w:hanging="180"/>
      </w:pPr>
    </w:lvl>
    <w:lvl w:ilvl="6" w:tentative="0">
      <w:start w:val="1"/>
      <w:numFmt w:val="decimal"/>
      <w:lvlText w:val="%7."/>
      <w:lvlJc w:val="left"/>
      <w:pPr>
        <w:ind w:left="4788" w:hanging="360"/>
      </w:pPr>
    </w:lvl>
    <w:lvl w:ilvl="7" w:tentative="0">
      <w:start w:val="1"/>
      <w:numFmt w:val="lowerLetter"/>
      <w:lvlText w:val="%8."/>
      <w:lvlJc w:val="left"/>
      <w:pPr>
        <w:ind w:left="5508" w:hanging="360"/>
      </w:pPr>
    </w:lvl>
    <w:lvl w:ilvl="8" w:tentative="0">
      <w:start w:val="1"/>
      <w:numFmt w:val="lowerRoman"/>
      <w:lvlText w:val="%9."/>
      <w:lvlJc w:val="right"/>
      <w:pPr>
        <w:ind w:left="6228" w:hanging="180"/>
      </w:pPr>
    </w:lvl>
  </w:abstractNum>
  <w:abstractNum w:abstractNumId="13">
    <w:nsid w:val="461D1620"/>
    <w:multiLevelType w:val="multilevel"/>
    <w:tmpl w:val="461D1620"/>
    <w:lvl w:ilvl="0" w:tentative="0">
      <w:start w:val="1"/>
      <w:numFmt w:val="decimal"/>
      <w:lvlText w:val="%1."/>
      <w:lvlJc w:val="left"/>
      <w:pPr>
        <w:ind w:left="1068" w:hanging="360"/>
      </w:p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4D935871"/>
    <w:multiLevelType w:val="multilevel"/>
    <w:tmpl w:val="4D935871"/>
    <w:lvl w:ilvl="0" w:tentative="0">
      <w:start w:val="1"/>
      <w:numFmt w:val="lowerLetter"/>
      <w:lvlText w:val="%1)"/>
      <w:lvlJc w:val="left"/>
      <w:pPr>
        <w:ind w:left="1440" w:hanging="360"/>
      </w:pPr>
      <w:rPr>
        <w:rFonts w:hint="default" w:ascii="Arial Narrow" w:hAnsi="Arial Narrow" w:cs="Times New Roman"/>
        <w:sz w:val="22"/>
        <w:szCs w:val="22"/>
      </w:r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6D895E70"/>
    <w:multiLevelType w:val="multilevel"/>
    <w:tmpl w:val="6D895E70"/>
    <w:lvl w:ilvl="0" w:tentative="0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2741D5"/>
    <w:multiLevelType w:val="multilevel"/>
    <w:tmpl w:val="712741D5"/>
    <w:lvl w:ilvl="0" w:tentative="0">
      <w:start w:val="1"/>
      <w:numFmt w:val="lowerLetter"/>
      <w:lvlText w:val="%1)"/>
      <w:lvlJc w:val="left"/>
      <w:pPr>
        <w:ind w:left="575" w:hanging="360"/>
      </w:pPr>
      <w:rPr>
        <w:rFonts w:hint="default" w:cs="Arial"/>
        <w:b w:val="0"/>
        <w:i w:val="0"/>
      </w:rPr>
    </w:lvl>
    <w:lvl w:ilvl="1" w:tentative="0">
      <w:start w:val="1"/>
      <w:numFmt w:val="lowerLetter"/>
      <w:lvlText w:val="%2."/>
      <w:lvlJc w:val="left"/>
      <w:pPr>
        <w:ind w:left="1295" w:hanging="360"/>
      </w:pPr>
    </w:lvl>
    <w:lvl w:ilvl="2" w:tentative="0">
      <w:start w:val="1"/>
      <w:numFmt w:val="lowerRoman"/>
      <w:lvlText w:val="%3."/>
      <w:lvlJc w:val="right"/>
      <w:pPr>
        <w:ind w:left="2015" w:hanging="180"/>
      </w:pPr>
    </w:lvl>
    <w:lvl w:ilvl="3" w:tentative="0">
      <w:start w:val="1"/>
      <w:numFmt w:val="decimal"/>
      <w:lvlText w:val="%4."/>
      <w:lvlJc w:val="left"/>
      <w:pPr>
        <w:ind w:left="2735" w:hanging="360"/>
      </w:pPr>
    </w:lvl>
    <w:lvl w:ilvl="4" w:tentative="0">
      <w:start w:val="1"/>
      <w:numFmt w:val="lowerLetter"/>
      <w:lvlText w:val="%5."/>
      <w:lvlJc w:val="left"/>
      <w:pPr>
        <w:ind w:left="3455" w:hanging="360"/>
      </w:pPr>
    </w:lvl>
    <w:lvl w:ilvl="5" w:tentative="0">
      <w:start w:val="1"/>
      <w:numFmt w:val="lowerRoman"/>
      <w:lvlText w:val="%6."/>
      <w:lvlJc w:val="right"/>
      <w:pPr>
        <w:ind w:left="4175" w:hanging="180"/>
      </w:pPr>
    </w:lvl>
    <w:lvl w:ilvl="6" w:tentative="0">
      <w:start w:val="1"/>
      <w:numFmt w:val="decimal"/>
      <w:lvlText w:val="%7."/>
      <w:lvlJc w:val="left"/>
      <w:pPr>
        <w:ind w:left="4895" w:hanging="360"/>
      </w:pPr>
    </w:lvl>
    <w:lvl w:ilvl="7" w:tentative="0">
      <w:start w:val="1"/>
      <w:numFmt w:val="lowerLetter"/>
      <w:lvlText w:val="%8."/>
      <w:lvlJc w:val="left"/>
      <w:pPr>
        <w:ind w:left="5615" w:hanging="360"/>
      </w:pPr>
    </w:lvl>
    <w:lvl w:ilvl="8" w:tentative="0">
      <w:start w:val="1"/>
      <w:numFmt w:val="lowerRoman"/>
      <w:lvlText w:val="%9."/>
      <w:lvlJc w:val="right"/>
      <w:pPr>
        <w:ind w:left="6335" w:hanging="180"/>
      </w:pPr>
    </w:lvl>
  </w:abstractNum>
  <w:abstractNum w:abstractNumId="17">
    <w:nsid w:val="79A62807"/>
    <w:multiLevelType w:val="multilevel"/>
    <w:tmpl w:val="79A62807"/>
    <w:lvl w:ilvl="0" w:tentative="0">
      <w:start w:val="1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 w:cs="Times New Roman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>
    <w:nsid w:val="7BC802A9"/>
    <w:multiLevelType w:val="singleLevel"/>
    <w:tmpl w:val="7BC802A9"/>
    <w:lvl w:ilvl="0" w:tentative="0">
      <w:start w:val="0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hint="default"/>
      </w:rPr>
    </w:lvl>
  </w:abstractNum>
  <w:num w:numId="1">
    <w:abstractNumId w:val="6"/>
  </w:num>
  <w:num w:numId="2">
    <w:abstractNumId w:val="8"/>
  </w:num>
  <w:num w:numId="3">
    <w:abstractNumId w:val="17"/>
  </w:num>
  <w:num w:numId="4">
    <w:abstractNumId w:val="16"/>
  </w:num>
  <w:num w:numId="5">
    <w:abstractNumId w:val="1"/>
  </w:num>
  <w:num w:numId="6">
    <w:abstractNumId w:val="18"/>
  </w:num>
  <w:num w:numId="7">
    <w:abstractNumId w:val="9"/>
  </w:num>
  <w:num w:numId="8">
    <w:abstractNumId w:val="13"/>
  </w:num>
  <w:num w:numId="9">
    <w:abstractNumId w:val="7"/>
  </w:num>
  <w:num w:numId="10">
    <w:abstractNumId w:val="15"/>
  </w:num>
  <w:num w:numId="11">
    <w:abstractNumId w:val="3"/>
  </w:num>
  <w:num w:numId="12">
    <w:abstractNumId w:val="2"/>
  </w:num>
  <w:num w:numId="13">
    <w:abstractNumId w:val="0"/>
  </w:num>
  <w:num w:numId="14">
    <w:abstractNumId w:val="11"/>
  </w:num>
  <w:num w:numId="15">
    <w:abstractNumId w:val="12"/>
  </w:num>
  <w:num w:numId="16">
    <w:abstractNumId w:val="10"/>
  </w:num>
  <w:num w:numId="17">
    <w:abstractNumId w:val="5"/>
  </w:num>
  <w:num w:numId="18">
    <w:abstractNumId w:val="4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20"/>
  <w:hyphenationZone w:val="425"/>
  <w:drawingGridHorizontalSpacing w:val="110"/>
  <w:displayHorizontalDrawingGridEvery w:val="2"/>
  <w:displayVerticalDrawingGridEvery w:val="1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4483"/>
    <w:rsid w:val="00014B9D"/>
    <w:rsid w:val="00016E12"/>
    <w:rsid w:val="00017E67"/>
    <w:rsid w:val="0002231E"/>
    <w:rsid w:val="00024B40"/>
    <w:rsid w:val="000252AF"/>
    <w:rsid w:val="000368C3"/>
    <w:rsid w:val="000416D1"/>
    <w:rsid w:val="00047292"/>
    <w:rsid w:val="000500D2"/>
    <w:rsid w:val="00052F8B"/>
    <w:rsid w:val="00056D07"/>
    <w:rsid w:val="00061B5A"/>
    <w:rsid w:val="00061CE4"/>
    <w:rsid w:val="0007186F"/>
    <w:rsid w:val="00074E75"/>
    <w:rsid w:val="00075AEB"/>
    <w:rsid w:val="00082CD0"/>
    <w:rsid w:val="00084610"/>
    <w:rsid w:val="00085793"/>
    <w:rsid w:val="00085E53"/>
    <w:rsid w:val="00090106"/>
    <w:rsid w:val="00092273"/>
    <w:rsid w:val="000923BC"/>
    <w:rsid w:val="000A3B37"/>
    <w:rsid w:val="000A55A3"/>
    <w:rsid w:val="000A5993"/>
    <w:rsid w:val="000A758F"/>
    <w:rsid w:val="000A7F45"/>
    <w:rsid w:val="000B227D"/>
    <w:rsid w:val="000B7B40"/>
    <w:rsid w:val="000B7ECD"/>
    <w:rsid w:val="000C38FE"/>
    <w:rsid w:val="000C7FB7"/>
    <w:rsid w:val="000D7105"/>
    <w:rsid w:val="000F2B46"/>
    <w:rsid w:val="00106274"/>
    <w:rsid w:val="00106469"/>
    <w:rsid w:val="00111969"/>
    <w:rsid w:val="00113CBB"/>
    <w:rsid w:val="00115DCE"/>
    <w:rsid w:val="00131BA5"/>
    <w:rsid w:val="00131CD2"/>
    <w:rsid w:val="00132384"/>
    <w:rsid w:val="00133916"/>
    <w:rsid w:val="0014565D"/>
    <w:rsid w:val="00146201"/>
    <w:rsid w:val="001501C5"/>
    <w:rsid w:val="00150E7E"/>
    <w:rsid w:val="001564E7"/>
    <w:rsid w:val="001620E4"/>
    <w:rsid w:val="00162CA1"/>
    <w:rsid w:val="00173A54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28FA"/>
    <w:rsid w:val="001D331E"/>
    <w:rsid w:val="001D3B33"/>
    <w:rsid w:val="001E5294"/>
    <w:rsid w:val="001F0BA0"/>
    <w:rsid w:val="001F3791"/>
    <w:rsid w:val="001F7AF6"/>
    <w:rsid w:val="00202548"/>
    <w:rsid w:val="00204817"/>
    <w:rsid w:val="00205F85"/>
    <w:rsid w:val="0020703C"/>
    <w:rsid w:val="00212742"/>
    <w:rsid w:val="00212D3C"/>
    <w:rsid w:val="00227B7F"/>
    <w:rsid w:val="00233922"/>
    <w:rsid w:val="00247BEA"/>
    <w:rsid w:val="002507B0"/>
    <w:rsid w:val="002546F2"/>
    <w:rsid w:val="00256348"/>
    <w:rsid w:val="00267FB7"/>
    <w:rsid w:val="002738BD"/>
    <w:rsid w:val="00277BC9"/>
    <w:rsid w:val="0028309C"/>
    <w:rsid w:val="00283BD3"/>
    <w:rsid w:val="0028412D"/>
    <w:rsid w:val="002842EE"/>
    <w:rsid w:val="00290896"/>
    <w:rsid w:val="0029220E"/>
    <w:rsid w:val="00294F14"/>
    <w:rsid w:val="002961B3"/>
    <w:rsid w:val="00297350"/>
    <w:rsid w:val="002A3EB7"/>
    <w:rsid w:val="002A46B5"/>
    <w:rsid w:val="002A5796"/>
    <w:rsid w:val="002A7291"/>
    <w:rsid w:val="002B03F2"/>
    <w:rsid w:val="002B2E75"/>
    <w:rsid w:val="002B6435"/>
    <w:rsid w:val="002C41CC"/>
    <w:rsid w:val="002C5BB8"/>
    <w:rsid w:val="002C7A15"/>
    <w:rsid w:val="002D2DE0"/>
    <w:rsid w:val="002D6145"/>
    <w:rsid w:val="002E325E"/>
    <w:rsid w:val="002E4BC3"/>
    <w:rsid w:val="002E7805"/>
    <w:rsid w:val="002F044B"/>
    <w:rsid w:val="002F1C5A"/>
    <w:rsid w:val="002F4594"/>
    <w:rsid w:val="002F6401"/>
    <w:rsid w:val="002F665C"/>
    <w:rsid w:val="002F7346"/>
    <w:rsid w:val="00302E77"/>
    <w:rsid w:val="00307EED"/>
    <w:rsid w:val="0031148A"/>
    <w:rsid w:val="003132CA"/>
    <w:rsid w:val="003134CC"/>
    <w:rsid w:val="00313B9F"/>
    <w:rsid w:val="00315CAD"/>
    <w:rsid w:val="00316F2D"/>
    <w:rsid w:val="00324AB7"/>
    <w:rsid w:val="00324C96"/>
    <w:rsid w:val="00330138"/>
    <w:rsid w:val="00330954"/>
    <w:rsid w:val="00334152"/>
    <w:rsid w:val="00337B82"/>
    <w:rsid w:val="00342128"/>
    <w:rsid w:val="00345278"/>
    <w:rsid w:val="00360B00"/>
    <w:rsid w:val="00363386"/>
    <w:rsid w:val="003642E4"/>
    <w:rsid w:val="00365FF2"/>
    <w:rsid w:val="00366C8B"/>
    <w:rsid w:val="0036702E"/>
    <w:rsid w:val="003677BF"/>
    <w:rsid w:val="00374CF4"/>
    <w:rsid w:val="00375BAD"/>
    <w:rsid w:val="00377535"/>
    <w:rsid w:val="0038099B"/>
    <w:rsid w:val="00383672"/>
    <w:rsid w:val="00384744"/>
    <w:rsid w:val="00386681"/>
    <w:rsid w:val="003920E7"/>
    <w:rsid w:val="00394B73"/>
    <w:rsid w:val="00396BD6"/>
    <w:rsid w:val="0039715E"/>
    <w:rsid w:val="003A1979"/>
    <w:rsid w:val="003A273C"/>
    <w:rsid w:val="003A2D1D"/>
    <w:rsid w:val="003A5CA2"/>
    <w:rsid w:val="003B1B28"/>
    <w:rsid w:val="003B6A28"/>
    <w:rsid w:val="003B70DE"/>
    <w:rsid w:val="003C619E"/>
    <w:rsid w:val="003C75DE"/>
    <w:rsid w:val="003D0260"/>
    <w:rsid w:val="003D334A"/>
    <w:rsid w:val="003D55DB"/>
    <w:rsid w:val="003D6F89"/>
    <w:rsid w:val="003D7EC7"/>
    <w:rsid w:val="003E72A1"/>
    <w:rsid w:val="003F3232"/>
    <w:rsid w:val="003F38A9"/>
    <w:rsid w:val="003F423D"/>
    <w:rsid w:val="00400B6D"/>
    <w:rsid w:val="00401B9D"/>
    <w:rsid w:val="00401EBD"/>
    <w:rsid w:val="0040263B"/>
    <w:rsid w:val="004055A2"/>
    <w:rsid w:val="004068AD"/>
    <w:rsid w:val="00421987"/>
    <w:rsid w:val="00422FD1"/>
    <w:rsid w:val="00424A60"/>
    <w:rsid w:val="00426E29"/>
    <w:rsid w:val="004327ED"/>
    <w:rsid w:val="004358EA"/>
    <w:rsid w:val="00440D26"/>
    <w:rsid w:val="0044306F"/>
    <w:rsid w:val="004430B4"/>
    <w:rsid w:val="00447448"/>
    <w:rsid w:val="00453B94"/>
    <w:rsid w:val="00454B93"/>
    <w:rsid w:val="00455407"/>
    <w:rsid w:val="004576AF"/>
    <w:rsid w:val="004614D8"/>
    <w:rsid w:val="00462BF0"/>
    <w:rsid w:val="00465B39"/>
    <w:rsid w:val="004700F3"/>
    <w:rsid w:val="004713D6"/>
    <w:rsid w:val="00476D13"/>
    <w:rsid w:val="0048032F"/>
    <w:rsid w:val="00480433"/>
    <w:rsid w:val="00482742"/>
    <w:rsid w:val="00492324"/>
    <w:rsid w:val="004976E4"/>
    <w:rsid w:val="004A1B6A"/>
    <w:rsid w:val="004C10D5"/>
    <w:rsid w:val="004C2789"/>
    <w:rsid w:val="004C4D9B"/>
    <w:rsid w:val="004C6E98"/>
    <w:rsid w:val="004D29E7"/>
    <w:rsid w:val="004E4667"/>
    <w:rsid w:val="004F0F79"/>
    <w:rsid w:val="004F3181"/>
    <w:rsid w:val="004F5EA9"/>
    <w:rsid w:val="004F76AB"/>
    <w:rsid w:val="00500263"/>
    <w:rsid w:val="0050056D"/>
    <w:rsid w:val="005013CA"/>
    <w:rsid w:val="0051251D"/>
    <w:rsid w:val="0051294A"/>
    <w:rsid w:val="00517A7A"/>
    <w:rsid w:val="005234B3"/>
    <w:rsid w:val="00524073"/>
    <w:rsid w:val="00525A7B"/>
    <w:rsid w:val="00536923"/>
    <w:rsid w:val="00542A47"/>
    <w:rsid w:val="005440C4"/>
    <w:rsid w:val="00546689"/>
    <w:rsid w:val="00557193"/>
    <w:rsid w:val="00561E1F"/>
    <w:rsid w:val="00572215"/>
    <w:rsid w:val="00573270"/>
    <w:rsid w:val="0057484C"/>
    <w:rsid w:val="00576DC5"/>
    <w:rsid w:val="005803C8"/>
    <w:rsid w:val="00580682"/>
    <w:rsid w:val="00585C0A"/>
    <w:rsid w:val="00586763"/>
    <w:rsid w:val="005916B7"/>
    <w:rsid w:val="00597D51"/>
    <w:rsid w:val="005A6E3A"/>
    <w:rsid w:val="005B773F"/>
    <w:rsid w:val="005D1DD6"/>
    <w:rsid w:val="005D2DFB"/>
    <w:rsid w:val="005D43C0"/>
    <w:rsid w:val="005D4EC4"/>
    <w:rsid w:val="005E396B"/>
    <w:rsid w:val="005F3646"/>
    <w:rsid w:val="005F37C0"/>
    <w:rsid w:val="005F4162"/>
    <w:rsid w:val="005F7836"/>
    <w:rsid w:val="00602B4C"/>
    <w:rsid w:val="0062000F"/>
    <w:rsid w:val="0062053D"/>
    <w:rsid w:val="00623D5A"/>
    <w:rsid w:val="00625431"/>
    <w:rsid w:val="00645AC1"/>
    <w:rsid w:val="00652B41"/>
    <w:rsid w:val="006555D7"/>
    <w:rsid w:val="00655718"/>
    <w:rsid w:val="0065776F"/>
    <w:rsid w:val="00660D2D"/>
    <w:rsid w:val="006633D7"/>
    <w:rsid w:val="00670EC7"/>
    <w:rsid w:val="00672C83"/>
    <w:rsid w:val="006743B6"/>
    <w:rsid w:val="00674FE6"/>
    <w:rsid w:val="00681E5E"/>
    <w:rsid w:val="006838A9"/>
    <w:rsid w:val="00692405"/>
    <w:rsid w:val="00694D1A"/>
    <w:rsid w:val="006962CC"/>
    <w:rsid w:val="006A333B"/>
    <w:rsid w:val="006A39C1"/>
    <w:rsid w:val="006B0ADE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444D"/>
    <w:rsid w:val="006F4D43"/>
    <w:rsid w:val="006F50F2"/>
    <w:rsid w:val="00702760"/>
    <w:rsid w:val="0070502C"/>
    <w:rsid w:val="00705FF6"/>
    <w:rsid w:val="0070743D"/>
    <w:rsid w:val="007079C1"/>
    <w:rsid w:val="0071668C"/>
    <w:rsid w:val="00727478"/>
    <w:rsid w:val="0073586D"/>
    <w:rsid w:val="00740AFE"/>
    <w:rsid w:val="007433F5"/>
    <w:rsid w:val="00770199"/>
    <w:rsid w:val="00793E6A"/>
    <w:rsid w:val="007970E4"/>
    <w:rsid w:val="007A1018"/>
    <w:rsid w:val="007A4117"/>
    <w:rsid w:val="007B19C0"/>
    <w:rsid w:val="007C3558"/>
    <w:rsid w:val="007C3CD9"/>
    <w:rsid w:val="007C40F2"/>
    <w:rsid w:val="007C47EC"/>
    <w:rsid w:val="007D45A9"/>
    <w:rsid w:val="007D4F0A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01D9"/>
    <w:rsid w:val="00843862"/>
    <w:rsid w:val="008439CA"/>
    <w:rsid w:val="0084517F"/>
    <w:rsid w:val="00853AD8"/>
    <w:rsid w:val="008554E1"/>
    <w:rsid w:val="008569B8"/>
    <w:rsid w:val="00857E56"/>
    <w:rsid w:val="008626A4"/>
    <w:rsid w:val="008644D7"/>
    <w:rsid w:val="00867974"/>
    <w:rsid w:val="008725EA"/>
    <w:rsid w:val="008764A5"/>
    <w:rsid w:val="00877E86"/>
    <w:rsid w:val="008A043F"/>
    <w:rsid w:val="008A7BBA"/>
    <w:rsid w:val="008B0EAD"/>
    <w:rsid w:val="008B6EBB"/>
    <w:rsid w:val="008C1B03"/>
    <w:rsid w:val="008C47DE"/>
    <w:rsid w:val="008C5E3E"/>
    <w:rsid w:val="008C74A6"/>
    <w:rsid w:val="008C79E6"/>
    <w:rsid w:val="008C7B5C"/>
    <w:rsid w:val="008D6119"/>
    <w:rsid w:val="008D6E2D"/>
    <w:rsid w:val="008E42B0"/>
    <w:rsid w:val="008E78DE"/>
    <w:rsid w:val="008F1A6F"/>
    <w:rsid w:val="008F4E43"/>
    <w:rsid w:val="009006E7"/>
    <w:rsid w:val="00906CB4"/>
    <w:rsid w:val="00907263"/>
    <w:rsid w:val="0092781B"/>
    <w:rsid w:val="009400A7"/>
    <w:rsid w:val="00946110"/>
    <w:rsid w:val="00950578"/>
    <w:rsid w:val="00950FCB"/>
    <w:rsid w:val="0095109B"/>
    <w:rsid w:val="00954DB7"/>
    <w:rsid w:val="00967134"/>
    <w:rsid w:val="0097035D"/>
    <w:rsid w:val="00973762"/>
    <w:rsid w:val="00987D5F"/>
    <w:rsid w:val="00990545"/>
    <w:rsid w:val="009A2701"/>
    <w:rsid w:val="009A4BE4"/>
    <w:rsid w:val="009A5A14"/>
    <w:rsid w:val="009C59E3"/>
    <w:rsid w:val="009C7191"/>
    <w:rsid w:val="009C7DE1"/>
    <w:rsid w:val="009D1BC9"/>
    <w:rsid w:val="009D4EAD"/>
    <w:rsid w:val="009D6E8B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4E3"/>
    <w:rsid w:val="00A248C1"/>
    <w:rsid w:val="00A25E96"/>
    <w:rsid w:val="00A30662"/>
    <w:rsid w:val="00A37014"/>
    <w:rsid w:val="00A4011B"/>
    <w:rsid w:val="00A423C8"/>
    <w:rsid w:val="00A43492"/>
    <w:rsid w:val="00A45FB9"/>
    <w:rsid w:val="00A6037A"/>
    <w:rsid w:val="00A64A2C"/>
    <w:rsid w:val="00A73167"/>
    <w:rsid w:val="00A74239"/>
    <w:rsid w:val="00A8290E"/>
    <w:rsid w:val="00A96361"/>
    <w:rsid w:val="00A96741"/>
    <w:rsid w:val="00A96D2B"/>
    <w:rsid w:val="00A9717F"/>
    <w:rsid w:val="00AA1B72"/>
    <w:rsid w:val="00AA4482"/>
    <w:rsid w:val="00AA48E7"/>
    <w:rsid w:val="00AB028C"/>
    <w:rsid w:val="00AC13D7"/>
    <w:rsid w:val="00AD02F5"/>
    <w:rsid w:val="00AD1203"/>
    <w:rsid w:val="00AD150A"/>
    <w:rsid w:val="00AD2D9A"/>
    <w:rsid w:val="00AD5550"/>
    <w:rsid w:val="00AD73A8"/>
    <w:rsid w:val="00AE1431"/>
    <w:rsid w:val="00AE1E70"/>
    <w:rsid w:val="00AE321D"/>
    <w:rsid w:val="00AE35F3"/>
    <w:rsid w:val="00AE5940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35CDF"/>
    <w:rsid w:val="00B370E5"/>
    <w:rsid w:val="00B40135"/>
    <w:rsid w:val="00B502A6"/>
    <w:rsid w:val="00B51558"/>
    <w:rsid w:val="00B61F66"/>
    <w:rsid w:val="00B740B5"/>
    <w:rsid w:val="00B831FF"/>
    <w:rsid w:val="00B857D3"/>
    <w:rsid w:val="00B91660"/>
    <w:rsid w:val="00B92A03"/>
    <w:rsid w:val="00B93830"/>
    <w:rsid w:val="00B958BA"/>
    <w:rsid w:val="00B95935"/>
    <w:rsid w:val="00BA27B1"/>
    <w:rsid w:val="00BA2B2B"/>
    <w:rsid w:val="00BA486C"/>
    <w:rsid w:val="00BB1081"/>
    <w:rsid w:val="00BB51F2"/>
    <w:rsid w:val="00BB53B0"/>
    <w:rsid w:val="00BB6A3A"/>
    <w:rsid w:val="00BC2488"/>
    <w:rsid w:val="00BC4F85"/>
    <w:rsid w:val="00BC54FA"/>
    <w:rsid w:val="00BC7EC5"/>
    <w:rsid w:val="00BD077F"/>
    <w:rsid w:val="00BD2A1D"/>
    <w:rsid w:val="00BD2BA5"/>
    <w:rsid w:val="00BD332B"/>
    <w:rsid w:val="00BD3AC9"/>
    <w:rsid w:val="00BD41D5"/>
    <w:rsid w:val="00BD4D2D"/>
    <w:rsid w:val="00BD5A46"/>
    <w:rsid w:val="00BE0230"/>
    <w:rsid w:val="00BE4B0B"/>
    <w:rsid w:val="00BE4FFF"/>
    <w:rsid w:val="00BE78E3"/>
    <w:rsid w:val="00BF2C43"/>
    <w:rsid w:val="00C03A30"/>
    <w:rsid w:val="00C0679A"/>
    <w:rsid w:val="00C12330"/>
    <w:rsid w:val="00C2255F"/>
    <w:rsid w:val="00C22D81"/>
    <w:rsid w:val="00C232E1"/>
    <w:rsid w:val="00C24E22"/>
    <w:rsid w:val="00C2611A"/>
    <w:rsid w:val="00C26E65"/>
    <w:rsid w:val="00C30921"/>
    <w:rsid w:val="00C30B11"/>
    <w:rsid w:val="00C3165D"/>
    <w:rsid w:val="00C33CAB"/>
    <w:rsid w:val="00C36265"/>
    <w:rsid w:val="00C3790A"/>
    <w:rsid w:val="00C408DF"/>
    <w:rsid w:val="00C47B78"/>
    <w:rsid w:val="00C51F0E"/>
    <w:rsid w:val="00C5295F"/>
    <w:rsid w:val="00C61289"/>
    <w:rsid w:val="00C61A26"/>
    <w:rsid w:val="00C64005"/>
    <w:rsid w:val="00C6517C"/>
    <w:rsid w:val="00C66108"/>
    <w:rsid w:val="00C7387F"/>
    <w:rsid w:val="00C83611"/>
    <w:rsid w:val="00C963E6"/>
    <w:rsid w:val="00C9772A"/>
    <w:rsid w:val="00CA037E"/>
    <w:rsid w:val="00CA0ED2"/>
    <w:rsid w:val="00CA71D2"/>
    <w:rsid w:val="00CB2FCC"/>
    <w:rsid w:val="00CB41A9"/>
    <w:rsid w:val="00CC244C"/>
    <w:rsid w:val="00CC5D25"/>
    <w:rsid w:val="00CC63F1"/>
    <w:rsid w:val="00CC7A90"/>
    <w:rsid w:val="00CD0C87"/>
    <w:rsid w:val="00CD1793"/>
    <w:rsid w:val="00CD3B27"/>
    <w:rsid w:val="00CD5177"/>
    <w:rsid w:val="00CD7078"/>
    <w:rsid w:val="00CE0E61"/>
    <w:rsid w:val="00CE4CC1"/>
    <w:rsid w:val="00D00B9E"/>
    <w:rsid w:val="00D033D4"/>
    <w:rsid w:val="00D14B81"/>
    <w:rsid w:val="00D224F5"/>
    <w:rsid w:val="00D234CA"/>
    <w:rsid w:val="00D26E73"/>
    <w:rsid w:val="00D273B7"/>
    <w:rsid w:val="00D27938"/>
    <w:rsid w:val="00D36E0C"/>
    <w:rsid w:val="00D3730E"/>
    <w:rsid w:val="00D40718"/>
    <w:rsid w:val="00D407BC"/>
    <w:rsid w:val="00D41E2E"/>
    <w:rsid w:val="00D47A0C"/>
    <w:rsid w:val="00D54AE3"/>
    <w:rsid w:val="00D54FDA"/>
    <w:rsid w:val="00D55617"/>
    <w:rsid w:val="00D57DDE"/>
    <w:rsid w:val="00D6507B"/>
    <w:rsid w:val="00D72173"/>
    <w:rsid w:val="00D738AC"/>
    <w:rsid w:val="00D773D0"/>
    <w:rsid w:val="00D84695"/>
    <w:rsid w:val="00D911D9"/>
    <w:rsid w:val="00D94126"/>
    <w:rsid w:val="00D97050"/>
    <w:rsid w:val="00DA2C68"/>
    <w:rsid w:val="00DA3DFE"/>
    <w:rsid w:val="00DA493E"/>
    <w:rsid w:val="00DA4C73"/>
    <w:rsid w:val="00DA5FDE"/>
    <w:rsid w:val="00DA6AF3"/>
    <w:rsid w:val="00DB0A03"/>
    <w:rsid w:val="00DB129A"/>
    <w:rsid w:val="00DB7088"/>
    <w:rsid w:val="00DC42FA"/>
    <w:rsid w:val="00DE36BF"/>
    <w:rsid w:val="00DE373D"/>
    <w:rsid w:val="00DE3F6E"/>
    <w:rsid w:val="00DE678D"/>
    <w:rsid w:val="00DE6A97"/>
    <w:rsid w:val="00DF11DD"/>
    <w:rsid w:val="00E045AB"/>
    <w:rsid w:val="00E14C8E"/>
    <w:rsid w:val="00E21EEF"/>
    <w:rsid w:val="00E31FDD"/>
    <w:rsid w:val="00E34840"/>
    <w:rsid w:val="00E36F78"/>
    <w:rsid w:val="00E3763F"/>
    <w:rsid w:val="00E523B9"/>
    <w:rsid w:val="00E5320F"/>
    <w:rsid w:val="00E56806"/>
    <w:rsid w:val="00E6200C"/>
    <w:rsid w:val="00E62593"/>
    <w:rsid w:val="00E62E31"/>
    <w:rsid w:val="00E66242"/>
    <w:rsid w:val="00E71170"/>
    <w:rsid w:val="00E736CF"/>
    <w:rsid w:val="00E777EF"/>
    <w:rsid w:val="00E811FB"/>
    <w:rsid w:val="00E863E0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4BCF"/>
    <w:rsid w:val="00EB676B"/>
    <w:rsid w:val="00EC04B2"/>
    <w:rsid w:val="00EC06B9"/>
    <w:rsid w:val="00EC234C"/>
    <w:rsid w:val="00ED449C"/>
    <w:rsid w:val="00ED47B8"/>
    <w:rsid w:val="00EF3D95"/>
    <w:rsid w:val="00EF6A82"/>
    <w:rsid w:val="00F00A0B"/>
    <w:rsid w:val="00F118DE"/>
    <w:rsid w:val="00F14204"/>
    <w:rsid w:val="00F168D2"/>
    <w:rsid w:val="00F17889"/>
    <w:rsid w:val="00F221D2"/>
    <w:rsid w:val="00F276F2"/>
    <w:rsid w:val="00F32510"/>
    <w:rsid w:val="00F3410E"/>
    <w:rsid w:val="00F3486D"/>
    <w:rsid w:val="00F34878"/>
    <w:rsid w:val="00F41B6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5705"/>
    <w:rsid w:val="00F75A6B"/>
    <w:rsid w:val="00F76BCB"/>
    <w:rsid w:val="00F8136A"/>
    <w:rsid w:val="00F81B13"/>
    <w:rsid w:val="00F9084E"/>
    <w:rsid w:val="00F9093D"/>
    <w:rsid w:val="00F92DD8"/>
    <w:rsid w:val="00F934F2"/>
    <w:rsid w:val="00F94F27"/>
    <w:rsid w:val="00FA28CE"/>
    <w:rsid w:val="00FA5C30"/>
    <w:rsid w:val="00FB643B"/>
    <w:rsid w:val="00FB6EC9"/>
    <w:rsid w:val="00FC6952"/>
    <w:rsid w:val="00FD04A9"/>
    <w:rsid w:val="00FD63DB"/>
    <w:rsid w:val="00FD7650"/>
    <w:rsid w:val="00FD78EA"/>
    <w:rsid w:val="00FE12F9"/>
    <w:rsid w:val="00FE304F"/>
    <w:rsid w:val="00FE42BA"/>
    <w:rsid w:val="00FF0723"/>
    <w:rsid w:val="00FF0AD8"/>
    <w:rsid w:val="00FF3970"/>
    <w:rsid w:val="00FF7658"/>
    <w:rsid w:val="07F30FDE"/>
    <w:rsid w:val="668C5F7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Times New Roman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nhideWhenUsed="0" w:uiPriority="99" w:semiHidden="0" w:name="heading 3"/>
    <w:lsdException w:qFormat="1" w:unhideWhenUsed="0" w:uiPriority="99" w:semiHidden="0" w:name="heading 4"/>
    <w:lsdException w:qFormat="1" w:unhideWhenUsed="0" w:uiPriority="99" w:semiHidden="0" w:name="heading 5"/>
    <w:lsdException w:qFormat="1" w:unhideWhenUsed="0" w:uiPriority="99" w:semiHidden="0" w:name="heading 6"/>
    <w:lsdException w:qFormat="1" w:unhideWhenUsed="0" w:uiPriority="99" w:semiHidden="0" w:name="heading 7"/>
    <w:lsdException w:qFormat="1" w:unhideWhenUsed="0" w:uiPriority="99" w:semiHidden="0" w:name="heading 8"/>
    <w:lsdException w:qFormat="1" w:unhideWhenUsed="0" w:uiPriority="9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nhideWhenUsed="0" w:uiPriority="99" w:name="footnote text"/>
    <w:lsdException w:uiPriority="99" w:name="annotation text"/>
    <w:lsdException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nhideWhenUsed="0" w:uiPriority="99" w:name="footnote reference"/>
    <w:lsdException w:uiPriority="99" w:name="annotation reference"/>
    <w:lsdException w:uiPriority="99" w:name="line number"/>
    <w:lsdException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99" w:semiHidden="0" w:name="Title"/>
    <w:lsdException w:uiPriority="99" w:name="Closing"/>
    <w:lsdException w:uiPriority="99" w:name="Signature"/>
    <w:lsdException w:uiPriority="1" w:semiHidden="0" w:name="Default Paragraph Font"/>
    <w:lsdException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nhideWhenUsed="0" w:uiPriority="99" w:semiHidden="0" w:name="Body Text 2"/>
    <w:lsdException w:uiPriority="99" w:name="Body Text 3"/>
    <w:lsdException w:unhideWhenUsed="0" w:uiPriority="99" w:semiHidden="0" w:name="Body Text Indent 2"/>
    <w:lsdException w:unhideWhenUsed="0" w:uiPriority="99" w:semiHidden="0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Arial Narrow" w:hAnsi="Arial Narrow" w:cs="Times New Roman"/>
      <w:sz w:val="22"/>
      <w:szCs w:val="24"/>
      <w:lang w:val="sk-SK" w:eastAsia="en-US" w:bidi="ar-SA"/>
    </w:rPr>
  </w:style>
  <w:style w:type="paragraph" w:styleId="2">
    <w:name w:val="heading 1"/>
    <w:basedOn w:val="1"/>
    <w:next w:val="1"/>
    <w:link w:val="28"/>
    <w:qFormat/>
    <w:uiPriority w:val="99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9"/>
    <w:qFormat/>
    <w:uiPriority w:val="9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30"/>
    <w:qFormat/>
    <w:uiPriority w:val="99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31"/>
    <w:qFormat/>
    <w:uiPriority w:val="99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2"/>
    <w:qFormat/>
    <w:uiPriority w:val="99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3"/>
    <w:qFormat/>
    <w:uiPriority w:val="99"/>
    <w:pPr>
      <w:spacing w:before="240" w:after="60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4"/>
    <w:qFormat/>
    <w:uiPriority w:val="99"/>
    <w:pPr>
      <w:spacing w:before="240" w:after="60"/>
      <w:outlineLvl w:val="6"/>
    </w:pPr>
  </w:style>
  <w:style w:type="paragraph" w:styleId="9">
    <w:name w:val="heading 8"/>
    <w:basedOn w:val="1"/>
    <w:next w:val="1"/>
    <w:link w:val="35"/>
    <w:qFormat/>
    <w:uiPriority w:val="99"/>
    <w:pPr>
      <w:spacing w:before="240" w:after="60"/>
      <w:outlineLvl w:val="7"/>
    </w:pPr>
    <w:rPr>
      <w:i/>
      <w:iCs/>
    </w:rPr>
  </w:style>
  <w:style w:type="paragraph" w:styleId="10">
    <w:name w:val="heading 9"/>
    <w:basedOn w:val="1"/>
    <w:next w:val="1"/>
    <w:link w:val="36"/>
    <w:qFormat/>
    <w:uiPriority w:val="99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unhideWhenUsed/>
    <w:uiPriority w:val="1"/>
  </w:style>
  <w:style w:type="table" w:default="1" w:styleId="12">
    <w:name w:val="Normal Table"/>
    <w:unhideWhenUsed/>
    <w:qFormat/>
    <w:uiPriority w:val="99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37"/>
    <w:semiHidden/>
    <w:uiPriority w:val="99"/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38"/>
    <w:uiPriority w:val="99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15">
    <w:name w:val="Body Text 2"/>
    <w:basedOn w:val="1"/>
    <w:link w:val="39"/>
    <w:uiPriority w:val="99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16">
    <w:name w:val="Body Text Indent 2"/>
    <w:basedOn w:val="1"/>
    <w:link w:val="40"/>
    <w:uiPriority w:val="99"/>
    <w:pPr>
      <w:ind w:firstLine="708"/>
      <w:jc w:val="both"/>
    </w:pPr>
    <w:rPr>
      <w:rFonts w:ascii="Times New Roman" w:hAnsi="Times New Roman"/>
      <w:sz w:val="24"/>
      <w:lang w:eastAsia="cs-CZ"/>
    </w:rPr>
  </w:style>
  <w:style w:type="paragraph" w:styleId="17">
    <w:name w:val="Body Text Indent 3"/>
    <w:basedOn w:val="1"/>
    <w:link w:val="41"/>
    <w:uiPriority w:val="99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styleId="18">
    <w:name w:val="Emphasis"/>
    <w:qFormat/>
    <w:uiPriority w:val="20"/>
    <w:rPr>
      <w:rFonts w:ascii="Calibri" w:hAnsi="Calibri" w:cs="Times New Roman"/>
      <w:b/>
      <w:i/>
      <w:iCs/>
    </w:rPr>
  </w:style>
  <w:style w:type="paragraph" w:styleId="19">
    <w:name w:val="footer"/>
    <w:basedOn w:val="1"/>
    <w:link w:val="42"/>
    <w:uiPriority w:val="99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styleId="20">
    <w:name w:val="footnote reference"/>
    <w:semiHidden/>
    <w:uiPriority w:val="99"/>
    <w:rPr>
      <w:rFonts w:cs="Times New Roman"/>
      <w:vertAlign w:val="superscript"/>
    </w:rPr>
  </w:style>
  <w:style w:type="paragraph" w:styleId="21">
    <w:name w:val="footnote text"/>
    <w:basedOn w:val="1"/>
    <w:link w:val="43"/>
    <w:semiHidden/>
    <w:uiPriority w:val="99"/>
    <w:rPr>
      <w:rFonts w:ascii="Times New Roman" w:hAnsi="Times New Roman"/>
      <w:sz w:val="20"/>
      <w:szCs w:val="20"/>
      <w:lang w:eastAsia="cs-CZ"/>
    </w:rPr>
  </w:style>
  <w:style w:type="paragraph" w:styleId="22">
    <w:name w:val="header"/>
    <w:basedOn w:val="1"/>
    <w:link w:val="44"/>
    <w:uiPriority w:val="99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styleId="23">
    <w:name w:val="page number"/>
    <w:uiPriority w:val="99"/>
    <w:rPr>
      <w:rFonts w:cs="Times New Roman"/>
    </w:rPr>
  </w:style>
  <w:style w:type="character" w:styleId="24">
    <w:name w:val="Strong"/>
    <w:qFormat/>
    <w:uiPriority w:val="22"/>
    <w:rPr>
      <w:rFonts w:cs="Times New Roman"/>
      <w:b/>
      <w:bCs/>
    </w:rPr>
  </w:style>
  <w:style w:type="paragraph" w:styleId="25">
    <w:name w:val="Subtitle"/>
    <w:basedOn w:val="1"/>
    <w:next w:val="1"/>
    <w:link w:val="45"/>
    <w:qFormat/>
    <w:uiPriority w:val="11"/>
    <w:pPr>
      <w:spacing w:after="60"/>
      <w:jc w:val="center"/>
      <w:outlineLvl w:val="1"/>
    </w:pPr>
    <w:rPr>
      <w:rFonts w:ascii="Cambria" w:hAnsi="Cambria"/>
    </w:rPr>
  </w:style>
  <w:style w:type="table" w:styleId="26">
    <w:name w:val="Table Grid"/>
    <w:basedOn w:val="12"/>
    <w:uiPriority w:val="99"/>
    <w:rPr>
      <w:rFonts w:ascii="Times New Roman" w:hAnsi="Times New Roman" w:cs="Times New Roman"/>
    </w:rPr>
    <w:tblPr>
      <w:tblStyle w:val="1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27">
    <w:name w:val="Title"/>
    <w:basedOn w:val="1"/>
    <w:next w:val="1"/>
    <w:link w:val="46"/>
    <w:qFormat/>
    <w:uiPriority w:val="99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28">
    <w:name w:val="Nadpis 1 Char"/>
    <w:link w:val="2"/>
    <w:locked/>
    <w:uiPriority w:val="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9">
    <w:name w:val="Nadpis 2 Char"/>
    <w:link w:val="3"/>
    <w:locked/>
    <w:uiPriority w:val="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Nadpis 3 Char"/>
    <w:link w:val="4"/>
    <w:locked/>
    <w:uiPriority w:val="9"/>
    <w:rPr>
      <w:rFonts w:ascii="Cambria" w:hAnsi="Cambria" w:cs="Times New Roman"/>
      <w:b/>
      <w:bCs/>
      <w:sz w:val="26"/>
      <w:szCs w:val="26"/>
    </w:rPr>
  </w:style>
  <w:style w:type="character" w:customStyle="1" w:styleId="31">
    <w:name w:val="Nadpis 4 Char"/>
    <w:link w:val="5"/>
    <w:locked/>
    <w:uiPriority w:val="9"/>
    <w:rPr>
      <w:rFonts w:cs="Times New Roman"/>
      <w:b/>
      <w:bCs/>
      <w:sz w:val="28"/>
      <w:szCs w:val="28"/>
    </w:rPr>
  </w:style>
  <w:style w:type="character" w:customStyle="1" w:styleId="32">
    <w:name w:val="Nadpis 5 Char"/>
    <w:link w:val="6"/>
    <w:locked/>
    <w:uiPriority w:val="9"/>
    <w:rPr>
      <w:rFonts w:cs="Times New Roman"/>
      <w:b/>
      <w:bCs/>
      <w:i/>
      <w:iCs/>
      <w:sz w:val="26"/>
      <w:szCs w:val="26"/>
    </w:rPr>
  </w:style>
  <w:style w:type="character" w:customStyle="1" w:styleId="33">
    <w:name w:val="Nadpis 6 Char"/>
    <w:link w:val="7"/>
    <w:semiHidden/>
    <w:locked/>
    <w:uiPriority w:val="9"/>
    <w:rPr>
      <w:rFonts w:cs="Times New Roman"/>
      <w:b/>
      <w:bCs/>
    </w:rPr>
  </w:style>
  <w:style w:type="character" w:customStyle="1" w:styleId="34">
    <w:name w:val="Nadpis 7 Char"/>
    <w:link w:val="8"/>
    <w:semiHidden/>
    <w:locked/>
    <w:uiPriority w:val="9"/>
    <w:rPr>
      <w:rFonts w:cs="Times New Roman"/>
      <w:sz w:val="24"/>
      <w:szCs w:val="24"/>
    </w:rPr>
  </w:style>
  <w:style w:type="character" w:customStyle="1" w:styleId="35">
    <w:name w:val="Nadpis 8 Char"/>
    <w:link w:val="9"/>
    <w:semiHidden/>
    <w:locked/>
    <w:uiPriority w:val="9"/>
    <w:rPr>
      <w:rFonts w:cs="Times New Roman"/>
      <w:i/>
      <w:iCs/>
      <w:sz w:val="24"/>
      <w:szCs w:val="24"/>
    </w:rPr>
  </w:style>
  <w:style w:type="character" w:customStyle="1" w:styleId="36">
    <w:name w:val="Nadpis 9 Char"/>
    <w:link w:val="10"/>
    <w:semiHidden/>
    <w:locked/>
    <w:uiPriority w:val="9"/>
    <w:rPr>
      <w:rFonts w:ascii="Cambria" w:hAnsi="Cambria" w:cs="Times New Roman"/>
    </w:rPr>
  </w:style>
  <w:style w:type="character" w:customStyle="1" w:styleId="37">
    <w:name w:val="Text bubliny Char"/>
    <w:link w:val="13"/>
    <w:semiHidden/>
    <w:locked/>
    <w:uiPriority w:val="99"/>
    <w:rPr>
      <w:rFonts w:ascii="Tahoma" w:hAnsi="Tahoma" w:cs="Tahoma"/>
      <w:sz w:val="16"/>
      <w:szCs w:val="16"/>
      <w:lang w:val="sk-SK" w:eastAsia="cs-CZ"/>
    </w:rPr>
  </w:style>
  <w:style w:type="character" w:customStyle="1" w:styleId="38">
    <w:name w:val="Základný text Char"/>
    <w:link w:val="14"/>
    <w:locked/>
    <w:uiPriority w:val="99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39">
    <w:name w:val="Základný text 2 Char"/>
    <w:link w:val="15"/>
    <w:locked/>
    <w:uiPriority w:val="99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40">
    <w:name w:val="Zarážka základného textu 2 Char"/>
    <w:link w:val="16"/>
    <w:locked/>
    <w:uiPriority w:val="99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41">
    <w:name w:val="Zarážka základného textu 3 Char"/>
    <w:link w:val="17"/>
    <w:locked/>
    <w:uiPriority w:val="99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42">
    <w:name w:val="Päta Char"/>
    <w:link w:val="19"/>
    <w:locked/>
    <w:uiPriority w:val="99"/>
    <w:rPr>
      <w:rFonts w:ascii="Times New Roman" w:hAnsi="Times New Roman" w:cs="Times New Roman"/>
      <w:lang w:val="sk-SK" w:eastAsia="cs-CZ"/>
    </w:rPr>
  </w:style>
  <w:style w:type="character" w:customStyle="1" w:styleId="43">
    <w:name w:val="Text poznámky pod čiarou Char"/>
    <w:link w:val="21"/>
    <w:semiHidden/>
    <w:locked/>
    <w:uiPriority w:val="99"/>
    <w:rPr>
      <w:rFonts w:ascii="Times New Roman" w:hAnsi="Times New Roman" w:cs="Times New Roman"/>
      <w:lang w:val="sk-SK" w:eastAsia="cs-CZ"/>
    </w:rPr>
  </w:style>
  <w:style w:type="character" w:customStyle="1" w:styleId="44">
    <w:name w:val="Hlavička Char"/>
    <w:link w:val="22"/>
    <w:locked/>
    <w:uiPriority w:val="99"/>
    <w:rPr>
      <w:rFonts w:ascii="Times New Roman" w:hAnsi="Times New Roman" w:cs="Times New Roman"/>
      <w:lang w:val="sk-SK" w:eastAsia="cs-CZ"/>
    </w:rPr>
  </w:style>
  <w:style w:type="character" w:customStyle="1" w:styleId="45">
    <w:name w:val="Podtitul Char"/>
    <w:link w:val="25"/>
    <w:locked/>
    <w:uiPriority w:val="11"/>
    <w:rPr>
      <w:rFonts w:ascii="Cambria" w:hAnsi="Cambria" w:cs="Times New Roman"/>
      <w:sz w:val="24"/>
      <w:szCs w:val="24"/>
    </w:rPr>
  </w:style>
  <w:style w:type="character" w:customStyle="1" w:styleId="46">
    <w:name w:val="Názov Char"/>
    <w:link w:val="27"/>
    <w:locked/>
    <w:uiPriority w:val="99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customStyle="1" w:styleId="47">
    <w:name w:val="Hlavička obsahu1"/>
    <w:basedOn w:val="2"/>
    <w:next w:val="1"/>
    <w:unhideWhenUsed/>
    <w:qFormat/>
    <w:uiPriority w:val="39"/>
    <w:pPr>
      <w:outlineLvl w:val="9"/>
    </w:pPr>
  </w:style>
  <w:style w:type="paragraph" w:customStyle="1" w:styleId="48">
    <w:name w:val="Top Header"/>
    <w:basedOn w:val="1"/>
    <w:qFormat/>
    <w:uiPriority w:val="0"/>
    <w:pPr>
      <w:jc w:val="center"/>
    </w:pPr>
    <w:rPr>
      <w:b/>
      <w:bCs/>
      <w:szCs w:val="22"/>
    </w:rPr>
  </w:style>
  <w:style w:type="paragraph" w:customStyle="1" w:styleId="49">
    <w:name w:val="Value"/>
    <w:basedOn w:val="1"/>
    <w:link w:val="50"/>
    <w:qFormat/>
    <w:uiPriority w:val="0"/>
    <w:pPr>
      <w:jc w:val="right"/>
    </w:pPr>
  </w:style>
  <w:style w:type="character" w:customStyle="1" w:styleId="50">
    <w:name w:val="Value Char"/>
    <w:link w:val="49"/>
    <w:locked/>
    <w:uiPriority w:val="0"/>
    <w:rPr>
      <w:rFonts w:ascii="Arial Narrow" w:hAnsi="Arial Narrow" w:cs="Times New Roman"/>
      <w:sz w:val="24"/>
      <w:szCs w:val="24"/>
      <w:lang w:val="sk-SK"/>
    </w:rPr>
  </w:style>
  <w:style w:type="paragraph" w:customStyle="1" w:styleId="51">
    <w:name w:val="Value Centered"/>
    <w:basedOn w:val="49"/>
    <w:link w:val="52"/>
    <w:qFormat/>
    <w:uiPriority w:val="0"/>
    <w:pPr>
      <w:jc w:val="center"/>
    </w:pPr>
  </w:style>
  <w:style w:type="character" w:customStyle="1" w:styleId="52">
    <w:name w:val="Value Centered Char"/>
    <w:link w:val="51"/>
    <w:locked/>
    <w:uiPriority w:val="0"/>
    <w:rPr>
      <w:rFonts w:ascii="Arial Narrow" w:hAnsi="Arial Narrow" w:cs="Times New Roman"/>
      <w:sz w:val="24"/>
      <w:szCs w:val="24"/>
      <w:lang w:val="sk-SK"/>
    </w:rPr>
  </w:style>
  <w:style w:type="paragraph" w:styleId="53">
    <w:name w:val="List Paragraph"/>
    <w:basedOn w:val="1"/>
    <w:link w:val="54"/>
    <w:qFormat/>
    <w:uiPriority w:val="99"/>
    <w:pPr>
      <w:spacing w:after="200" w:line="276" w:lineRule="auto"/>
      <w:ind w:left="720"/>
      <w:contextualSpacing/>
    </w:pPr>
    <w:rPr>
      <w:szCs w:val="36"/>
    </w:rPr>
  </w:style>
  <w:style w:type="character" w:customStyle="1" w:styleId="54">
    <w:name w:val="Odsek zoznamu Char"/>
    <w:link w:val="53"/>
    <w:locked/>
    <w:uiPriority w:val="99"/>
    <w:rPr>
      <w:rFonts w:ascii="Arial Narrow" w:hAnsi="Arial Narrow" w:cs="Times New Roman"/>
      <w:sz w:val="22"/>
      <w:szCs w:val="36"/>
      <w:lang w:eastAsia="en-US"/>
    </w:rPr>
  </w:style>
  <w:style w:type="character" w:customStyle="1" w:styleId="55">
    <w:name w:val="ra"/>
    <w:basedOn w:val="11"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IBL Software Engineering</Company>
  <Pages>7</Pages>
  <Words>2239</Words>
  <Characters>12765</Characters>
  <Lines>106</Lines>
  <Paragraphs>29</Paragraphs>
  <TotalTime>1</TotalTime>
  <ScaleCrop>false</ScaleCrop>
  <LinksUpToDate>false</LinksUpToDate>
  <CharactersWithSpaces>14975</CharactersWithSpaces>
  <Application>WPS Office_11.2.0.10078_F1E327BC-269C-435d-A152-05C5408002CA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2021-03-03T12:06:00Z</dcterms:created>
  <dc:creator>jm</dc:creator>
  <cp:lastModifiedBy>ASUS</cp:lastModifiedBy>
  <cp:lastPrinted>2021-02-17T14:59:00Z</cp:lastPrinted>
  <dcterms:modified xsi:type="dcterms:W3CDTF">2021-03-24T20:20:53Z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1033-11.2.0.10078</vt:lpwstr>
  </property>
</Properties>
</file>