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565.0" w:type="dxa"/>
        <w:jc w:val="left"/>
        <w:tblInd w:w="-492.0" w:type="dxa"/>
        <w:tblLayout w:type="fixed"/>
        <w:tblLook w:val="0400"/>
      </w:tblPr>
      <w:tblGrid>
        <w:gridCol w:w="10565"/>
        <w:tblGridChange w:id="0">
          <w:tblGrid>
            <w:gridCol w:w="10565"/>
          </w:tblGrid>
        </w:tblGridChange>
      </w:tblGrid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2"/>
              <w:tblW w:w="9825.0" w:type="dxa"/>
              <w:jc w:val="left"/>
              <w:tblBorders>
                <w:top w:color="888888" w:space="0" w:sz="6" w:val="single"/>
                <w:left w:color="888888" w:space="0" w:sz="6" w:val="single"/>
                <w:bottom w:color="888888" w:space="0" w:sz="6" w:val="single"/>
                <w:right w:color="888888" w:space="0" w:sz="6" w:val="single"/>
              </w:tblBorders>
              <w:tblLayout w:type="fixed"/>
              <w:tblLook w:val="0400"/>
            </w:tblPr>
            <w:tblGrid>
              <w:gridCol w:w="2750"/>
              <w:gridCol w:w="544"/>
              <w:gridCol w:w="330"/>
              <w:gridCol w:w="330"/>
              <w:gridCol w:w="330"/>
              <w:gridCol w:w="330"/>
              <w:gridCol w:w="330"/>
              <w:gridCol w:w="330"/>
              <w:gridCol w:w="390"/>
              <w:gridCol w:w="330"/>
              <w:gridCol w:w="531"/>
              <w:gridCol w:w="330"/>
              <w:gridCol w:w="330"/>
              <w:gridCol w:w="330"/>
              <w:gridCol w:w="330"/>
              <w:gridCol w:w="330"/>
              <w:gridCol w:w="330"/>
              <w:gridCol w:w="330"/>
              <w:gridCol w:w="330"/>
              <w:gridCol w:w="330"/>
              <w:gridCol w:w="330"/>
              <w:tblGridChange w:id="0">
                <w:tblGrid>
                  <w:gridCol w:w="2750"/>
                  <w:gridCol w:w="544"/>
                  <w:gridCol w:w="330"/>
                  <w:gridCol w:w="330"/>
                  <w:gridCol w:w="330"/>
                  <w:gridCol w:w="330"/>
                  <w:gridCol w:w="330"/>
                  <w:gridCol w:w="330"/>
                  <w:gridCol w:w="390"/>
                  <w:gridCol w:w="330"/>
                  <w:gridCol w:w="531"/>
                  <w:gridCol w:w="330"/>
                  <w:gridCol w:w="330"/>
                  <w:gridCol w:w="330"/>
                  <w:gridCol w:w="330"/>
                  <w:gridCol w:w="330"/>
                  <w:gridCol w:w="330"/>
                  <w:gridCol w:w="330"/>
                  <w:gridCol w:w="330"/>
                  <w:gridCol w:w="330"/>
                  <w:gridCol w:w="330"/>
                </w:tblGrid>
              </w:tblGridChange>
            </w:tblGrid>
            <w:tr>
              <w:tc>
                <w:tcPr>
                  <w:tcBorders>
                    <w:top w:color="888888" w:space="0" w:sz="6" w:val="single"/>
                    <w:left w:color="888888" w:space="0" w:sz="6" w:val="single"/>
                    <w:bottom w:color="888888" w:space="0" w:sz="6" w:val="single"/>
                    <w:right w:color="888888" w:space="0" w:sz="6" w:val="single"/>
                  </w:tcBorders>
                  <w:tcMar>
                    <w:top w:w="30.0" w:type="dxa"/>
                    <w:left w:w="45.0" w:type="dxa"/>
                    <w:bottom w:w="30.0" w:type="dxa"/>
                    <w:right w:w="45.0" w:type="dxa"/>
                  </w:tcMar>
                  <w:vAlign w:val="center"/>
                </w:tcPr>
                <w:p w:rsidR="00000000" w:rsidDel="00000000" w:rsidP="00000000" w:rsidRDefault="00000000" w:rsidRPr="00000000" w14:paraId="00000003">
                  <w:pPr>
                    <w:spacing w:after="0" w:line="240" w:lineRule="auto"/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</w:rPr>
                  </w:pPr>
                  <w:bookmarkStart w:colFirst="0" w:colLast="0" w:name="_gjdgxs" w:id="0"/>
                  <w:bookmarkEnd w:id="0"/>
                  <w:r w:rsidDel="00000000" w:rsidR="00000000" w:rsidRPr="00000000"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  <w:rtl w:val="0"/>
                    </w:rPr>
                    <w:t xml:space="preserve">Poznámky Uč MUJ 3 – 01</w:t>
                  </w:r>
                </w:p>
              </w:tc>
              <w:tc>
                <w:tcPr>
                  <w:tcBorders>
                    <w:top w:color="888888" w:space="0" w:sz="6" w:val="single"/>
                    <w:left w:color="888888" w:space="0" w:sz="6" w:val="single"/>
                    <w:bottom w:color="888888" w:space="0" w:sz="6" w:val="single"/>
                    <w:right w:color="888888" w:space="0" w:sz="6" w:val="single"/>
                  </w:tcBorders>
                  <w:tcMar>
                    <w:top w:w="30.0" w:type="dxa"/>
                    <w:left w:w="45.0" w:type="dxa"/>
                    <w:bottom w:w="30.0" w:type="dxa"/>
                    <w:right w:w="45.0" w:type="dxa"/>
                  </w:tcMar>
                  <w:vAlign w:val="center"/>
                </w:tcPr>
                <w:p w:rsidR="00000000" w:rsidDel="00000000" w:rsidP="00000000" w:rsidRDefault="00000000" w:rsidRPr="00000000" w14:paraId="00000004">
                  <w:pPr>
                    <w:spacing w:after="0" w:line="240" w:lineRule="auto"/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  <w:rtl w:val="0"/>
                    </w:rPr>
                    <w:t xml:space="preserve">IČO</w:t>
                  </w:r>
                </w:p>
              </w:tc>
              <w:tc>
                <w:tcPr>
                  <w:tcBorders>
                    <w:top w:color="888888" w:space="0" w:sz="6" w:val="single"/>
                    <w:left w:color="888888" w:space="0" w:sz="6" w:val="single"/>
                    <w:bottom w:color="888888" w:space="0" w:sz="6" w:val="single"/>
                    <w:right w:color="888888" w:space="0" w:sz="6" w:val="single"/>
                  </w:tcBorders>
                  <w:tcMar>
                    <w:top w:w="30.0" w:type="dxa"/>
                    <w:left w:w="45.0" w:type="dxa"/>
                    <w:bottom w:w="30.0" w:type="dxa"/>
                    <w:right w:w="45.0" w:type="dxa"/>
                  </w:tcMar>
                  <w:vAlign w:val="center"/>
                </w:tcPr>
                <w:p w:rsidR="00000000" w:rsidDel="00000000" w:rsidP="00000000" w:rsidRDefault="00000000" w:rsidRPr="00000000" w14:paraId="00000005">
                  <w:pPr>
                    <w:spacing w:after="0" w:line="240" w:lineRule="auto"/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  <w:rtl w:val="0"/>
                    </w:rPr>
                    <w:t xml:space="preserve"> 5  </w:t>
                  </w:r>
                </w:p>
              </w:tc>
              <w:tc>
                <w:tcPr>
                  <w:tcBorders>
                    <w:top w:color="888888" w:space="0" w:sz="6" w:val="single"/>
                    <w:left w:color="888888" w:space="0" w:sz="6" w:val="single"/>
                    <w:bottom w:color="888888" w:space="0" w:sz="6" w:val="single"/>
                    <w:right w:color="888888" w:space="0" w:sz="6" w:val="single"/>
                  </w:tcBorders>
                  <w:tcMar>
                    <w:top w:w="30.0" w:type="dxa"/>
                    <w:left w:w="45.0" w:type="dxa"/>
                    <w:bottom w:w="30.0" w:type="dxa"/>
                    <w:right w:w="45.0" w:type="dxa"/>
                  </w:tcMar>
                  <w:vAlign w:val="center"/>
                </w:tcPr>
                <w:p w:rsidR="00000000" w:rsidDel="00000000" w:rsidP="00000000" w:rsidRDefault="00000000" w:rsidRPr="00000000" w14:paraId="00000006">
                  <w:pPr>
                    <w:spacing w:after="0" w:line="240" w:lineRule="auto"/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  <w:rtl w:val="0"/>
                    </w:rPr>
                    <w:t xml:space="preserve"> 2   </w:t>
                  </w:r>
                </w:p>
              </w:tc>
              <w:tc>
                <w:tcPr>
                  <w:tcBorders>
                    <w:top w:color="888888" w:space="0" w:sz="6" w:val="single"/>
                    <w:left w:color="888888" w:space="0" w:sz="6" w:val="single"/>
                    <w:bottom w:color="888888" w:space="0" w:sz="6" w:val="single"/>
                    <w:right w:color="888888" w:space="0" w:sz="6" w:val="single"/>
                  </w:tcBorders>
                  <w:tcMar>
                    <w:top w:w="30.0" w:type="dxa"/>
                    <w:left w:w="45.0" w:type="dxa"/>
                    <w:bottom w:w="30.0" w:type="dxa"/>
                    <w:right w:w="45.0" w:type="dxa"/>
                  </w:tcMar>
                  <w:vAlign w:val="center"/>
                </w:tcPr>
                <w:p w:rsidR="00000000" w:rsidDel="00000000" w:rsidP="00000000" w:rsidRDefault="00000000" w:rsidRPr="00000000" w14:paraId="00000007">
                  <w:pPr>
                    <w:spacing w:after="0" w:line="240" w:lineRule="auto"/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  <w:rtl w:val="0"/>
                    </w:rPr>
                    <w:t xml:space="preserve"> 8 </w:t>
                  </w:r>
                </w:p>
              </w:tc>
              <w:tc>
                <w:tcPr>
                  <w:tcBorders>
                    <w:top w:color="888888" w:space="0" w:sz="6" w:val="single"/>
                    <w:left w:color="888888" w:space="0" w:sz="6" w:val="single"/>
                    <w:bottom w:color="888888" w:space="0" w:sz="6" w:val="single"/>
                    <w:right w:color="888888" w:space="0" w:sz="6" w:val="single"/>
                  </w:tcBorders>
                  <w:tcMar>
                    <w:top w:w="30.0" w:type="dxa"/>
                    <w:left w:w="45.0" w:type="dxa"/>
                    <w:bottom w:w="30.0" w:type="dxa"/>
                    <w:right w:w="45.0" w:type="dxa"/>
                  </w:tcMar>
                  <w:vAlign w:val="center"/>
                </w:tcPr>
                <w:p w:rsidR="00000000" w:rsidDel="00000000" w:rsidP="00000000" w:rsidRDefault="00000000" w:rsidRPr="00000000" w14:paraId="00000008">
                  <w:pPr>
                    <w:spacing w:after="0" w:line="240" w:lineRule="auto"/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  <w:rtl w:val="0"/>
                    </w:rPr>
                    <w:t xml:space="preserve"> 8 </w:t>
                  </w:r>
                </w:p>
              </w:tc>
              <w:tc>
                <w:tcPr>
                  <w:tcBorders>
                    <w:top w:color="888888" w:space="0" w:sz="6" w:val="single"/>
                    <w:left w:color="888888" w:space="0" w:sz="6" w:val="single"/>
                    <w:bottom w:color="888888" w:space="0" w:sz="6" w:val="single"/>
                    <w:right w:color="888888" w:space="0" w:sz="6" w:val="single"/>
                  </w:tcBorders>
                  <w:tcMar>
                    <w:top w:w="30.0" w:type="dxa"/>
                    <w:left w:w="45.0" w:type="dxa"/>
                    <w:bottom w:w="30.0" w:type="dxa"/>
                    <w:right w:w="45.0" w:type="dxa"/>
                  </w:tcMar>
                  <w:vAlign w:val="center"/>
                </w:tcPr>
                <w:p w:rsidR="00000000" w:rsidDel="00000000" w:rsidP="00000000" w:rsidRDefault="00000000" w:rsidRPr="00000000" w14:paraId="00000009">
                  <w:pPr>
                    <w:spacing w:after="0" w:line="240" w:lineRule="auto"/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  <w:rtl w:val="0"/>
                    </w:rPr>
                    <w:t xml:space="preserve"> 9 </w:t>
                  </w:r>
                </w:p>
              </w:tc>
              <w:tc>
                <w:tcPr>
                  <w:tcBorders>
                    <w:top w:color="888888" w:space="0" w:sz="6" w:val="single"/>
                    <w:left w:color="888888" w:space="0" w:sz="6" w:val="single"/>
                    <w:bottom w:color="888888" w:space="0" w:sz="6" w:val="single"/>
                    <w:right w:color="888888" w:space="0" w:sz="6" w:val="single"/>
                  </w:tcBorders>
                  <w:tcMar>
                    <w:top w:w="30.0" w:type="dxa"/>
                    <w:left w:w="45.0" w:type="dxa"/>
                    <w:bottom w:w="30.0" w:type="dxa"/>
                    <w:right w:w="45.0" w:type="dxa"/>
                  </w:tcMar>
                  <w:vAlign w:val="center"/>
                </w:tcPr>
                <w:p w:rsidR="00000000" w:rsidDel="00000000" w:rsidP="00000000" w:rsidRDefault="00000000" w:rsidRPr="00000000" w14:paraId="0000000A">
                  <w:pPr>
                    <w:spacing w:after="0" w:line="240" w:lineRule="auto"/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  <w:rtl w:val="0"/>
                    </w:rPr>
                    <w:t xml:space="preserve"> 1 </w:t>
                  </w:r>
                </w:p>
              </w:tc>
              <w:tc>
                <w:tcPr>
                  <w:tcBorders>
                    <w:top w:color="888888" w:space="0" w:sz="6" w:val="single"/>
                    <w:left w:color="888888" w:space="0" w:sz="6" w:val="single"/>
                    <w:bottom w:color="888888" w:space="0" w:sz="6" w:val="single"/>
                    <w:right w:color="888888" w:space="0" w:sz="6" w:val="single"/>
                  </w:tcBorders>
                  <w:tcMar>
                    <w:top w:w="30.0" w:type="dxa"/>
                    <w:left w:w="45.0" w:type="dxa"/>
                    <w:bottom w:w="30.0" w:type="dxa"/>
                    <w:right w:w="45.0" w:type="dxa"/>
                  </w:tcMar>
                  <w:vAlign w:val="center"/>
                </w:tcPr>
                <w:p w:rsidR="00000000" w:rsidDel="00000000" w:rsidP="00000000" w:rsidRDefault="00000000" w:rsidRPr="00000000" w14:paraId="0000000B">
                  <w:pPr>
                    <w:spacing w:after="0" w:line="240" w:lineRule="auto"/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  <w:rtl w:val="0"/>
                    </w:rPr>
                    <w:t xml:space="preserve"> 4  </w:t>
                  </w:r>
                </w:p>
              </w:tc>
              <w:tc>
                <w:tcPr>
                  <w:tcBorders>
                    <w:top w:color="888888" w:space="0" w:sz="6" w:val="single"/>
                    <w:left w:color="888888" w:space="0" w:sz="6" w:val="single"/>
                    <w:bottom w:color="888888" w:space="0" w:sz="6" w:val="single"/>
                    <w:right w:color="888888" w:space="0" w:sz="6" w:val="single"/>
                  </w:tcBorders>
                  <w:tcMar>
                    <w:top w:w="30.0" w:type="dxa"/>
                    <w:left w:w="45.0" w:type="dxa"/>
                    <w:bottom w:w="30.0" w:type="dxa"/>
                    <w:right w:w="45.0" w:type="dxa"/>
                  </w:tcMar>
                  <w:vAlign w:val="center"/>
                </w:tcPr>
                <w:p w:rsidR="00000000" w:rsidDel="00000000" w:rsidP="00000000" w:rsidRDefault="00000000" w:rsidRPr="00000000" w14:paraId="0000000C">
                  <w:pPr>
                    <w:spacing w:after="0" w:line="240" w:lineRule="auto"/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  <w:rtl w:val="0"/>
                    </w:rPr>
                    <w:t xml:space="preserve"> 9 </w:t>
                  </w:r>
                </w:p>
              </w:tc>
              <w:tc>
                <w:tcPr>
                  <w:tcBorders>
                    <w:top w:color="888888" w:space="0" w:sz="6" w:val="single"/>
                    <w:left w:color="888888" w:space="0" w:sz="6" w:val="single"/>
                    <w:bottom w:color="888888" w:space="0" w:sz="6" w:val="single"/>
                    <w:right w:color="888888" w:space="0" w:sz="6" w:val="single"/>
                  </w:tcBorders>
                  <w:tcMar>
                    <w:top w:w="30.0" w:type="dxa"/>
                    <w:left w:w="45.0" w:type="dxa"/>
                    <w:bottom w:w="30.0" w:type="dxa"/>
                    <w:right w:w="45.0" w:type="dxa"/>
                  </w:tcMar>
                  <w:vAlign w:val="center"/>
                </w:tcPr>
                <w:p w:rsidR="00000000" w:rsidDel="00000000" w:rsidP="00000000" w:rsidRDefault="00000000" w:rsidRPr="00000000" w14:paraId="0000000D">
                  <w:pPr>
                    <w:spacing w:after="0" w:line="240" w:lineRule="auto"/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  <w:rtl w:val="0"/>
                    </w:rPr>
                    <w:t xml:space="preserve">DIČ</w:t>
                  </w:r>
                </w:p>
              </w:tc>
              <w:tc>
                <w:tcPr>
                  <w:tcBorders>
                    <w:top w:color="888888" w:space="0" w:sz="6" w:val="single"/>
                    <w:left w:color="888888" w:space="0" w:sz="6" w:val="single"/>
                    <w:bottom w:color="888888" w:space="0" w:sz="6" w:val="single"/>
                    <w:right w:color="888888" w:space="0" w:sz="6" w:val="single"/>
                  </w:tcBorders>
                  <w:tcMar>
                    <w:top w:w="30.0" w:type="dxa"/>
                    <w:left w:w="45.0" w:type="dxa"/>
                    <w:bottom w:w="30.0" w:type="dxa"/>
                    <w:right w:w="45.0" w:type="dxa"/>
                  </w:tcMar>
                  <w:vAlign w:val="center"/>
                </w:tcPr>
                <w:p w:rsidR="00000000" w:rsidDel="00000000" w:rsidP="00000000" w:rsidRDefault="00000000" w:rsidRPr="00000000" w14:paraId="0000000E">
                  <w:pPr>
                    <w:spacing w:after="0" w:line="240" w:lineRule="auto"/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  <w:rtl w:val="0"/>
                    </w:rPr>
                    <w:t xml:space="preserve"> 2 </w:t>
                  </w:r>
                </w:p>
              </w:tc>
              <w:tc>
                <w:tcPr>
                  <w:tcBorders>
                    <w:top w:color="888888" w:space="0" w:sz="6" w:val="single"/>
                    <w:left w:color="888888" w:space="0" w:sz="6" w:val="single"/>
                    <w:bottom w:color="888888" w:space="0" w:sz="6" w:val="single"/>
                    <w:right w:color="888888" w:space="0" w:sz="6" w:val="single"/>
                  </w:tcBorders>
                  <w:tcMar>
                    <w:top w:w="30.0" w:type="dxa"/>
                    <w:left w:w="45.0" w:type="dxa"/>
                    <w:bottom w:w="30.0" w:type="dxa"/>
                    <w:right w:w="45.0" w:type="dxa"/>
                  </w:tcMar>
                  <w:vAlign w:val="center"/>
                </w:tcPr>
                <w:p w:rsidR="00000000" w:rsidDel="00000000" w:rsidP="00000000" w:rsidRDefault="00000000" w:rsidRPr="00000000" w14:paraId="0000000F">
                  <w:pPr>
                    <w:spacing w:after="0" w:line="240" w:lineRule="auto"/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  <w:rtl w:val="0"/>
                    </w:rPr>
                    <w:t xml:space="preserve"> 1 </w:t>
                  </w:r>
                </w:p>
              </w:tc>
              <w:tc>
                <w:tcPr>
                  <w:tcBorders>
                    <w:top w:color="888888" w:space="0" w:sz="6" w:val="single"/>
                    <w:left w:color="888888" w:space="0" w:sz="6" w:val="single"/>
                    <w:bottom w:color="888888" w:space="0" w:sz="6" w:val="single"/>
                    <w:right w:color="888888" w:space="0" w:sz="6" w:val="single"/>
                  </w:tcBorders>
                  <w:tcMar>
                    <w:top w:w="30.0" w:type="dxa"/>
                    <w:left w:w="45.0" w:type="dxa"/>
                    <w:bottom w:w="30.0" w:type="dxa"/>
                    <w:right w:w="45.0" w:type="dxa"/>
                  </w:tcMar>
                  <w:vAlign w:val="center"/>
                </w:tcPr>
                <w:p w:rsidR="00000000" w:rsidDel="00000000" w:rsidP="00000000" w:rsidRDefault="00000000" w:rsidRPr="00000000" w14:paraId="00000010">
                  <w:pPr>
                    <w:spacing w:after="0" w:line="240" w:lineRule="auto"/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  <w:rtl w:val="0"/>
                    </w:rPr>
                    <w:t xml:space="preserve"> 2 </w:t>
                  </w:r>
                </w:p>
              </w:tc>
              <w:tc>
                <w:tcPr>
                  <w:tcBorders>
                    <w:top w:color="888888" w:space="0" w:sz="6" w:val="single"/>
                    <w:left w:color="888888" w:space="0" w:sz="6" w:val="single"/>
                    <w:bottom w:color="888888" w:space="0" w:sz="6" w:val="single"/>
                    <w:right w:color="888888" w:space="0" w:sz="6" w:val="single"/>
                  </w:tcBorders>
                  <w:tcMar>
                    <w:top w:w="30.0" w:type="dxa"/>
                    <w:left w:w="45.0" w:type="dxa"/>
                    <w:bottom w:w="30.0" w:type="dxa"/>
                    <w:right w:w="45.0" w:type="dxa"/>
                  </w:tcMar>
                  <w:vAlign w:val="center"/>
                </w:tcPr>
                <w:p w:rsidR="00000000" w:rsidDel="00000000" w:rsidP="00000000" w:rsidRDefault="00000000" w:rsidRPr="00000000" w14:paraId="00000011">
                  <w:pPr>
                    <w:spacing w:after="0" w:line="240" w:lineRule="auto"/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  <w:rtl w:val="0"/>
                    </w:rPr>
                    <w:t xml:space="preserve"> 1 </w:t>
                  </w:r>
                </w:p>
              </w:tc>
              <w:tc>
                <w:tcPr>
                  <w:tcBorders>
                    <w:top w:color="888888" w:space="0" w:sz="6" w:val="single"/>
                    <w:left w:color="888888" w:space="0" w:sz="6" w:val="single"/>
                    <w:bottom w:color="888888" w:space="0" w:sz="6" w:val="single"/>
                    <w:right w:color="888888" w:space="0" w:sz="6" w:val="single"/>
                  </w:tcBorders>
                  <w:tcMar>
                    <w:top w:w="30.0" w:type="dxa"/>
                    <w:left w:w="45.0" w:type="dxa"/>
                    <w:bottom w:w="30.0" w:type="dxa"/>
                    <w:right w:w="45.0" w:type="dxa"/>
                  </w:tcMar>
                  <w:vAlign w:val="center"/>
                </w:tcPr>
                <w:p w:rsidR="00000000" w:rsidDel="00000000" w:rsidP="00000000" w:rsidRDefault="00000000" w:rsidRPr="00000000" w14:paraId="00000012">
                  <w:pPr>
                    <w:spacing w:after="0" w:line="240" w:lineRule="auto"/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  <w:rtl w:val="0"/>
                    </w:rPr>
                    <w:t xml:space="preserve"> 1 </w:t>
                  </w:r>
                </w:p>
              </w:tc>
              <w:tc>
                <w:tcPr>
                  <w:tcBorders>
                    <w:top w:color="888888" w:space="0" w:sz="6" w:val="single"/>
                    <w:left w:color="888888" w:space="0" w:sz="6" w:val="single"/>
                    <w:bottom w:color="888888" w:space="0" w:sz="6" w:val="single"/>
                    <w:right w:color="888888" w:space="0" w:sz="6" w:val="single"/>
                  </w:tcBorders>
                  <w:tcMar>
                    <w:top w:w="30.0" w:type="dxa"/>
                    <w:left w:w="45.0" w:type="dxa"/>
                    <w:bottom w:w="30.0" w:type="dxa"/>
                    <w:right w:w="45.0" w:type="dxa"/>
                  </w:tcMar>
                  <w:vAlign w:val="center"/>
                </w:tcPr>
                <w:p w:rsidR="00000000" w:rsidDel="00000000" w:rsidP="00000000" w:rsidRDefault="00000000" w:rsidRPr="00000000" w14:paraId="00000013">
                  <w:pPr>
                    <w:spacing w:after="0" w:line="240" w:lineRule="auto"/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  <w:rtl w:val="0"/>
                    </w:rPr>
                    <w:t xml:space="preserve"> 7 </w:t>
                  </w:r>
                </w:p>
              </w:tc>
              <w:tc>
                <w:tcPr>
                  <w:tcBorders>
                    <w:top w:color="888888" w:space="0" w:sz="6" w:val="single"/>
                    <w:left w:color="888888" w:space="0" w:sz="6" w:val="single"/>
                    <w:bottom w:color="888888" w:space="0" w:sz="6" w:val="single"/>
                    <w:right w:color="888888" w:space="0" w:sz="6" w:val="single"/>
                  </w:tcBorders>
                  <w:tcMar>
                    <w:top w:w="30.0" w:type="dxa"/>
                    <w:left w:w="45.0" w:type="dxa"/>
                    <w:bottom w:w="30.0" w:type="dxa"/>
                    <w:right w:w="45.0" w:type="dxa"/>
                  </w:tcMar>
                  <w:vAlign w:val="center"/>
                </w:tcPr>
                <w:p w:rsidR="00000000" w:rsidDel="00000000" w:rsidP="00000000" w:rsidRDefault="00000000" w:rsidRPr="00000000" w14:paraId="00000014">
                  <w:pPr>
                    <w:spacing w:after="0" w:line="240" w:lineRule="auto"/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  <w:rtl w:val="0"/>
                    </w:rPr>
                    <w:t xml:space="preserve"> 1 </w:t>
                  </w:r>
                </w:p>
              </w:tc>
              <w:tc>
                <w:tcPr>
                  <w:tcBorders>
                    <w:top w:color="888888" w:space="0" w:sz="6" w:val="single"/>
                    <w:left w:color="888888" w:space="0" w:sz="6" w:val="single"/>
                    <w:bottom w:color="888888" w:space="0" w:sz="6" w:val="single"/>
                    <w:right w:color="888888" w:space="0" w:sz="6" w:val="single"/>
                  </w:tcBorders>
                  <w:tcMar>
                    <w:top w:w="30.0" w:type="dxa"/>
                    <w:left w:w="45.0" w:type="dxa"/>
                    <w:bottom w:w="30.0" w:type="dxa"/>
                    <w:right w:w="45.0" w:type="dxa"/>
                  </w:tcMar>
                  <w:vAlign w:val="center"/>
                </w:tcPr>
                <w:p w:rsidR="00000000" w:rsidDel="00000000" w:rsidP="00000000" w:rsidRDefault="00000000" w:rsidRPr="00000000" w14:paraId="00000015">
                  <w:pPr>
                    <w:spacing w:after="0" w:line="240" w:lineRule="auto"/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  <w:rtl w:val="0"/>
                    </w:rPr>
                    <w:t xml:space="preserve"> 3 </w:t>
                  </w:r>
                </w:p>
              </w:tc>
              <w:tc>
                <w:tcPr>
                  <w:tcBorders>
                    <w:top w:color="888888" w:space="0" w:sz="6" w:val="single"/>
                    <w:left w:color="888888" w:space="0" w:sz="6" w:val="single"/>
                    <w:bottom w:color="888888" w:space="0" w:sz="6" w:val="single"/>
                    <w:right w:color="888888" w:space="0" w:sz="6" w:val="single"/>
                  </w:tcBorders>
                  <w:tcMar>
                    <w:top w:w="30.0" w:type="dxa"/>
                    <w:left w:w="45.0" w:type="dxa"/>
                    <w:bottom w:w="30.0" w:type="dxa"/>
                    <w:right w:w="45.0" w:type="dxa"/>
                  </w:tcMar>
                  <w:vAlign w:val="center"/>
                </w:tcPr>
                <w:p w:rsidR="00000000" w:rsidDel="00000000" w:rsidP="00000000" w:rsidRDefault="00000000" w:rsidRPr="00000000" w14:paraId="00000016">
                  <w:pPr>
                    <w:spacing w:after="0" w:line="240" w:lineRule="auto"/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  <w:rtl w:val="0"/>
                    </w:rPr>
                    <w:t xml:space="preserve"> 7 </w:t>
                  </w:r>
                </w:p>
              </w:tc>
              <w:tc>
                <w:tcPr>
                  <w:tcBorders>
                    <w:top w:color="888888" w:space="0" w:sz="6" w:val="single"/>
                    <w:left w:color="888888" w:space="0" w:sz="6" w:val="single"/>
                    <w:bottom w:color="888888" w:space="0" w:sz="6" w:val="single"/>
                    <w:right w:color="888888" w:space="0" w:sz="6" w:val="single"/>
                  </w:tcBorders>
                  <w:tcMar>
                    <w:top w:w="30.0" w:type="dxa"/>
                    <w:left w:w="45.0" w:type="dxa"/>
                    <w:bottom w:w="30.0" w:type="dxa"/>
                    <w:right w:w="45.0" w:type="dxa"/>
                  </w:tcMar>
                  <w:vAlign w:val="center"/>
                </w:tcPr>
                <w:p w:rsidR="00000000" w:rsidDel="00000000" w:rsidP="00000000" w:rsidRDefault="00000000" w:rsidRPr="00000000" w14:paraId="00000017">
                  <w:pPr>
                    <w:spacing w:after="0" w:line="240" w:lineRule="auto"/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</w:rPr>
                  </w:pPr>
                  <w:r w:rsidDel="00000000" w:rsidR="00000000" w:rsidRPr="00000000">
                    <w:rPr>
                      <w:rFonts w:ascii="Times New Roman" w:cs="Times New Roman" w:eastAsia="Times New Roman" w:hAnsi="Times New Roman"/>
                      <w:b w:val="1"/>
                      <w:sz w:val="24"/>
                      <w:szCs w:val="24"/>
                      <w:rtl w:val="0"/>
                    </w:rPr>
                    <w:t xml:space="preserve"> 1 </w:t>
                  </w:r>
                </w:p>
              </w:tc>
            </w:tr>
          </w:tbl>
          <w:p w:rsidR="00000000" w:rsidDel="00000000" w:rsidP="00000000" w:rsidRDefault="00000000" w:rsidRPr="00000000" w14:paraId="00000018">
            <w:pPr>
              <w:spacing w:after="0" w:line="240" w:lineRule="auto"/>
              <w:ind w:right="1059"/>
              <w:jc w:val="both"/>
              <w:rPr>
                <w:rFonts w:ascii="Trebuchet MS" w:cs="Trebuchet MS" w:eastAsia="Trebuchet MS" w:hAnsi="Trebuchet MS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19">
            <w:pPr>
              <w:spacing w:after="0" w:line="240" w:lineRule="auto"/>
              <w:ind w:right="1059"/>
              <w:jc w:val="center"/>
              <w:rPr>
                <w:rFonts w:ascii="Trebuchet MS" w:cs="Trebuchet MS" w:eastAsia="Trebuchet MS" w:hAnsi="Trebuchet MS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spacing w:after="0" w:line="240" w:lineRule="auto"/>
              <w:ind w:right="1059"/>
              <w:jc w:val="center"/>
              <w:rPr>
                <w:rFonts w:ascii="Trebuchet MS" w:cs="Trebuchet MS" w:eastAsia="Trebuchet MS" w:hAnsi="Trebuchet MS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spacing w:after="0" w:line="240" w:lineRule="auto"/>
              <w:ind w:right="1059"/>
              <w:jc w:val="center"/>
              <w:rPr>
                <w:rFonts w:ascii="Trebuchet MS" w:cs="Trebuchet MS" w:eastAsia="Trebuchet MS" w:hAnsi="Trebuchet M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sz w:val="20"/>
                <w:szCs w:val="20"/>
                <w:rtl w:val="0"/>
              </w:rPr>
              <w:t xml:space="preserve">Čl. I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1C">
            <w:pPr>
              <w:spacing w:after="0" w:line="240" w:lineRule="auto"/>
              <w:ind w:right="284"/>
              <w:jc w:val="center"/>
              <w:rPr>
                <w:rFonts w:ascii="Trebuchet MS" w:cs="Trebuchet MS" w:eastAsia="Trebuchet MS" w:hAnsi="Trebuchet M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sz w:val="20"/>
                <w:szCs w:val="20"/>
                <w:rtl w:val="0"/>
              </w:rPr>
              <w:t xml:space="preserve">Všeobecné údaje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1"/>
              <w:numPr>
                <w:ilvl w:val="0"/>
                <w:numId w:val="1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76" w:right="284" w:hanging="426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Názov právnickej osoby a jej sídlo alebo meno a priezvisko fyzickej osoby.</w:t>
            </w:r>
          </w:p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Drito, s.r.o, Dubová 31, 010 07  Žilina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1"/>
              <w:numPr>
                <w:ilvl w:val="0"/>
                <w:numId w:val="1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Údaje o konsolidovanom celku, a to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1"/>
              <w:numPr>
                <w:ilvl w:val="0"/>
                <w:numId w:val="1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</w:t>
            </w:r>
          </w:p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1"/>
              <w:numPr>
                <w:ilvl w:val="0"/>
                <w:numId w:val="1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údaj, či účtovná jednotka je materskou účtovnou jednotkou a údaj, či je oslobodená od povinnosti zostaviť konsolidovanú účtovnú závierku a konsolidovanú výročnú správu podľa </w:t>
            </w:r>
            <w:hyperlink r:id="rId6">
              <w:r w:rsidDel="00000000" w:rsidR="00000000" w:rsidRPr="00000000">
                <w:rPr>
                  <w:rFonts w:ascii="Trebuchet MS" w:cs="Trebuchet MS" w:eastAsia="Trebuchet MS" w:hAnsi="Trebuchet MS"/>
                  <w:b w:val="1"/>
                  <w:i w:val="0"/>
                  <w:smallCaps w:val="0"/>
                  <w:strike w:val="0"/>
                  <w:color w:val="7f7f7f"/>
                  <w:sz w:val="20"/>
                  <w:szCs w:val="20"/>
                  <w:u w:val="single"/>
                  <w:shd w:fill="auto" w:val="clear"/>
                  <w:vertAlign w:val="baseline"/>
                  <w:rtl w:val="0"/>
                </w:rPr>
                <w:t xml:space="preserve">§ 22 zákona</w:t>
              </w:r>
            </w:hyperlink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, pričom sa uvádzajú</w:t>
            </w:r>
          </w:p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1"/>
              <w:numPr>
                <w:ilvl w:val="0"/>
                <w:numId w:val="1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pri oslobodení podľa § 22 ods. 8 zákona obchodné meno a sídlo materskej účtovnej jednotky zostavujúcej konsolidovanú účtovnú závierku podľa osobitných predpisov,</w:t>
            </w:r>
            <w:hyperlink r:id="rId7">
              <w:r w:rsidDel="00000000" w:rsidR="00000000" w:rsidRPr="00000000">
                <w:rPr>
                  <w:rFonts w:ascii="Trebuchet MS" w:cs="Trebuchet MS" w:eastAsia="Trebuchet MS" w:hAnsi="Trebuchet MS"/>
                  <w:b w:val="1"/>
                  <w:i w:val="0"/>
                  <w:smallCaps w:val="0"/>
                  <w:strike w:val="0"/>
                  <w:color w:val="7f7f7f"/>
                  <w:sz w:val="20"/>
                  <w:szCs w:val="20"/>
                  <w:u w:val="single"/>
                  <w:shd w:fill="auto" w:val="clear"/>
                  <w:vertAlign w:val="baseline"/>
                  <w:rtl w:val="0"/>
                </w:rPr>
                <w:t xml:space="preserve">4)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1"/>
              <w:numPr>
                <w:ilvl w:val="0"/>
                <w:numId w:val="1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pri oslobodení podľa § 22 ods. 12 zákona obchodné meno a sídlo dcérskych účtovných jednotiek.</w:t>
            </w:r>
          </w:p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1"/>
              <w:numPr>
                <w:ilvl w:val="0"/>
                <w:numId w:val="1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Priemerný prepočítaný počet zamestnancov.</w:t>
            </w:r>
          </w:p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</w:p>
          <w:p w:rsidR="00000000" w:rsidDel="00000000" w:rsidP="00000000" w:rsidRDefault="00000000" w:rsidRPr="00000000" w14:paraId="0000002A">
            <w:pPr>
              <w:spacing w:after="0" w:line="240" w:lineRule="auto"/>
              <w:ind w:right="284"/>
              <w:jc w:val="both"/>
              <w:rPr>
                <w:rFonts w:ascii="Trebuchet MS" w:cs="Trebuchet MS" w:eastAsia="Trebuchet MS" w:hAnsi="Trebuchet MS"/>
                <w:b w:val="1"/>
                <w:color w:val="7f7f7f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2B">
            <w:pPr>
              <w:spacing w:after="0" w:line="240" w:lineRule="auto"/>
              <w:ind w:right="284"/>
              <w:jc w:val="center"/>
              <w:rPr>
                <w:rFonts w:ascii="Trebuchet MS" w:cs="Trebuchet MS" w:eastAsia="Trebuchet MS" w:hAnsi="Trebuchet M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sz w:val="20"/>
                <w:szCs w:val="20"/>
                <w:rtl w:val="0"/>
              </w:rPr>
              <w:t xml:space="preserve">Čl. II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2C">
            <w:pPr>
              <w:spacing w:after="0" w:line="240" w:lineRule="auto"/>
              <w:ind w:right="284"/>
              <w:jc w:val="center"/>
              <w:rPr>
                <w:rFonts w:ascii="Trebuchet MS" w:cs="Trebuchet MS" w:eastAsia="Trebuchet MS" w:hAnsi="Trebuchet M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sz w:val="20"/>
                <w:szCs w:val="20"/>
                <w:rtl w:val="0"/>
              </w:rPr>
              <w:t xml:space="preserve">Informácie o prijatých postupoch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Informácia, či je účtovná závierka zostavená za splnenia predpokladu, že účtovná jednotka bude nepretržite pokračovať vo svojej činnosti.</w:t>
            </w:r>
          </w:p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Vzhľadom na rozsah činností vykonávaných účtovnou jednotkou a ich zameranie je predpoklad, že účtovná jednotka bude pokračovať vo svojej činnosti.</w:t>
            </w:r>
          </w:p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4" w:right="284" w:hanging="284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Spôsob oceňovania jednotlivých položiek majetku a záväzkov, a to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dlhodobého nehmotného majetku, dlhodobého hmotného majetku a dlhodobého finančného majetku,</w:t>
            </w:r>
          </w:p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zásob obstaraných kúpou, zásob vytvorených vlastnou činnosťou,</w:t>
            </w:r>
          </w:p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pohľadávok,</w:t>
            </w:r>
          </w:p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krátkodobého finančného majetku,</w:t>
            </w:r>
          </w:p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záväzkov vrátane rezerv, dlhopisov, pôžičiek a úverov,</w:t>
            </w:r>
          </w:p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derivátových operácií.</w:t>
            </w:r>
          </w:p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Spôsob zostavenia odpisového plánu pre jednotlivé druhy dlhodobého hmotného majetku a dlhodobého nehmotného majetku, pričom sa uvádza doba odpisovania, použité sadzby odpisov a odpisové metódy pri určení odpisov.</w:t>
            </w:r>
          </w:p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Účtovná jednotka momentálne nedisponuje dlhodobým majetkom.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Zmeny účtovných zásad a zmeny účtovných metód s uvedením dôvodu týchto zmien a vyčíslením ich vplyvu na finančnú hodnotu majetku, záväzkov, základného imania a výsledku hospodárenia účtovnej jednotky.</w:t>
            </w:r>
          </w:p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Informácie o dotáciách a ich oceňovanie v účtovníctve.</w:t>
            </w:r>
          </w:p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      </w:r>
          </w:p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</w:p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46">
            <w:pPr>
              <w:spacing w:after="0" w:line="240" w:lineRule="auto"/>
              <w:ind w:right="284"/>
              <w:jc w:val="center"/>
              <w:rPr>
                <w:rFonts w:ascii="Trebuchet MS" w:cs="Trebuchet MS" w:eastAsia="Trebuchet MS" w:hAnsi="Trebuchet M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sz w:val="20"/>
                <w:szCs w:val="20"/>
                <w:rtl w:val="0"/>
              </w:rPr>
              <w:t xml:space="preserve">Čl. III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47">
            <w:pPr>
              <w:spacing w:after="0" w:line="240" w:lineRule="auto"/>
              <w:ind w:right="284"/>
              <w:jc w:val="center"/>
              <w:rPr>
                <w:rFonts w:ascii="Trebuchet MS" w:cs="Trebuchet MS" w:eastAsia="Trebuchet MS" w:hAnsi="Trebuchet M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sz w:val="20"/>
                <w:szCs w:val="20"/>
                <w:rtl w:val="0"/>
              </w:rPr>
              <w:t xml:space="preserve">Informácie, ktoré vysvetľujú a dopĺňajú súvahu a výkaz ziskov a strát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      </w:r>
          </w:p>
          <w:p w:rsidR="00000000" w:rsidDel="00000000" w:rsidP="00000000" w:rsidRDefault="00000000" w:rsidRPr="00000000" w14:paraId="0000004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Informácie o záväzkoch, a to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celkovej sume záväzkov so zostatkovou dobou splatnosti dlhšou ako päť rokov,</w:t>
            </w:r>
          </w:p>
          <w:p w:rsidR="00000000" w:rsidDel="00000000" w:rsidP="00000000" w:rsidRDefault="00000000" w:rsidRPr="00000000" w14:paraId="0000004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celkovej sume zabezpečených záväzkov, opis a spôsoby zabezpečenia záväzkov.</w:t>
            </w:r>
          </w:p>
          <w:p w:rsidR="00000000" w:rsidDel="00000000" w:rsidP="00000000" w:rsidRDefault="00000000" w:rsidRPr="00000000" w14:paraId="0000004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Informácie o vlastných akciách, a to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widowControl w:val="1"/>
              <w:numPr>
                <w:ilvl w:val="0"/>
                <w:numId w:val="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dôvode nadobudnutia vlastných akcií počas účtovného obdobia,</w:t>
            </w:r>
          </w:p>
          <w:p w:rsidR="00000000" w:rsidDel="00000000" w:rsidP="00000000" w:rsidRDefault="00000000" w:rsidRPr="00000000" w14:paraId="0000005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widowControl w:val="1"/>
              <w:numPr>
                <w:ilvl w:val="0"/>
                <w:numId w:val="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informáciách, ktorými sú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      </w:r>
          </w:p>
          <w:p w:rsidR="00000000" w:rsidDel="00000000" w:rsidP="00000000" w:rsidRDefault="00000000" w:rsidRPr="00000000" w14:paraId="0000005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počet a hodnota, za ktorú sa vlastné akcie počas účtovného obdobia nadobudli a počet a hodnota, za ktorú sa vlastné akcie počas účtovného obdobia previedli na inú osobu,</w:t>
            </w:r>
          </w:p>
          <w:p w:rsidR="00000000" w:rsidDel="00000000" w:rsidP="00000000" w:rsidRDefault="00000000" w:rsidRPr="00000000" w14:paraId="0000005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widowControl w:val="1"/>
              <w:numPr>
                <w:ilvl w:val="0"/>
                <w:numId w:val="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počte, menovitej hodnote a hodnote, za ktorú sa vlastné akcie nadobudli a ktoré účtovná jednotka má v držbe k poslednému dňu účtovného obdobia; uvádza sa aj ich percentuálny podiel na upísanom základnom imaní.</w:t>
            </w:r>
          </w:p>
          <w:p w:rsidR="00000000" w:rsidDel="00000000" w:rsidP="00000000" w:rsidRDefault="00000000" w:rsidRPr="00000000" w14:paraId="0000005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Informácia o tom, či účtovná jednotka vytvorila kapitálový fond z príspevkov podľa § 123 ods. 2 a 217a Obchodného zákonníka v znení neskorších predpisov.</w:t>
            </w:r>
          </w:p>
          <w:p w:rsidR="00000000" w:rsidDel="00000000" w:rsidP="00000000" w:rsidRDefault="00000000" w:rsidRPr="00000000" w14:paraId="0000005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Informácie o orgánoch účtovnej jednotky, a to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výške jednotlivých druhov záruk alebo iných zabezpečení poskytnutých pre členov štatutárneho orgánu, dozorného orgánu a iného orgánu účtovnej jednotky, a to v členení za jednotlivé orgány,</w:t>
            </w:r>
          </w:p>
          <w:p w:rsidR="00000000" w:rsidDel="00000000" w:rsidP="00000000" w:rsidRDefault="00000000" w:rsidRPr="00000000" w14:paraId="0000005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pôžičkách poskytnutých členom štatutárneho orgánu, dozorného orgánu a iného orgánu účtovnej jednotky a to</w:t>
            </w:r>
          </w:p>
          <w:p w:rsidR="00000000" w:rsidDel="00000000" w:rsidP="00000000" w:rsidRDefault="00000000" w:rsidRPr="00000000" w14:paraId="0000005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widowControl w:val="1"/>
              <w:numPr>
                <w:ilvl w:val="0"/>
                <w:numId w:val="7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celková suma poskytnutých pôžičiek k poslednému dňu účtovného obdobia v členení za jednotlivé orgány,</w:t>
            </w:r>
          </w:p>
          <w:p w:rsidR="00000000" w:rsidDel="00000000" w:rsidP="00000000" w:rsidRDefault="00000000" w:rsidRPr="00000000" w14:paraId="0000006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widowControl w:val="1"/>
              <w:numPr>
                <w:ilvl w:val="0"/>
                <w:numId w:val="7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celková suma splatených pôžičiek k poslednému dňu účtovného obdobia v členení za jednotlivé orgány,</w:t>
            </w:r>
          </w:p>
          <w:p w:rsidR="00000000" w:rsidDel="00000000" w:rsidP="00000000" w:rsidRDefault="00000000" w:rsidRPr="00000000" w14:paraId="0000006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widowControl w:val="1"/>
              <w:numPr>
                <w:ilvl w:val="0"/>
                <w:numId w:val="7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celková suma odpustených pôžičiek a odpísaných pôžičiek k poslednému dňu účtovného obdobia v členení za jednotlivé orgány,</w:t>
            </w:r>
          </w:p>
          <w:p w:rsidR="00000000" w:rsidDel="00000000" w:rsidP="00000000" w:rsidRDefault="00000000" w:rsidRPr="00000000" w14:paraId="0000006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hlavných podmienkach, na základe ktorých im boli záruky alebo iné zabezpečenie a pôžičky poskytnuté; pri pôžičkách sa uvádzajú úrokové sadzby,</w:t>
            </w:r>
          </w:p>
          <w:p w:rsidR="00000000" w:rsidDel="00000000" w:rsidP="00000000" w:rsidRDefault="00000000" w:rsidRPr="00000000" w14:paraId="0000006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celkovej sume použitých finančných prostriedkov alebo iného plnenia na súkromné účely členmi štatutárneho orgánu, dozorného orgánu a iného orgánu účtovnej jednotky, ktoré je potrebné vyúčtovať.</w:t>
            </w:r>
          </w:p>
          <w:p w:rsidR="00000000" w:rsidDel="00000000" w:rsidP="00000000" w:rsidRDefault="00000000" w:rsidRPr="00000000" w14:paraId="0000006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Informácie o povinnostiach účtovnej jednotky, a to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widowControl w:val="1"/>
              <w:numPr>
                <w:ilvl w:val="0"/>
                <w:numId w:val="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      </w:r>
          </w:p>
          <w:p w:rsidR="00000000" w:rsidDel="00000000" w:rsidP="00000000" w:rsidRDefault="00000000" w:rsidRPr="00000000" w14:paraId="0000006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widowControl w:val="1"/>
              <w:numPr>
                <w:ilvl w:val="0"/>
                <w:numId w:val="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celkovej sume významných podmienených záväzkov, ktorými sa rozumie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widowControl w:val="1"/>
              <w:numPr>
                <w:ilvl w:val="0"/>
                <w:numId w:val="10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možná povinnosť, ktorá vznikla ako dôsledok minulej udalosti a ktorej existencia závisí od toho, či nastane alebo nenastane jedna alebo viac neistých udalostí v budúcnosti, ktorých vznik nezávisí od účtovnej jednotky, alebo</w:t>
            </w:r>
          </w:p>
          <w:p w:rsidR="00000000" w:rsidDel="00000000" w:rsidP="00000000" w:rsidRDefault="00000000" w:rsidRPr="00000000" w14:paraId="0000006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widowControl w:val="1"/>
              <w:numPr>
                <w:ilvl w:val="0"/>
                <w:numId w:val="10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existujúca povinnosť, ktorá vznikla ako dôsledok minulej udalosti, ale ktorá sa nevykazuje v súvahe, pretože</w:t>
            </w:r>
          </w:p>
          <w:p w:rsidR="00000000" w:rsidDel="00000000" w:rsidP="00000000" w:rsidRDefault="00000000" w:rsidRPr="00000000" w14:paraId="0000007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72">
            <w:pPr>
              <w:spacing w:after="0" w:line="240" w:lineRule="auto"/>
              <w:ind w:right="284"/>
              <w:jc w:val="both"/>
              <w:rPr>
                <w:rFonts w:ascii="Trebuchet MS" w:cs="Trebuchet MS" w:eastAsia="Trebuchet MS" w:hAnsi="Trebuchet MS"/>
                <w:b w:val="1"/>
                <w:color w:val="7f7f7f"/>
                <w:sz w:val="20"/>
                <w:szCs w:val="20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color w:val="7f7f7f"/>
                <w:sz w:val="20"/>
                <w:szCs w:val="20"/>
                <w:rtl w:val="0"/>
              </w:rPr>
              <w:t xml:space="preserve">            2a. nie je pravdepodobné, že na splnenie tejto povinnosti bude potrebný úbytok ekonomických úžitkov, alebo</w:t>
            </w:r>
          </w:p>
          <w:p w:rsidR="00000000" w:rsidDel="00000000" w:rsidP="00000000" w:rsidRDefault="00000000" w:rsidRPr="00000000" w14:paraId="00000073">
            <w:pPr>
              <w:spacing w:after="0" w:line="240" w:lineRule="auto"/>
              <w:ind w:right="284"/>
              <w:jc w:val="both"/>
              <w:rPr>
                <w:rFonts w:ascii="Trebuchet MS" w:cs="Trebuchet MS" w:eastAsia="Trebuchet MS" w:hAnsi="Trebuchet MS"/>
                <w:b w:val="1"/>
                <w:color w:val="7f7f7f"/>
                <w:sz w:val="20"/>
                <w:szCs w:val="20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sz w:val="20"/>
                <w:szCs w:val="20"/>
                <w:rtl w:val="0"/>
              </w:rPr>
              <w:t xml:space="preserve">            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74">
            <w:pPr>
              <w:spacing w:after="0" w:line="240" w:lineRule="auto"/>
              <w:ind w:right="284"/>
              <w:jc w:val="both"/>
              <w:rPr>
                <w:rFonts w:ascii="Trebuchet MS" w:cs="Trebuchet MS" w:eastAsia="Trebuchet MS" w:hAnsi="Trebuchet MS"/>
                <w:b w:val="1"/>
                <w:color w:val="7f7f7f"/>
                <w:sz w:val="20"/>
                <w:szCs w:val="20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color w:val="7f7f7f"/>
                <w:sz w:val="20"/>
                <w:szCs w:val="20"/>
                <w:rtl w:val="0"/>
              </w:rPr>
              <w:t xml:space="preserve">            2b. výška tejto povinnosti sa nedá spoľahlivo oceniť,</w:t>
            </w:r>
          </w:p>
          <w:p w:rsidR="00000000" w:rsidDel="00000000" w:rsidP="00000000" w:rsidRDefault="00000000" w:rsidRPr="00000000" w14:paraId="00000075">
            <w:pPr>
              <w:spacing w:after="0" w:line="240" w:lineRule="auto"/>
              <w:ind w:right="284"/>
              <w:jc w:val="both"/>
              <w:rPr>
                <w:rFonts w:ascii="Trebuchet MS" w:cs="Trebuchet MS" w:eastAsia="Trebuchet MS" w:hAnsi="Trebuchet MS"/>
                <w:b w:val="1"/>
                <w:color w:val="7f7f7f"/>
                <w:sz w:val="20"/>
                <w:szCs w:val="20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sz w:val="20"/>
                <w:szCs w:val="20"/>
                <w:rtl w:val="0"/>
              </w:rPr>
              <w:t xml:space="preserve">            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widowControl w:val="1"/>
              <w:numPr>
                <w:ilvl w:val="0"/>
                <w:numId w:val="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opise významných finančných povinností a významných podmienených záväzkov,</w:t>
            </w:r>
          </w:p>
          <w:p w:rsidR="00000000" w:rsidDel="00000000" w:rsidP="00000000" w:rsidRDefault="00000000" w:rsidRPr="00000000" w14:paraId="0000007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widowControl w:val="1"/>
              <w:numPr>
                <w:ilvl w:val="0"/>
                <w:numId w:val="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celkovej sume významných finančných povinností a významných podmienených záväzkoch voči dcérskej účtovnej jednotke a účtovnej jednotke s podstatným vplyvom,</w:t>
            </w:r>
          </w:p>
          <w:p w:rsidR="00000000" w:rsidDel="00000000" w:rsidP="00000000" w:rsidRDefault="00000000" w:rsidRPr="00000000" w14:paraId="0000007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widowControl w:val="1"/>
              <w:numPr>
                <w:ilvl w:val="0"/>
                <w:numId w:val="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opise významných povinností účtovnej jednotky vyplývajúcich z dôchodkových programov pre zamestnancov.</w:t>
            </w:r>
          </w:p>
          <w:p w:rsidR="00000000" w:rsidDel="00000000" w:rsidP="00000000" w:rsidRDefault="00000000" w:rsidRPr="00000000" w14:paraId="0000007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widowControl w:val="1"/>
              <w:numPr>
                <w:ilvl w:val="0"/>
                <w:numId w:val="1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všetkých formách prijatej náhrady,</w:t>
            </w:r>
          </w:p>
          <w:p w:rsidR="00000000" w:rsidDel="00000000" w:rsidP="00000000" w:rsidRDefault="00000000" w:rsidRPr="00000000" w14:paraId="0000007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widowControl w:val="1"/>
              <w:numPr>
                <w:ilvl w:val="0"/>
                <w:numId w:val="1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účtovných zásadách použitých pri prideľovaní nákladov a výnosov,</w:t>
            </w:r>
          </w:p>
          <w:p w:rsidR="00000000" w:rsidDel="00000000" w:rsidP="00000000" w:rsidRDefault="00000000" w:rsidRPr="00000000" w14:paraId="0000008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widowControl w:val="1"/>
              <w:numPr>
                <w:ilvl w:val="0"/>
                <w:numId w:val="1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hanging="36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všetkých druhoch činností účtovnej jednotky.</w:t>
            </w:r>
          </w:p>
          <w:p w:rsidR="00000000" w:rsidDel="00000000" w:rsidP="00000000" w:rsidRDefault="00000000" w:rsidRPr="00000000" w14:paraId="0000008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284" w:firstLine="0"/>
              <w:jc w:val="both"/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7f7f7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rebuchet MS" w:cs="Trebuchet MS" w:eastAsia="Trebuchet MS" w:hAnsi="Trebuchet M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0.0" w:type="dxa"/>
              <w:left w:w="75.0" w:type="dxa"/>
              <w:bottom w:w="0.0" w:type="dxa"/>
              <w:right w:w="75.0" w:type="dxa"/>
            </w:tcMar>
          </w:tcPr>
          <w:p w:rsidR="00000000" w:rsidDel="00000000" w:rsidP="00000000" w:rsidRDefault="00000000" w:rsidRPr="00000000" w14:paraId="00000083">
            <w:pPr>
              <w:spacing w:after="0" w:line="240" w:lineRule="auto"/>
              <w:ind w:right="284"/>
              <w:jc w:val="both"/>
              <w:rPr>
                <w:rFonts w:ascii="Trebuchet MS" w:cs="Trebuchet MS" w:eastAsia="Trebuchet MS" w:hAnsi="Trebuchet MS"/>
                <w:b w:val="1"/>
                <w:color w:val="7f7f7f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417" w:right="1417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Times New Roman"/>
  <w:font w:name="Georgia"/>
  <w:font w:name="Arial"/>
  <w:font w:name="Trebuchet MS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(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3">
    <w:lvl w:ilvl="0">
      <w:start w:val="1"/>
      <w:numFmt w:val="decimal"/>
      <w:lvlText w:val="(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4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5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7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8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10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12">
    <w:lvl w:ilvl="0">
      <w:start w:val="1"/>
      <w:numFmt w:val="decimal"/>
      <w:lvlText w:val="(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13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14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sk-SK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sz w:val="27"/>
      <w:szCs w:val="27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www.epi.sk/zz/2002-431#f2802843" TargetMode="External"/><Relationship Id="rId7" Type="http://schemas.openxmlformats.org/officeDocument/2006/relationships/hyperlink" Target="https://www.epi.sk/zz/2013-457#f404101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