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3F39505" w14:textId="74355314" w:rsidR="008A566B" w:rsidRPr="00D33EEE" w:rsidRDefault="00F03A1F" w:rsidP="00D33EEE">
      <w:pPr>
        <w:pStyle w:val="Bezriadkovania"/>
        <w:jc w:val="center"/>
        <w:rPr>
          <w:b/>
          <w:sz w:val="24"/>
          <w:szCs w:val="24"/>
        </w:rPr>
      </w:pPr>
      <w:r w:rsidRPr="00D33EEE">
        <w:rPr>
          <w:b/>
          <w:sz w:val="24"/>
          <w:szCs w:val="24"/>
        </w:rPr>
        <w:t>Čl. I</w:t>
      </w:r>
    </w:p>
    <w:p w14:paraId="3CC111A3" w14:textId="7F6416F8" w:rsidR="00F03A1F" w:rsidRPr="00D33EEE" w:rsidRDefault="00F03A1F" w:rsidP="00D33EEE">
      <w:pPr>
        <w:pStyle w:val="Bezriadkovania"/>
        <w:jc w:val="center"/>
        <w:rPr>
          <w:b/>
          <w:sz w:val="24"/>
          <w:szCs w:val="24"/>
        </w:rPr>
      </w:pPr>
      <w:r w:rsidRPr="00D33EEE">
        <w:rPr>
          <w:b/>
          <w:sz w:val="24"/>
          <w:szCs w:val="24"/>
        </w:rPr>
        <w:t>VŠEOBECNÉ ÚDAJE</w:t>
      </w:r>
    </w:p>
    <w:p w14:paraId="3DD2369C" w14:textId="77777777" w:rsidR="003D4D4B" w:rsidRDefault="003D4D4B" w:rsidP="00F03A1F">
      <w:pPr>
        <w:jc w:val="center"/>
        <w:rPr>
          <w:b/>
          <w:sz w:val="24"/>
          <w:szCs w:val="24"/>
        </w:rPr>
      </w:pPr>
    </w:p>
    <w:p w14:paraId="4268307A" w14:textId="75BEBF4A" w:rsidR="00F03A1F" w:rsidRPr="003D4D4B" w:rsidRDefault="00F03A1F" w:rsidP="00F03A1F">
      <w:pPr>
        <w:pStyle w:val="Bezriadkovania"/>
      </w:pPr>
      <w:r w:rsidRPr="00646A66">
        <w:rPr>
          <w:b/>
        </w:rPr>
        <w:t>1,</w:t>
      </w:r>
      <w:r w:rsidRPr="00646A66">
        <w:rPr>
          <w:b/>
        </w:rPr>
        <w:tab/>
        <w:t>obchodné meno účtovnej jednotky:</w:t>
      </w:r>
      <w:r w:rsidRPr="003D4D4B">
        <w:t xml:space="preserve"> </w:t>
      </w:r>
      <w:r w:rsidRPr="003D4D4B">
        <w:tab/>
        <w:t>NESTON s.r.o.</w:t>
      </w:r>
    </w:p>
    <w:p w14:paraId="7C107F8B" w14:textId="77777777" w:rsidR="00F03A1F" w:rsidRPr="003D4D4B" w:rsidRDefault="00F03A1F" w:rsidP="00F03A1F">
      <w:pPr>
        <w:jc w:val="both"/>
        <w:rPr>
          <w:sz w:val="24"/>
          <w:szCs w:val="24"/>
        </w:rPr>
      </w:pPr>
      <w:r w:rsidRPr="003D4D4B">
        <w:rPr>
          <w:sz w:val="24"/>
          <w:szCs w:val="24"/>
        </w:rPr>
        <w:tab/>
      </w:r>
      <w:r w:rsidRPr="00646A66">
        <w:rPr>
          <w:b/>
          <w:sz w:val="24"/>
          <w:szCs w:val="24"/>
        </w:rPr>
        <w:t>sídlo:</w:t>
      </w:r>
      <w:r w:rsidRPr="00646A66">
        <w:rPr>
          <w:b/>
          <w:sz w:val="24"/>
          <w:szCs w:val="24"/>
        </w:rPr>
        <w:tab/>
      </w:r>
      <w:r w:rsidRPr="003D4D4B">
        <w:rPr>
          <w:sz w:val="24"/>
          <w:szCs w:val="24"/>
        </w:rPr>
        <w:tab/>
      </w:r>
      <w:r w:rsidRPr="003D4D4B">
        <w:rPr>
          <w:sz w:val="24"/>
          <w:szCs w:val="24"/>
        </w:rPr>
        <w:tab/>
      </w:r>
      <w:r w:rsidRPr="003D4D4B">
        <w:rPr>
          <w:sz w:val="24"/>
          <w:szCs w:val="24"/>
        </w:rPr>
        <w:tab/>
      </w:r>
      <w:r w:rsidRPr="003D4D4B">
        <w:rPr>
          <w:sz w:val="24"/>
          <w:szCs w:val="24"/>
        </w:rPr>
        <w:tab/>
        <w:t>Piešťanská 2239/9, 04011, Košice</w:t>
      </w:r>
    </w:p>
    <w:p w14:paraId="782E247F" w14:textId="1A1DACFD" w:rsidR="00F03A1F" w:rsidRPr="003D4D4B" w:rsidRDefault="00F03A1F" w:rsidP="00F03A1F">
      <w:pPr>
        <w:pStyle w:val="Bezriadkovania"/>
      </w:pPr>
      <w:r w:rsidRPr="00646A66">
        <w:rPr>
          <w:b/>
        </w:rPr>
        <w:t xml:space="preserve">2, </w:t>
      </w:r>
      <w:r w:rsidRPr="00646A66">
        <w:rPr>
          <w:b/>
        </w:rPr>
        <w:tab/>
        <w:t>údaje o konsolidovanom celku:</w:t>
      </w:r>
      <w:r w:rsidR="003D4D4B" w:rsidRPr="00646A66">
        <w:tab/>
      </w:r>
      <w:r w:rsidRPr="003D4D4B">
        <w:t>spoločnosť sa nezahŕňa do žiadnej do žiadnej</w:t>
      </w:r>
    </w:p>
    <w:p w14:paraId="1148C766" w14:textId="77777777" w:rsidR="00794C8D" w:rsidRPr="003D4D4B" w:rsidRDefault="00F03A1F" w:rsidP="00F03A1F">
      <w:pPr>
        <w:pStyle w:val="Bezriadkovania"/>
      </w:pPr>
      <w:r w:rsidRPr="003D4D4B">
        <w:tab/>
      </w:r>
      <w:r w:rsidRPr="003D4D4B">
        <w:tab/>
      </w:r>
      <w:r w:rsidRPr="003D4D4B">
        <w:tab/>
      </w:r>
      <w:r w:rsidRPr="003D4D4B">
        <w:tab/>
      </w:r>
      <w:r w:rsidRPr="003D4D4B">
        <w:tab/>
      </w:r>
      <w:r w:rsidRPr="003D4D4B">
        <w:tab/>
        <w:t xml:space="preserve">konsolidovanej účtovnej závierky  </w:t>
      </w:r>
    </w:p>
    <w:p w14:paraId="61DFBCC8" w14:textId="77777777" w:rsidR="00794C8D" w:rsidRPr="003D4D4B" w:rsidRDefault="00794C8D" w:rsidP="00F03A1F">
      <w:pPr>
        <w:pStyle w:val="Bezriadkovania"/>
      </w:pPr>
    </w:p>
    <w:p w14:paraId="66501F87" w14:textId="77777777" w:rsidR="00794C8D" w:rsidRPr="003D4D4B" w:rsidRDefault="00794C8D" w:rsidP="00F03A1F">
      <w:pPr>
        <w:pStyle w:val="Bezriadkovania"/>
      </w:pPr>
      <w:r w:rsidRPr="00646A66">
        <w:rPr>
          <w:b/>
        </w:rPr>
        <w:t xml:space="preserve">3, </w:t>
      </w:r>
      <w:r w:rsidRPr="00646A66">
        <w:rPr>
          <w:b/>
        </w:rPr>
        <w:tab/>
        <w:t>priemerný počet zamestnancov:</w:t>
      </w:r>
      <w:r w:rsidR="00F03A1F" w:rsidRPr="003D4D4B">
        <w:tab/>
      </w:r>
      <w:r w:rsidRPr="003D4D4B">
        <w:t>0, spoločnosť je bez zamestnancov</w:t>
      </w:r>
    </w:p>
    <w:p w14:paraId="7DCAD5B1" w14:textId="77777777" w:rsidR="00794C8D" w:rsidRDefault="00794C8D" w:rsidP="00F03A1F">
      <w:pPr>
        <w:pStyle w:val="Bezriadkovania"/>
      </w:pPr>
    </w:p>
    <w:p w14:paraId="01411C6C" w14:textId="77777777" w:rsidR="00D33EEE" w:rsidRPr="00D33EEE" w:rsidRDefault="00F03A1F" w:rsidP="00F03A1F">
      <w:pPr>
        <w:pStyle w:val="Bezriadkovania"/>
        <w:rPr>
          <w:sz w:val="24"/>
          <w:szCs w:val="24"/>
        </w:rPr>
      </w:pPr>
      <w:r>
        <w:tab/>
      </w:r>
    </w:p>
    <w:p w14:paraId="39EC0E90" w14:textId="4245AF75" w:rsidR="00D33EEE" w:rsidRPr="00D33EEE" w:rsidRDefault="00D33EEE" w:rsidP="00D33EEE">
      <w:pPr>
        <w:pStyle w:val="Bezriadkovania"/>
        <w:jc w:val="center"/>
        <w:rPr>
          <w:b/>
          <w:sz w:val="24"/>
          <w:szCs w:val="24"/>
        </w:rPr>
      </w:pPr>
      <w:r w:rsidRPr="00D33EEE">
        <w:rPr>
          <w:b/>
          <w:sz w:val="24"/>
          <w:szCs w:val="24"/>
        </w:rPr>
        <w:t>Čl. II</w:t>
      </w:r>
    </w:p>
    <w:p w14:paraId="2FF76E0D" w14:textId="76AAF84D" w:rsidR="00D33EEE" w:rsidRPr="00D33EEE" w:rsidRDefault="00D33EEE" w:rsidP="00D33EEE">
      <w:pPr>
        <w:pStyle w:val="Bezriadkovania"/>
        <w:jc w:val="center"/>
        <w:rPr>
          <w:b/>
          <w:sz w:val="24"/>
          <w:szCs w:val="24"/>
        </w:rPr>
      </w:pPr>
      <w:r w:rsidRPr="00D33EEE">
        <w:rPr>
          <w:b/>
          <w:sz w:val="24"/>
          <w:szCs w:val="24"/>
        </w:rPr>
        <w:t>INFORMÁCIE O PRIJATÝCH POSTUPOCH</w:t>
      </w:r>
    </w:p>
    <w:p w14:paraId="35470625" w14:textId="59A0CE09" w:rsidR="00F03A1F" w:rsidRDefault="00F03A1F" w:rsidP="00F03A1F">
      <w:pPr>
        <w:pStyle w:val="Bezriadkovania"/>
      </w:pPr>
      <w:r>
        <w:tab/>
      </w:r>
      <w:r>
        <w:tab/>
      </w:r>
    </w:p>
    <w:p w14:paraId="090D1D7E" w14:textId="20810019" w:rsidR="00D348C4" w:rsidRPr="00646A66" w:rsidRDefault="00D348C4" w:rsidP="00F03A1F">
      <w:pPr>
        <w:pStyle w:val="Bezriadkovania"/>
        <w:rPr>
          <w:b/>
        </w:rPr>
      </w:pPr>
      <w:r w:rsidRPr="00646A66">
        <w:rPr>
          <w:b/>
        </w:rPr>
        <w:t>1,</w:t>
      </w:r>
      <w:r w:rsidRPr="00646A66">
        <w:rPr>
          <w:b/>
        </w:rPr>
        <w:tab/>
        <w:t>nepretržité pokračovanie účtovnej jednotky:</w:t>
      </w:r>
      <w:r w:rsidRPr="00646A66">
        <w:rPr>
          <w:b/>
        </w:rPr>
        <w:tab/>
        <w:t>ÁNO</w:t>
      </w:r>
    </w:p>
    <w:p w14:paraId="1E36FC5F" w14:textId="77777777" w:rsidR="00D348C4" w:rsidRPr="00646A66" w:rsidRDefault="00D348C4" w:rsidP="00F03A1F">
      <w:pPr>
        <w:pStyle w:val="Bezriadkovania"/>
        <w:rPr>
          <w:b/>
        </w:rPr>
      </w:pPr>
    </w:p>
    <w:p w14:paraId="2CCE8299" w14:textId="78097769" w:rsidR="00D348C4" w:rsidRPr="00646A66" w:rsidRDefault="00D348C4" w:rsidP="00F03A1F">
      <w:pPr>
        <w:pStyle w:val="Bezriadkovania"/>
        <w:rPr>
          <w:b/>
        </w:rPr>
      </w:pPr>
      <w:r w:rsidRPr="00646A66">
        <w:rPr>
          <w:b/>
        </w:rPr>
        <w:t>2,</w:t>
      </w:r>
      <w:r w:rsidRPr="00646A66">
        <w:rPr>
          <w:b/>
        </w:rPr>
        <w:tab/>
        <w:t>spôsob oceňovania jednotlivých položiek majetku a záväzkov:</w:t>
      </w:r>
    </w:p>
    <w:p w14:paraId="3C6F8DDD" w14:textId="77777777" w:rsidR="001A2B21" w:rsidRDefault="001A2B21" w:rsidP="00F03A1F">
      <w:pPr>
        <w:pStyle w:val="Bezriadkovania"/>
      </w:pPr>
    </w:p>
    <w:p w14:paraId="3C3B4308" w14:textId="6CCCA9C2" w:rsidR="001A2B21" w:rsidRDefault="00D348C4" w:rsidP="001A2B21">
      <w:pPr>
        <w:pStyle w:val="Bezriadkovania"/>
      </w:pPr>
      <w:r>
        <w:t>-dlhodobý hmotný majetok</w:t>
      </w:r>
      <w:r w:rsidR="001A2B21">
        <w:t xml:space="preserve"> - kúpa</w:t>
      </w:r>
      <w:r>
        <w:t>:</w:t>
      </w:r>
      <w:r>
        <w:tab/>
      </w:r>
      <w:r w:rsidR="001A2B21">
        <w:tab/>
      </w:r>
      <w:r w:rsidR="006267C8">
        <w:tab/>
      </w:r>
      <w:r>
        <w:t xml:space="preserve">obstarávacia cena  </w:t>
      </w:r>
      <w:r>
        <w:tab/>
      </w:r>
      <w:r w:rsidR="006267C8">
        <w:t>*X</w:t>
      </w:r>
    </w:p>
    <w:p w14:paraId="10E8A317" w14:textId="02997763" w:rsidR="001A2B21" w:rsidRDefault="001A2B21" w:rsidP="001A2B21">
      <w:pPr>
        <w:pStyle w:val="Bezriadkovania"/>
      </w:pPr>
      <w:r>
        <w:t xml:space="preserve">-dlhodobý hmotný majetok – </w:t>
      </w:r>
      <w:proofErr w:type="spellStart"/>
      <w:r>
        <w:t>vl</w:t>
      </w:r>
      <w:proofErr w:type="spellEnd"/>
      <w:r>
        <w:t>. činnosť:</w:t>
      </w:r>
      <w:r>
        <w:tab/>
      </w:r>
      <w:r w:rsidR="006267C8">
        <w:tab/>
        <w:t>vlastné náklady</w:t>
      </w:r>
      <w:r>
        <w:t xml:space="preserve">  </w:t>
      </w:r>
      <w:r>
        <w:tab/>
      </w:r>
      <w:r w:rsidR="006267C8">
        <w:t>*X</w:t>
      </w:r>
    </w:p>
    <w:p w14:paraId="5EB7B6B8" w14:textId="5485B767" w:rsidR="006267C8" w:rsidRDefault="006267C8" w:rsidP="006267C8">
      <w:pPr>
        <w:pStyle w:val="Bezriadkovania"/>
      </w:pPr>
      <w:r>
        <w:t>-dlhodobý hmotný majetok – inak obstaraný:</w:t>
      </w:r>
      <w:r>
        <w:tab/>
      </w:r>
      <w:r>
        <w:tab/>
        <w:t xml:space="preserve">reprodukčná cena  </w:t>
      </w:r>
      <w:r>
        <w:tab/>
        <w:t>*X</w:t>
      </w:r>
    </w:p>
    <w:p w14:paraId="3B74C190" w14:textId="28D9CB3B" w:rsidR="006267C8" w:rsidRDefault="006267C8" w:rsidP="006267C8">
      <w:pPr>
        <w:pStyle w:val="Bezriadkovania"/>
      </w:pPr>
      <w:r>
        <w:t>-dlhodobý nehmotný majetok - kúpa:</w:t>
      </w:r>
      <w:r>
        <w:tab/>
      </w:r>
      <w:r>
        <w:tab/>
      </w:r>
      <w:r>
        <w:tab/>
        <w:t xml:space="preserve">obstarávacia cena  </w:t>
      </w:r>
      <w:r>
        <w:tab/>
        <w:t>*X</w:t>
      </w:r>
    </w:p>
    <w:p w14:paraId="09327966" w14:textId="465654A0" w:rsidR="006267C8" w:rsidRDefault="006267C8" w:rsidP="006267C8">
      <w:pPr>
        <w:pStyle w:val="Bezriadkovania"/>
      </w:pPr>
      <w:r>
        <w:t xml:space="preserve">-dlhodobý nehmotný majetok – </w:t>
      </w:r>
      <w:proofErr w:type="spellStart"/>
      <w:r>
        <w:t>vl</w:t>
      </w:r>
      <w:proofErr w:type="spellEnd"/>
      <w:r>
        <w:t>. činnosť:</w:t>
      </w:r>
      <w:r>
        <w:tab/>
      </w:r>
      <w:r>
        <w:tab/>
        <w:t xml:space="preserve">vlastné náklady  </w:t>
      </w:r>
      <w:r>
        <w:tab/>
        <w:t>*X</w:t>
      </w:r>
    </w:p>
    <w:p w14:paraId="7067E77D" w14:textId="0F51C02F" w:rsidR="006267C8" w:rsidRDefault="006267C8" w:rsidP="006267C8">
      <w:pPr>
        <w:pStyle w:val="Bezriadkovania"/>
      </w:pPr>
      <w:r>
        <w:t>-dlhodobý nehmotný majetok – inak obstaraný:</w:t>
      </w:r>
      <w:r>
        <w:tab/>
        <w:t xml:space="preserve">reprodukčná cena  </w:t>
      </w:r>
      <w:r>
        <w:tab/>
        <w:t>*X</w:t>
      </w:r>
    </w:p>
    <w:p w14:paraId="4E468225" w14:textId="5D57EEB1" w:rsidR="006267C8" w:rsidRDefault="006267C8" w:rsidP="006267C8">
      <w:pPr>
        <w:pStyle w:val="Bezriadkovania"/>
      </w:pPr>
      <w:r>
        <w:t>-dlhodobý finančný majetok:</w:t>
      </w:r>
      <w:r>
        <w:tab/>
      </w:r>
      <w:r>
        <w:tab/>
      </w:r>
      <w:r>
        <w:tab/>
      </w:r>
      <w:r>
        <w:tab/>
        <w:t>obstarávacia cena</w:t>
      </w:r>
      <w:r>
        <w:tab/>
        <w:t>*X</w:t>
      </w:r>
    </w:p>
    <w:p w14:paraId="1F27EFB6" w14:textId="77777777" w:rsidR="006B6601" w:rsidRDefault="006B6601" w:rsidP="00F03A1F">
      <w:pPr>
        <w:pStyle w:val="Bezriadkovania"/>
      </w:pPr>
    </w:p>
    <w:p w14:paraId="6E645FA2" w14:textId="7A97731C" w:rsidR="00CB1517" w:rsidRDefault="00CB1517" w:rsidP="00F03A1F">
      <w:pPr>
        <w:pStyle w:val="Bezriadkovania"/>
      </w:pPr>
      <w:r>
        <w:t>-krátkodobý finančný majetok:</w:t>
      </w:r>
      <w:r>
        <w:tab/>
      </w:r>
      <w:r>
        <w:tab/>
      </w:r>
      <w:r w:rsidR="00C46EDA">
        <w:tab/>
      </w:r>
      <w:r w:rsidR="00C46EDA">
        <w:tab/>
      </w:r>
      <w:r w:rsidR="003C0676">
        <w:t>menovitá hodnota</w:t>
      </w:r>
      <w:r w:rsidR="00C46EDA">
        <w:tab/>
      </w:r>
    </w:p>
    <w:p w14:paraId="2C7D9D19" w14:textId="77777777" w:rsidR="006B6601" w:rsidRDefault="006B6601" w:rsidP="00C46EDA">
      <w:pPr>
        <w:pStyle w:val="Bezriadkovania"/>
      </w:pPr>
    </w:p>
    <w:p w14:paraId="35ED5723" w14:textId="5A23DA61" w:rsidR="00C46EDA" w:rsidRDefault="00C46EDA" w:rsidP="00C46EDA">
      <w:pPr>
        <w:pStyle w:val="Bezriadkovania"/>
      </w:pPr>
      <w:r>
        <w:t>-zásoby - kúpa: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obstarávacia cena  </w:t>
      </w:r>
      <w:r>
        <w:tab/>
      </w:r>
    </w:p>
    <w:p w14:paraId="6D34A3BE" w14:textId="524BFE23" w:rsidR="00C46EDA" w:rsidRDefault="00C46EDA" w:rsidP="00C46EDA">
      <w:pPr>
        <w:pStyle w:val="Bezriadkovania"/>
      </w:pPr>
      <w:r>
        <w:t xml:space="preserve">-zásoby – </w:t>
      </w:r>
      <w:proofErr w:type="spellStart"/>
      <w:r>
        <w:t>vl</w:t>
      </w:r>
      <w:proofErr w:type="spellEnd"/>
      <w:r>
        <w:t>. činnosť:</w:t>
      </w:r>
      <w:r>
        <w:tab/>
      </w:r>
      <w:r>
        <w:tab/>
      </w:r>
      <w:r>
        <w:tab/>
      </w:r>
      <w:r>
        <w:tab/>
      </w:r>
      <w:r>
        <w:tab/>
        <w:t xml:space="preserve">vlastné náklady  </w:t>
      </w:r>
      <w:r>
        <w:tab/>
        <w:t>*X</w:t>
      </w:r>
    </w:p>
    <w:p w14:paraId="177A9B8C" w14:textId="74C29CB4" w:rsidR="00C46EDA" w:rsidRDefault="00C46EDA" w:rsidP="00C46EDA">
      <w:pPr>
        <w:pStyle w:val="Bezriadkovania"/>
      </w:pPr>
      <w:r>
        <w:t>-zásoby – inak obstarané:</w:t>
      </w:r>
      <w:r>
        <w:tab/>
      </w:r>
      <w:r>
        <w:tab/>
      </w:r>
      <w:r>
        <w:tab/>
      </w:r>
      <w:r>
        <w:tab/>
        <w:t xml:space="preserve">reprodukčná cena  </w:t>
      </w:r>
      <w:r>
        <w:tab/>
        <w:t>*X</w:t>
      </w:r>
    </w:p>
    <w:p w14:paraId="46661CAF" w14:textId="77777777" w:rsidR="00256C0B" w:rsidRDefault="00256C0B" w:rsidP="00F03A1F">
      <w:pPr>
        <w:pStyle w:val="Bezriadkovania"/>
        <w:rPr>
          <w:i/>
          <w:color w:val="A6A6A6" w:themeColor="background1" w:themeShade="A6"/>
          <w:u w:val="single"/>
        </w:rPr>
      </w:pPr>
    </w:p>
    <w:p w14:paraId="236EE660" w14:textId="4BA6505F" w:rsidR="0006584B" w:rsidRPr="006B6601" w:rsidRDefault="006B6601" w:rsidP="00F03A1F">
      <w:pPr>
        <w:pStyle w:val="Bezriadkovania"/>
        <w:rPr>
          <w:i/>
          <w:color w:val="A6A6A6" w:themeColor="background1" w:themeShade="A6"/>
          <w:u w:val="single"/>
        </w:rPr>
      </w:pPr>
      <w:r w:rsidRPr="006B6601">
        <w:rPr>
          <w:i/>
          <w:color w:val="A6A6A6" w:themeColor="background1" w:themeShade="A6"/>
          <w:u w:val="single"/>
        </w:rPr>
        <w:t>os</w:t>
      </w:r>
      <w:r w:rsidR="0006584B" w:rsidRPr="006B6601">
        <w:rPr>
          <w:i/>
          <w:color w:val="A6A6A6" w:themeColor="background1" w:themeShade="A6"/>
          <w:u w:val="single"/>
        </w:rPr>
        <w:t>tatné k zásobám:</w:t>
      </w:r>
    </w:p>
    <w:p w14:paraId="78D571B8" w14:textId="3F354B53" w:rsidR="0006584B" w:rsidRPr="006B6601" w:rsidRDefault="0006584B" w:rsidP="006B6601">
      <w:pPr>
        <w:pStyle w:val="Bezriadkovania"/>
        <w:jc w:val="both"/>
        <w:rPr>
          <w:i/>
          <w:color w:val="A6A6A6" w:themeColor="background1" w:themeShade="A6"/>
        </w:rPr>
      </w:pPr>
      <w:r w:rsidRPr="006B6601">
        <w:rPr>
          <w:rFonts w:ascii="Tahoma" w:hAnsi="Tahoma" w:cs="Tahoma"/>
          <w:i/>
          <w:color w:val="A6A6A6" w:themeColor="background1" w:themeShade="A6"/>
          <w:sz w:val="21"/>
          <w:szCs w:val="21"/>
        </w:rPr>
        <w:t>Účtovná jednotka prevažne ú</w:t>
      </w:r>
      <w:r w:rsidR="006B6601" w:rsidRPr="006B6601">
        <w:rPr>
          <w:rFonts w:ascii="Tahoma" w:hAnsi="Tahoma" w:cs="Tahoma"/>
          <w:i/>
          <w:color w:val="A6A6A6" w:themeColor="background1" w:themeShade="A6"/>
          <w:sz w:val="21"/>
          <w:szCs w:val="21"/>
        </w:rPr>
        <w:t>č</w:t>
      </w:r>
      <w:r w:rsidRPr="006B6601">
        <w:rPr>
          <w:rFonts w:ascii="Tahoma" w:hAnsi="Tahoma" w:cs="Tahoma"/>
          <w:i/>
          <w:color w:val="A6A6A6" w:themeColor="background1" w:themeShade="A6"/>
          <w:sz w:val="21"/>
          <w:szCs w:val="21"/>
        </w:rPr>
        <w:t>tuje zásoby Na účte 133 - Nehnuteľnosť na predaj, ktor</w:t>
      </w:r>
      <w:r w:rsidR="006B6601" w:rsidRPr="006B6601">
        <w:rPr>
          <w:rFonts w:ascii="Tahoma" w:hAnsi="Tahoma" w:cs="Tahoma"/>
          <w:i/>
          <w:color w:val="A6A6A6" w:themeColor="background1" w:themeShade="A6"/>
          <w:sz w:val="21"/>
          <w:szCs w:val="21"/>
        </w:rPr>
        <w:t>é</w:t>
      </w:r>
      <w:r w:rsidRPr="006B6601">
        <w:rPr>
          <w:rFonts w:ascii="Tahoma" w:hAnsi="Tahoma" w:cs="Tahoma"/>
          <w:i/>
          <w:color w:val="A6A6A6" w:themeColor="background1" w:themeShade="A6"/>
          <w:sz w:val="21"/>
          <w:szCs w:val="21"/>
        </w:rPr>
        <w:t xml:space="preserve"> sa obstaráva</w:t>
      </w:r>
      <w:r w:rsidR="006B6601" w:rsidRPr="006B6601">
        <w:rPr>
          <w:rFonts w:ascii="Tahoma" w:hAnsi="Tahoma" w:cs="Tahoma"/>
          <w:i/>
          <w:color w:val="A6A6A6" w:themeColor="background1" w:themeShade="A6"/>
          <w:sz w:val="21"/>
          <w:szCs w:val="21"/>
        </w:rPr>
        <w:t>jú</w:t>
      </w:r>
      <w:r w:rsidRPr="006B6601">
        <w:rPr>
          <w:rFonts w:ascii="Tahoma" w:hAnsi="Tahoma" w:cs="Tahoma"/>
          <w:i/>
          <w:color w:val="A6A6A6" w:themeColor="background1" w:themeShade="A6"/>
          <w:sz w:val="21"/>
          <w:szCs w:val="21"/>
        </w:rPr>
        <w:t xml:space="preserve"> za účelom</w:t>
      </w:r>
      <w:r w:rsidR="006B6601" w:rsidRPr="006B6601">
        <w:rPr>
          <w:rFonts w:ascii="Tahoma" w:hAnsi="Tahoma" w:cs="Tahoma"/>
          <w:i/>
          <w:color w:val="A6A6A6" w:themeColor="background1" w:themeShade="A6"/>
          <w:sz w:val="21"/>
          <w:szCs w:val="21"/>
        </w:rPr>
        <w:t xml:space="preserve"> </w:t>
      </w:r>
      <w:r w:rsidRPr="006B6601">
        <w:rPr>
          <w:rFonts w:ascii="Tahoma" w:hAnsi="Tahoma" w:cs="Tahoma"/>
          <w:i/>
          <w:color w:val="A6A6A6" w:themeColor="background1" w:themeShade="A6"/>
          <w:sz w:val="21"/>
          <w:szCs w:val="21"/>
        </w:rPr>
        <w:t>ďalšieho predaja</w:t>
      </w:r>
      <w:r w:rsidR="006B6601" w:rsidRPr="006B6601">
        <w:rPr>
          <w:rFonts w:ascii="Tahoma" w:hAnsi="Tahoma" w:cs="Tahoma"/>
          <w:i/>
          <w:color w:val="A6A6A6" w:themeColor="background1" w:themeShade="A6"/>
          <w:sz w:val="21"/>
          <w:szCs w:val="21"/>
        </w:rPr>
        <w:t xml:space="preserve">, nakoľko </w:t>
      </w:r>
      <w:r w:rsidR="006B6601" w:rsidRPr="00256C0B">
        <w:rPr>
          <w:rFonts w:ascii="Tahoma" w:hAnsi="Tahoma" w:cs="Tahoma"/>
          <w:b/>
          <w:bCs/>
          <w:i/>
          <w:color w:val="A6A6A6" w:themeColor="background1" w:themeShade="A6"/>
          <w:sz w:val="21"/>
          <w:szCs w:val="21"/>
          <w:u w:val="single"/>
        </w:rPr>
        <w:t xml:space="preserve">Hlavnou činnosťou spoločnosti je nákup </w:t>
      </w:r>
      <w:proofErr w:type="spellStart"/>
      <w:r w:rsidR="006B6601" w:rsidRPr="00256C0B">
        <w:rPr>
          <w:rFonts w:ascii="Tahoma" w:hAnsi="Tahoma" w:cs="Tahoma"/>
          <w:b/>
          <w:bCs/>
          <w:i/>
          <w:color w:val="A6A6A6" w:themeColor="background1" w:themeShade="A6"/>
          <w:sz w:val="21"/>
          <w:szCs w:val="21"/>
          <w:u w:val="single"/>
        </w:rPr>
        <w:t>holobytov</w:t>
      </w:r>
      <w:proofErr w:type="spellEnd"/>
      <w:r w:rsidR="006B6601" w:rsidRPr="00256C0B">
        <w:rPr>
          <w:rFonts w:ascii="Tahoma" w:hAnsi="Tahoma" w:cs="Tahoma"/>
          <w:b/>
          <w:bCs/>
          <w:i/>
          <w:color w:val="A6A6A6" w:themeColor="background1" w:themeShade="A6"/>
          <w:sz w:val="21"/>
          <w:szCs w:val="21"/>
          <w:u w:val="single"/>
        </w:rPr>
        <w:t xml:space="preserve"> v novostavbách ich dokončenie vrátane kompletného vybavenie nábytkom a následný predaj.</w:t>
      </w:r>
      <w:r w:rsidR="006B6601" w:rsidRPr="006B6601">
        <w:rPr>
          <w:rFonts w:ascii="Tahoma" w:hAnsi="Tahoma" w:cs="Tahoma"/>
          <w:i/>
          <w:color w:val="A6A6A6" w:themeColor="background1" w:themeShade="A6"/>
          <w:sz w:val="21"/>
          <w:szCs w:val="21"/>
        </w:rPr>
        <w:t xml:space="preserve"> Z uvedeného titulu dochádza k značným pohybom na účte 133 (resp. 507, 607) </w:t>
      </w:r>
    </w:p>
    <w:p w14:paraId="48ADB8FC" w14:textId="77777777" w:rsidR="0006584B" w:rsidRDefault="0006584B" w:rsidP="00F03A1F">
      <w:pPr>
        <w:pStyle w:val="Bezriadkovania"/>
      </w:pPr>
    </w:p>
    <w:p w14:paraId="16D6C1FD" w14:textId="77777777" w:rsidR="0006584B" w:rsidRDefault="0006584B" w:rsidP="00F03A1F">
      <w:pPr>
        <w:pStyle w:val="Bezriadkovania"/>
      </w:pPr>
    </w:p>
    <w:p w14:paraId="0B555DB2" w14:textId="4B9E66B3" w:rsidR="00CB1517" w:rsidRDefault="00CB1517" w:rsidP="00F03A1F">
      <w:pPr>
        <w:pStyle w:val="Bezriadkovania"/>
      </w:pPr>
      <w:r>
        <w:t>-pohľadávky:</w:t>
      </w:r>
      <w:r w:rsidR="00C46EDA">
        <w:tab/>
      </w:r>
      <w:r w:rsidR="00C46EDA">
        <w:tab/>
      </w:r>
      <w:r w:rsidR="00C46EDA">
        <w:tab/>
      </w:r>
      <w:r>
        <w:tab/>
      </w:r>
      <w:r>
        <w:tab/>
      </w:r>
      <w:r>
        <w:tab/>
        <w:t>menovitá hodnota</w:t>
      </w:r>
    </w:p>
    <w:p w14:paraId="25896BB3" w14:textId="6A008419" w:rsidR="00C46EDA" w:rsidRDefault="00C46EDA" w:rsidP="00F03A1F">
      <w:pPr>
        <w:pStyle w:val="Bezriadkovania"/>
      </w:pPr>
      <w:r>
        <w:t>-záväzky vrátane pôžičiek, úverov, rezerv, dlhopisov:</w:t>
      </w:r>
      <w:r>
        <w:tab/>
        <w:t>menovitá hodnota</w:t>
      </w:r>
    </w:p>
    <w:p w14:paraId="7749BC3A" w14:textId="1A9D462B" w:rsidR="006B6601" w:rsidRPr="006B6601" w:rsidRDefault="006B6601" w:rsidP="006B6601">
      <w:pPr>
        <w:pStyle w:val="Bezriadkovania"/>
        <w:rPr>
          <w:rFonts w:ascii="Tahoma" w:hAnsi="Tahoma" w:cs="Tahoma"/>
          <w:i/>
          <w:color w:val="A6A6A6" w:themeColor="background1" w:themeShade="A6"/>
          <w:sz w:val="21"/>
          <w:szCs w:val="21"/>
          <w:u w:val="single"/>
        </w:rPr>
      </w:pPr>
      <w:r w:rsidRPr="006B6601">
        <w:rPr>
          <w:rFonts w:ascii="Tahoma" w:hAnsi="Tahoma" w:cs="Tahoma"/>
          <w:i/>
          <w:color w:val="A6A6A6" w:themeColor="background1" w:themeShade="A6"/>
          <w:sz w:val="21"/>
          <w:szCs w:val="21"/>
          <w:u w:val="single"/>
        </w:rPr>
        <w:t>ostatné k pôžičkám:</w:t>
      </w:r>
    </w:p>
    <w:p w14:paraId="30D89FE1" w14:textId="3E09C5CC" w:rsidR="006B6601" w:rsidRPr="006B6601" w:rsidRDefault="006B6601" w:rsidP="006B6601">
      <w:pPr>
        <w:pStyle w:val="Bezriadkovania"/>
        <w:rPr>
          <w:rFonts w:ascii="Tahoma" w:hAnsi="Tahoma" w:cs="Tahoma"/>
          <w:i/>
          <w:color w:val="A6A6A6" w:themeColor="background1" w:themeShade="A6"/>
          <w:sz w:val="21"/>
          <w:szCs w:val="21"/>
        </w:rPr>
      </w:pPr>
      <w:r w:rsidRPr="006B6601">
        <w:rPr>
          <w:rFonts w:ascii="Tahoma" w:hAnsi="Tahoma" w:cs="Tahoma"/>
          <w:i/>
          <w:color w:val="A6A6A6" w:themeColor="background1" w:themeShade="A6"/>
          <w:sz w:val="21"/>
          <w:szCs w:val="21"/>
        </w:rPr>
        <w:t xml:space="preserve">-pôžičky dojednané s úrok 4% </w:t>
      </w:r>
      <w:proofErr w:type="spellStart"/>
      <w:r w:rsidRPr="006B6601">
        <w:rPr>
          <w:rFonts w:ascii="Tahoma" w:hAnsi="Tahoma" w:cs="Tahoma"/>
          <w:i/>
          <w:color w:val="A6A6A6" w:themeColor="background1" w:themeShade="A6"/>
          <w:sz w:val="21"/>
          <w:szCs w:val="21"/>
        </w:rPr>
        <w:t>p.a</w:t>
      </w:r>
      <w:proofErr w:type="spellEnd"/>
      <w:r w:rsidRPr="006B6601">
        <w:rPr>
          <w:rFonts w:ascii="Tahoma" w:hAnsi="Tahoma" w:cs="Tahoma"/>
          <w:i/>
          <w:color w:val="A6A6A6" w:themeColor="background1" w:themeShade="A6"/>
          <w:sz w:val="21"/>
          <w:szCs w:val="21"/>
        </w:rPr>
        <w:t>.</w:t>
      </w:r>
      <w:r w:rsidR="00F65408">
        <w:rPr>
          <w:rFonts w:ascii="Tahoma" w:hAnsi="Tahoma" w:cs="Tahoma"/>
          <w:i/>
          <w:color w:val="A6A6A6" w:themeColor="background1" w:themeShade="A6"/>
          <w:sz w:val="21"/>
          <w:szCs w:val="21"/>
        </w:rPr>
        <w:t xml:space="preserve"> resp. 2% </w:t>
      </w:r>
      <w:proofErr w:type="spellStart"/>
      <w:r w:rsidR="00F65408">
        <w:rPr>
          <w:rFonts w:ascii="Tahoma" w:hAnsi="Tahoma" w:cs="Tahoma"/>
          <w:i/>
          <w:color w:val="A6A6A6" w:themeColor="background1" w:themeShade="A6"/>
          <w:sz w:val="21"/>
          <w:szCs w:val="21"/>
        </w:rPr>
        <w:t>p.a</w:t>
      </w:r>
      <w:proofErr w:type="spellEnd"/>
      <w:r w:rsidR="00F65408">
        <w:rPr>
          <w:rFonts w:ascii="Tahoma" w:hAnsi="Tahoma" w:cs="Tahoma"/>
          <w:i/>
          <w:color w:val="A6A6A6" w:themeColor="background1" w:themeShade="A6"/>
          <w:sz w:val="21"/>
          <w:szCs w:val="21"/>
        </w:rPr>
        <w:t>.</w:t>
      </w:r>
    </w:p>
    <w:p w14:paraId="4B901482" w14:textId="77777777" w:rsidR="006B6601" w:rsidRDefault="006B6601" w:rsidP="00F03A1F">
      <w:pPr>
        <w:pStyle w:val="Bezriadkovania"/>
      </w:pPr>
    </w:p>
    <w:p w14:paraId="65D358FB" w14:textId="562A105A" w:rsidR="00D348C4" w:rsidRDefault="00C46EDA" w:rsidP="00F03A1F">
      <w:pPr>
        <w:pStyle w:val="Bezriadkovania"/>
      </w:pPr>
      <w:r>
        <w:t xml:space="preserve">-derivátové operácie: </w:t>
      </w:r>
      <w:r>
        <w:tab/>
      </w:r>
      <w:r>
        <w:tab/>
      </w:r>
      <w:r>
        <w:tab/>
      </w:r>
      <w:r>
        <w:tab/>
      </w:r>
      <w:r>
        <w:tab/>
        <w:t>menovitá hodnota</w:t>
      </w:r>
      <w:r>
        <w:tab/>
        <w:t>*X</w:t>
      </w:r>
    </w:p>
    <w:p w14:paraId="26C220C4" w14:textId="006FD167" w:rsidR="00C46EDA" w:rsidRDefault="00C46EDA" w:rsidP="00F03A1F">
      <w:pPr>
        <w:pStyle w:val="Bezriadkovania"/>
      </w:pPr>
    </w:p>
    <w:p w14:paraId="5CC119DC" w14:textId="2BD4F9C9" w:rsidR="00C46EDA" w:rsidRDefault="00C46EDA" w:rsidP="00F03A1F">
      <w:pPr>
        <w:pStyle w:val="Bezriadkovania"/>
        <w:rPr>
          <w:i/>
        </w:rPr>
      </w:pPr>
      <w:r w:rsidRPr="00C46EDA">
        <w:rPr>
          <w:i/>
        </w:rPr>
        <w:t xml:space="preserve">POZNÁMKA: pre položky označené *X nemala účtovná jednotka </w:t>
      </w:r>
      <w:r w:rsidR="0077522E">
        <w:rPr>
          <w:i/>
        </w:rPr>
        <w:t>v r. 20</w:t>
      </w:r>
      <w:r w:rsidR="00F65408">
        <w:rPr>
          <w:i/>
        </w:rPr>
        <w:t>20</w:t>
      </w:r>
      <w:r w:rsidR="0077522E">
        <w:rPr>
          <w:i/>
        </w:rPr>
        <w:t xml:space="preserve"> </w:t>
      </w:r>
      <w:r w:rsidRPr="00C46EDA">
        <w:rPr>
          <w:i/>
        </w:rPr>
        <w:t xml:space="preserve">náplň </w:t>
      </w:r>
    </w:p>
    <w:p w14:paraId="1B3C28D5" w14:textId="5E3675E0" w:rsidR="00D93259" w:rsidRDefault="00D93259" w:rsidP="00F03A1F">
      <w:pPr>
        <w:pStyle w:val="Bezriadkovania"/>
        <w:rPr>
          <w:i/>
        </w:rPr>
      </w:pPr>
    </w:p>
    <w:p w14:paraId="6A550696" w14:textId="5AEA9E21" w:rsidR="003B13F5" w:rsidRDefault="003B13F5" w:rsidP="00F03A1F">
      <w:pPr>
        <w:pStyle w:val="Bezriadkovania"/>
        <w:rPr>
          <w:i/>
        </w:rPr>
      </w:pPr>
    </w:p>
    <w:p w14:paraId="75C13891" w14:textId="77777777" w:rsidR="003B13F5" w:rsidRDefault="003B13F5" w:rsidP="00F03A1F">
      <w:pPr>
        <w:pStyle w:val="Bezriadkovania"/>
        <w:rPr>
          <w:i/>
        </w:rPr>
      </w:pPr>
    </w:p>
    <w:p w14:paraId="5072057B" w14:textId="46754D2B" w:rsidR="00FF3F68" w:rsidRDefault="00FF3F68" w:rsidP="00FF3F68">
      <w:pPr>
        <w:pStyle w:val="Bezriadkovania"/>
        <w:rPr>
          <w:b/>
        </w:rPr>
      </w:pPr>
      <w:r>
        <w:rPr>
          <w:b/>
        </w:rPr>
        <w:t>2,</w:t>
      </w:r>
      <w:r>
        <w:rPr>
          <w:b/>
        </w:rPr>
        <w:tab/>
        <w:t>S</w:t>
      </w:r>
      <w:r w:rsidRPr="00FF3F68">
        <w:rPr>
          <w:b/>
        </w:rPr>
        <w:t>pôsob oceňovania jednotlivých položiek majetku a záväzkov (účtovanie a úbytok)</w:t>
      </w:r>
    </w:p>
    <w:p w14:paraId="3D3F2365" w14:textId="3A3DB7E0" w:rsidR="00FF3F68" w:rsidRDefault="00FF3F68" w:rsidP="00FF3F68">
      <w:pPr>
        <w:pStyle w:val="Bezriadkovania"/>
        <w:rPr>
          <w:b/>
        </w:rPr>
      </w:pPr>
    </w:p>
    <w:p w14:paraId="6CC3F293" w14:textId="1D24F475" w:rsidR="00FF3F68" w:rsidRDefault="00FF3F68" w:rsidP="00FF3F68">
      <w:pPr>
        <w:pStyle w:val="Bezriadkovania"/>
      </w:pPr>
      <w:r w:rsidRPr="00360D3F">
        <w:t>-pri účtovaní zásob postupovala ú</w:t>
      </w:r>
      <w:r w:rsidR="00360D3F" w:rsidRPr="00360D3F">
        <w:t>č</w:t>
      </w:r>
      <w:r w:rsidRPr="00360D3F">
        <w:t xml:space="preserve">tovná jednotka podľa </w:t>
      </w:r>
      <w:r w:rsidR="00360D3F" w:rsidRPr="00360D3F">
        <w:t>§ 43 postupov účtovania v PÚ:</w:t>
      </w:r>
      <w:r w:rsidR="00360D3F">
        <w:t xml:space="preserve">  spôsob A</w:t>
      </w:r>
    </w:p>
    <w:p w14:paraId="2DC2EE38" w14:textId="2C95A3AC" w:rsidR="00360D3F" w:rsidRPr="00360D3F" w:rsidRDefault="00360D3F" w:rsidP="00FF3F68">
      <w:pPr>
        <w:pStyle w:val="Bezriadkovania"/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210"/>
        <w:gridCol w:w="30"/>
        <w:gridCol w:w="2130"/>
      </w:tblGrid>
      <w:tr w:rsidR="00FF3F68" w14:paraId="39B4A7B5" w14:textId="77777777" w:rsidTr="00360D3F">
        <w:trPr>
          <w:trHeight w:hRule="exact" w:val="30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06927CF2" w14:textId="77777777" w:rsidR="00FF3F68" w:rsidRDefault="00FF3F68" w:rsidP="00360D3F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D00783" w14:textId="77777777" w:rsidR="00FF3F68" w:rsidRDefault="00FF3F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BCFDE4" w14:textId="77777777" w:rsidR="00FF3F68" w:rsidRDefault="00FF3F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nil"/>
              <w:right w:val="nil"/>
            </w:tcBorders>
          </w:tcPr>
          <w:p w14:paraId="5464CA60" w14:textId="77777777" w:rsidR="00FF3F68" w:rsidRDefault="00FF3F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</w:tbl>
    <w:p w14:paraId="133AEBD7" w14:textId="77777777" w:rsidR="00333BAD" w:rsidRDefault="00333BAD" w:rsidP="00604116">
      <w:pPr>
        <w:pStyle w:val="Bezriadkovania"/>
        <w:rPr>
          <w:b/>
        </w:rPr>
      </w:pPr>
    </w:p>
    <w:p w14:paraId="4E73706C" w14:textId="30F71DB1" w:rsidR="00604116" w:rsidRDefault="000E2B41" w:rsidP="00604116">
      <w:pPr>
        <w:pStyle w:val="Bezriadkovania"/>
        <w:rPr>
          <w:b/>
        </w:rPr>
      </w:pPr>
      <w:r>
        <w:rPr>
          <w:b/>
        </w:rPr>
        <w:t>3</w:t>
      </w:r>
      <w:r w:rsidR="00604116" w:rsidRPr="00646A66">
        <w:rPr>
          <w:b/>
        </w:rPr>
        <w:t>,</w:t>
      </w:r>
      <w:r w:rsidR="00604116" w:rsidRPr="00646A66">
        <w:rPr>
          <w:b/>
        </w:rPr>
        <w:tab/>
        <w:t xml:space="preserve">spôsob </w:t>
      </w:r>
      <w:r w:rsidR="00604116">
        <w:rPr>
          <w:b/>
        </w:rPr>
        <w:t xml:space="preserve">zostavenia odpisového plánu </w:t>
      </w:r>
      <w:r w:rsidR="00ED6AB3">
        <w:rPr>
          <w:b/>
        </w:rPr>
        <w:t>pre jednotlivé druhy dlhodobého majetku</w:t>
      </w:r>
      <w:r w:rsidR="00604116" w:rsidRPr="00646A66">
        <w:rPr>
          <w:b/>
        </w:rPr>
        <w:t>:</w:t>
      </w:r>
    </w:p>
    <w:p w14:paraId="4BB0BF37" w14:textId="15147C35" w:rsidR="00ED6AB3" w:rsidRPr="00646A66" w:rsidRDefault="00580918" w:rsidP="00604116">
      <w:pPr>
        <w:pStyle w:val="Bezriadkovania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14:paraId="31CFF10C" w14:textId="77777777" w:rsidR="00580918" w:rsidRDefault="00333BAD" w:rsidP="00580918">
      <w:pPr>
        <w:pStyle w:val="Bezriadkovania"/>
        <w:ind w:left="708"/>
      </w:pPr>
      <w:r>
        <w:t xml:space="preserve">ÚČTOVNÁ JEDNOTKA NEMÁ NÁPLŇ PRE OSTATNÉ POLOŽKY </w:t>
      </w:r>
      <w:r w:rsidR="001261CB">
        <w:t xml:space="preserve">, </w:t>
      </w:r>
    </w:p>
    <w:p w14:paraId="7CD51A11" w14:textId="0B41E874" w:rsidR="00333BAD" w:rsidRDefault="00580918" w:rsidP="00580918">
      <w:pPr>
        <w:pStyle w:val="Bezriadkovania"/>
        <w:ind w:left="708"/>
      </w:pPr>
      <w:r>
        <w:t>(</w:t>
      </w:r>
      <w:r w:rsidR="00F35B0B">
        <w:t xml:space="preserve">dlhodobý </w:t>
      </w:r>
      <w:r w:rsidR="001261CB">
        <w:t>majetok nebol nadobudnutý</w:t>
      </w:r>
      <w:r>
        <w:t>)</w:t>
      </w:r>
    </w:p>
    <w:p w14:paraId="3B36A101" w14:textId="39CB7975" w:rsidR="00580918" w:rsidRDefault="00580918" w:rsidP="00F03A1F">
      <w:pPr>
        <w:pStyle w:val="Bezriadkovania"/>
      </w:pPr>
    </w:p>
    <w:p w14:paraId="4DFF4C07" w14:textId="7919F134" w:rsidR="00580918" w:rsidRDefault="00580918" w:rsidP="00F03A1F">
      <w:pPr>
        <w:pStyle w:val="Bezriadkovania"/>
        <w:rPr>
          <w:b/>
        </w:rPr>
      </w:pPr>
      <w:r w:rsidRPr="00580918">
        <w:rPr>
          <w:b/>
        </w:rPr>
        <w:t xml:space="preserve">4, 5,...... </w:t>
      </w:r>
      <w:r w:rsidR="00102A0B">
        <w:rPr>
          <w:b/>
        </w:rPr>
        <w:t xml:space="preserve">účtovná jednotka nemá náplň pre ostatné položky ČI.II (informácie o prijatých postupoch) </w:t>
      </w:r>
    </w:p>
    <w:p w14:paraId="734759E3" w14:textId="13505F5D" w:rsidR="00807503" w:rsidRDefault="00807503" w:rsidP="00F03A1F">
      <w:pPr>
        <w:pStyle w:val="Bezriadkovania"/>
        <w:rPr>
          <w:b/>
        </w:rPr>
      </w:pPr>
    </w:p>
    <w:p w14:paraId="22CF4093" w14:textId="77777777" w:rsidR="00807503" w:rsidRDefault="00807503" w:rsidP="00807503">
      <w:pPr>
        <w:pStyle w:val="Bezriadkovania"/>
        <w:jc w:val="center"/>
        <w:rPr>
          <w:b/>
          <w:sz w:val="24"/>
          <w:szCs w:val="24"/>
        </w:rPr>
      </w:pPr>
    </w:p>
    <w:p w14:paraId="376F63BF" w14:textId="77777777" w:rsidR="00807503" w:rsidRDefault="00807503" w:rsidP="00807503">
      <w:pPr>
        <w:pStyle w:val="Bezriadkovania"/>
        <w:jc w:val="center"/>
        <w:rPr>
          <w:b/>
          <w:sz w:val="24"/>
          <w:szCs w:val="24"/>
        </w:rPr>
      </w:pPr>
    </w:p>
    <w:p w14:paraId="4C9D82B2" w14:textId="47525686" w:rsidR="00807503" w:rsidRPr="00D33EEE" w:rsidRDefault="00807503" w:rsidP="00807503">
      <w:pPr>
        <w:pStyle w:val="Bezriadkovania"/>
        <w:jc w:val="center"/>
        <w:rPr>
          <w:b/>
          <w:sz w:val="24"/>
          <w:szCs w:val="24"/>
        </w:rPr>
      </w:pPr>
      <w:r w:rsidRPr="00D33EEE">
        <w:rPr>
          <w:b/>
          <w:sz w:val="24"/>
          <w:szCs w:val="24"/>
        </w:rPr>
        <w:t>Čl. II</w:t>
      </w:r>
      <w:r>
        <w:rPr>
          <w:b/>
          <w:sz w:val="24"/>
          <w:szCs w:val="24"/>
        </w:rPr>
        <w:t>I</w:t>
      </w:r>
    </w:p>
    <w:p w14:paraId="51ABCD3D" w14:textId="788161BF" w:rsidR="00807503" w:rsidRPr="00D33EEE" w:rsidRDefault="00807503" w:rsidP="00807503">
      <w:pPr>
        <w:pStyle w:val="Bezriadkovania"/>
        <w:jc w:val="center"/>
        <w:rPr>
          <w:b/>
          <w:sz w:val="24"/>
          <w:szCs w:val="24"/>
        </w:rPr>
      </w:pPr>
      <w:r w:rsidRPr="00D33EEE">
        <w:rPr>
          <w:b/>
          <w:sz w:val="24"/>
          <w:szCs w:val="24"/>
        </w:rPr>
        <w:t xml:space="preserve">INFORMÁCIE </w:t>
      </w:r>
      <w:r>
        <w:rPr>
          <w:b/>
          <w:sz w:val="24"/>
          <w:szCs w:val="24"/>
        </w:rPr>
        <w:t>KTORÉ VYSVETĽUJÚ A DOPĹŇAJÚ SÚVAHU A VÝKAZ ZISKOV A STRÁT</w:t>
      </w:r>
    </w:p>
    <w:p w14:paraId="0D673D0B" w14:textId="5FDEA21D" w:rsidR="00807503" w:rsidRDefault="00807503" w:rsidP="00F03A1F">
      <w:pPr>
        <w:pStyle w:val="Bezriadkovania"/>
        <w:rPr>
          <w:b/>
        </w:rPr>
      </w:pPr>
    </w:p>
    <w:p w14:paraId="6F2662CC" w14:textId="7B450B19" w:rsidR="00F67910" w:rsidRDefault="00F67910" w:rsidP="00DD2449">
      <w:pPr>
        <w:pStyle w:val="Bezriadkovania"/>
        <w:ind w:left="708" w:hanging="708"/>
        <w:jc w:val="both"/>
        <w:rPr>
          <w:i/>
        </w:rPr>
      </w:pPr>
      <w:r>
        <w:rPr>
          <w:b/>
        </w:rPr>
        <w:t>1,</w:t>
      </w:r>
      <w:r>
        <w:rPr>
          <w:b/>
        </w:rPr>
        <w:tab/>
        <w:t>vysoký stav k 31.12.20</w:t>
      </w:r>
      <w:r w:rsidR="004318CC">
        <w:rPr>
          <w:b/>
        </w:rPr>
        <w:t>20</w:t>
      </w:r>
      <w:r>
        <w:rPr>
          <w:b/>
        </w:rPr>
        <w:t xml:space="preserve"> vykazujú </w:t>
      </w:r>
      <w:r w:rsidR="00641DE3">
        <w:rPr>
          <w:b/>
        </w:rPr>
        <w:t xml:space="preserve">krátkodobé </w:t>
      </w:r>
      <w:r w:rsidR="00D809C3">
        <w:rPr>
          <w:b/>
        </w:rPr>
        <w:t>pohľadávky</w:t>
      </w:r>
      <w:r w:rsidR="00641DE3">
        <w:rPr>
          <w:b/>
        </w:rPr>
        <w:t xml:space="preserve"> z obchodného styku</w:t>
      </w:r>
      <w:r>
        <w:rPr>
          <w:b/>
        </w:rPr>
        <w:t xml:space="preserve"> v sume </w:t>
      </w:r>
      <w:r w:rsidR="00D809C3">
        <w:rPr>
          <w:b/>
        </w:rPr>
        <w:t>1</w:t>
      </w:r>
      <w:r w:rsidR="004318CC">
        <w:rPr>
          <w:b/>
        </w:rPr>
        <w:t>78</w:t>
      </w:r>
      <w:r>
        <w:rPr>
          <w:b/>
        </w:rPr>
        <w:t xml:space="preserve"> tis € </w:t>
      </w:r>
      <w:r w:rsidR="00641DE3">
        <w:rPr>
          <w:b/>
        </w:rPr>
        <w:t xml:space="preserve">najmä </w:t>
      </w:r>
      <w:r>
        <w:rPr>
          <w:b/>
        </w:rPr>
        <w:t xml:space="preserve">z titulu </w:t>
      </w:r>
      <w:r w:rsidR="00D809C3">
        <w:rPr>
          <w:b/>
        </w:rPr>
        <w:t>platených záloh na byty kupované za účelom ďalšieho predaja</w:t>
      </w:r>
      <w:r>
        <w:rPr>
          <w:b/>
        </w:rPr>
        <w:t>. Uveden</w:t>
      </w:r>
      <w:r w:rsidR="00AE093F">
        <w:rPr>
          <w:b/>
        </w:rPr>
        <w:t>é</w:t>
      </w:r>
      <w:r>
        <w:rPr>
          <w:b/>
        </w:rPr>
        <w:t xml:space="preserve"> vyplýva z charakteru podnikania: </w:t>
      </w:r>
      <w:r w:rsidR="00363157">
        <w:rPr>
          <w:i/>
        </w:rPr>
        <w:t>N</w:t>
      </w:r>
      <w:r w:rsidRPr="00F67910">
        <w:rPr>
          <w:i/>
        </w:rPr>
        <w:t>ákup nehnuteľností, ich dokončenie a</w:t>
      </w:r>
      <w:r w:rsidR="004318CC">
        <w:rPr>
          <w:i/>
        </w:rPr>
        <w:t> </w:t>
      </w:r>
      <w:r w:rsidRPr="00F67910">
        <w:rPr>
          <w:i/>
        </w:rPr>
        <w:t>predaj</w:t>
      </w:r>
    </w:p>
    <w:p w14:paraId="30E41C96" w14:textId="77777777" w:rsidR="004318CC" w:rsidRDefault="004318CC" w:rsidP="00DD2449">
      <w:pPr>
        <w:pStyle w:val="Bezriadkovania"/>
        <w:ind w:left="708" w:hanging="708"/>
        <w:jc w:val="both"/>
        <w:rPr>
          <w:i/>
        </w:rPr>
      </w:pPr>
      <w:r>
        <w:rPr>
          <w:i/>
        </w:rPr>
        <w:tab/>
      </w:r>
    </w:p>
    <w:p w14:paraId="24B3E360" w14:textId="5CE0169C" w:rsidR="004318CC" w:rsidRDefault="004318CC" w:rsidP="004318CC">
      <w:pPr>
        <w:pStyle w:val="Bezriadkovania"/>
        <w:ind w:left="708"/>
        <w:jc w:val="both"/>
        <w:rPr>
          <w:i/>
        </w:rPr>
      </w:pPr>
      <w:r>
        <w:rPr>
          <w:i/>
        </w:rPr>
        <w:t>Príklad: podpis rezervačnej resp. budúcej zmluvy na kúpu bytu v novostavbe</w:t>
      </w:r>
    </w:p>
    <w:p w14:paraId="4225B9D4" w14:textId="4B389A31" w:rsidR="004318CC" w:rsidRDefault="004318CC" w:rsidP="00DD2449">
      <w:pPr>
        <w:pStyle w:val="Bezriadkovania"/>
        <w:ind w:left="708" w:hanging="708"/>
        <w:jc w:val="both"/>
        <w:rPr>
          <w:i/>
        </w:rPr>
      </w:pPr>
      <w:r>
        <w:rPr>
          <w:i/>
        </w:rPr>
        <w:tab/>
      </w:r>
      <w:r>
        <w:rPr>
          <w:i/>
        </w:rPr>
        <w:tab/>
      </w:r>
      <w:r>
        <w:rPr>
          <w:i/>
        </w:rPr>
        <w:tab/>
        <w:t>-platba č.1: rezervačný poplatok:</w:t>
      </w:r>
      <w:r>
        <w:rPr>
          <w:i/>
        </w:rPr>
        <w:tab/>
        <w:t xml:space="preserve">  </w:t>
      </w:r>
      <w:r>
        <w:rPr>
          <w:i/>
        </w:rPr>
        <w:tab/>
        <w:t xml:space="preserve">  4.000 €</w:t>
      </w:r>
    </w:p>
    <w:p w14:paraId="6DC88164" w14:textId="27101C6F" w:rsidR="004318CC" w:rsidRDefault="004318CC" w:rsidP="00DD2449">
      <w:pPr>
        <w:pStyle w:val="Bezriadkovania"/>
        <w:ind w:left="708" w:hanging="708"/>
        <w:jc w:val="both"/>
        <w:rPr>
          <w:i/>
        </w:rPr>
      </w:pPr>
      <w:r>
        <w:rPr>
          <w:i/>
        </w:rPr>
        <w:tab/>
      </w:r>
      <w:r>
        <w:rPr>
          <w:i/>
        </w:rPr>
        <w:tab/>
      </w:r>
      <w:r>
        <w:rPr>
          <w:i/>
        </w:rPr>
        <w:tab/>
        <w:t>-platba č.2: pri podpise ZOBZ doplatok do 20%</w:t>
      </w:r>
      <w:r>
        <w:rPr>
          <w:i/>
        </w:rPr>
        <w:tab/>
        <w:t>16.000 €</w:t>
      </w:r>
    </w:p>
    <w:p w14:paraId="19CB969F" w14:textId="558028A9" w:rsidR="004318CC" w:rsidRDefault="004318CC" w:rsidP="00DD2449">
      <w:pPr>
        <w:pStyle w:val="Bezriadkovania"/>
        <w:ind w:left="708" w:hanging="708"/>
        <w:jc w:val="both"/>
        <w:rPr>
          <w:i/>
        </w:rPr>
      </w:pPr>
      <w:r>
        <w:rPr>
          <w:i/>
        </w:rPr>
        <w:tab/>
      </w:r>
      <w:r>
        <w:rPr>
          <w:i/>
        </w:rPr>
        <w:tab/>
      </w:r>
      <w:r>
        <w:rPr>
          <w:i/>
        </w:rPr>
        <w:tab/>
        <w:t>-platba č.3: pri osadení okien 60%</w:t>
      </w:r>
      <w:r>
        <w:rPr>
          <w:i/>
        </w:rPr>
        <w:tab/>
      </w:r>
      <w:r>
        <w:rPr>
          <w:i/>
        </w:rPr>
        <w:tab/>
        <w:t>60.000 €</w:t>
      </w:r>
    </w:p>
    <w:p w14:paraId="6E44F63E" w14:textId="72343F36" w:rsidR="004318CC" w:rsidRDefault="004318CC" w:rsidP="00DD2449">
      <w:pPr>
        <w:pStyle w:val="Bezriadkovania"/>
        <w:ind w:left="708" w:hanging="708"/>
        <w:jc w:val="both"/>
        <w:rPr>
          <w:i/>
        </w:rPr>
      </w:pPr>
      <w:r>
        <w:rPr>
          <w:i/>
        </w:rPr>
        <w:tab/>
      </w:r>
      <w:r>
        <w:rPr>
          <w:i/>
        </w:rPr>
        <w:tab/>
      </w:r>
      <w:r>
        <w:rPr>
          <w:i/>
        </w:rPr>
        <w:tab/>
        <w:t>-platba č.4: popis kúpnej zmluvy 20%</w:t>
      </w:r>
      <w:r>
        <w:rPr>
          <w:i/>
        </w:rPr>
        <w:tab/>
      </w:r>
      <w:r>
        <w:rPr>
          <w:i/>
        </w:rPr>
        <w:tab/>
        <w:t>20.000 €</w:t>
      </w:r>
      <w:r>
        <w:rPr>
          <w:i/>
        </w:rPr>
        <w:tab/>
        <w:t xml:space="preserve"> </w:t>
      </w:r>
    </w:p>
    <w:p w14:paraId="63744CEC" w14:textId="4A731D9E" w:rsidR="004318CC" w:rsidRDefault="004318CC" w:rsidP="00DD2449">
      <w:pPr>
        <w:pStyle w:val="Bezriadkovania"/>
        <w:ind w:left="708" w:hanging="708"/>
        <w:jc w:val="both"/>
        <w:rPr>
          <w:i/>
        </w:rPr>
      </w:pPr>
      <w:r>
        <w:rPr>
          <w:i/>
        </w:rPr>
        <w:tab/>
      </w:r>
      <w:r>
        <w:rPr>
          <w:i/>
        </w:rPr>
        <w:tab/>
      </w:r>
    </w:p>
    <w:p w14:paraId="7AFE1596" w14:textId="3D440E4A" w:rsidR="00F67910" w:rsidRDefault="004318CC" w:rsidP="00F67910">
      <w:pPr>
        <w:pStyle w:val="Bezriadkovania"/>
        <w:ind w:left="708" w:hanging="708"/>
        <w:rPr>
          <w:b/>
        </w:rPr>
      </w:pPr>
      <w:r>
        <w:rPr>
          <w:b/>
        </w:rPr>
        <w:tab/>
      </w:r>
    </w:p>
    <w:p w14:paraId="2FE9AE4A" w14:textId="3A037497" w:rsidR="00F67910" w:rsidRDefault="00641DE3" w:rsidP="00DD2449">
      <w:pPr>
        <w:pStyle w:val="Bezriadkovania"/>
        <w:ind w:left="708" w:hanging="708"/>
        <w:jc w:val="both"/>
        <w:rPr>
          <w:b/>
        </w:rPr>
      </w:pPr>
      <w:r>
        <w:rPr>
          <w:b/>
        </w:rPr>
        <w:t>2</w:t>
      </w:r>
      <w:r w:rsidR="0016524F">
        <w:rPr>
          <w:b/>
        </w:rPr>
        <w:t>,</w:t>
      </w:r>
      <w:r w:rsidR="0016524F">
        <w:rPr>
          <w:b/>
        </w:rPr>
        <w:tab/>
        <w:t>vysoký stav k 31.12.20</w:t>
      </w:r>
      <w:r w:rsidR="004318CC">
        <w:rPr>
          <w:b/>
        </w:rPr>
        <w:t>20</w:t>
      </w:r>
      <w:r w:rsidR="0016524F">
        <w:rPr>
          <w:b/>
        </w:rPr>
        <w:t xml:space="preserve"> vykazujú ostatné krátkodobé záväzky v sume </w:t>
      </w:r>
      <w:r w:rsidR="004318CC">
        <w:rPr>
          <w:b/>
        </w:rPr>
        <w:t>66 tis €</w:t>
      </w:r>
      <w:r w:rsidR="00C756C7">
        <w:rPr>
          <w:b/>
        </w:rPr>
        <w:t xml:space="preserve">, </w:t>
      </w:r>
      <w:r>
        <w:rPr>
          <w:b/>
        </w:rPr>
        <w:t xml:space="preserve">z titulu </w:t>
      </w:r>
      <w:r w:rsidR="00F67910">
        <w:rPr>
          <w:b/>
        </w:rPr>
        <w:t xml:space="preserve"> krátkodob</w:t>
      </w:r>
      <w:r>
        <w:rPr>
          <w:b/>
        </w:rPr>
        <w:t xml:space="preserve">ých pôžičiek poskytnutých spoločníkom </w:t>
      </w:r>
      <w:r w:rsidR="00F67910">
        <w:rPr>
          <w:b/>
        </w:rPr>
        <w:t xml:space="preserve">s úrokom </w:t>
      </w:r>
      <w:r w:rsidR="004318CC">
        <w:rPr>
          <w:b/>
        </w:rPr>
        <w:t>2</w:t>
      </w:r>
      <w:r w:rsidR="00F67910">
        <w:rPr>
          <w:b/>
        </w:rPr>
        <w:t xml:space="preserve">% </w:t>
      </w:r>
      <w:proofErr w:type="spellStart"/>
      <w:r w:rsidR="00F67910">
        <w:rPr>
          <w:b/>
        </w:rPr>
        <w:t>p.a</w:t>
      </w:r>
      <w:proofErr w:type="spellEnd"/>
      <w:r w:rsidR="00F67910">
        <w:rPr>
          <w:b/>
        </w:rPr>
        <w:t>.</w:t>
      </w:r>
    </w:p>
    <w:p w14:paraId="6A79CAAC" w14:textId="55E3031B" w:rsidR="00363157" w:rsidRPr="00CE02E3" w:rsidRDefault="00363157" w:rsidP="00DD2449">
      <w:pPr>
        <w:pStyle w:val="Bezriadkovania"/>
        <w:ind w:left="708" w:hanging="708"/>
        <w:jc w:val="both"/>
        <w:rPr>
          <w:i/>
        </w:rPr>
      </w:pPr>
      <w:r>
        <w:rPr>
          <w:b/>
        </w:rPr>
        <w:tab/>
      </w:r>
      <w:r w:rsidR="00CE02E3" w:rsidRPr="00CE02E3">
        <w:rPr>
          <w:i/>
        </w:rPr>
        <w:t>(</w:t>
      </w:r>
      <w:r w:rsidR="00AE093F">
        <w:rPr>
          <w:i/>
        </w:rPr>
        <w:t xml:space="preserve">úroky </w:t>
      </w:r>
      <w:r w:rsidR="00CE02E3" w:rsidRPr="00CE02E3">
        <w:rPr>
          <w:i/>
        </w:rPr>
        <w:t xml:space="preserve">účtované v súlade s </w:t>
      </w:r>
      <w:r w:rsidR="00370F8A" w:rsidRPr="00CE02E3">
        <w:rPr>
          <w:i/>
        </w:rPr>
        <w:t>pravidl</w:t>
      </w:r>
      <w:r w:rsidR="00CE02E3" w:rsidRPr="00CE02E3">
        <w:rPr>
          <w:i/>
        </w:rPr>
        <w:t>ami</w:t>
      </w:r>
      <w:r w:rsidR="00370F8A" w:rsidRPr="00CE02E3">
        <w:rPr>
          <w:i/>
        </w:rPr>
        <w:t xml:space="preserve"> </w:t>
      </w:r>
      <w:r w:rsidR="00CE02E3" w:rsidRPr="00CE02E3">
        <w:rPr>
          <w:i/>
        </w:rPr>
        <w:t xml:space="preserve">o </w:t>
      </w:r>
      <w:r w:rsidR="00370F8A" w:rsidRPr="00CE02E3">
        <w:rPr>
          <w:i/>
        </w:rPr>
        <w:t>nízkej kapitalizáci</w:t>
      </w:r>
      <w:r w:rsidR="00CE02E3" w:rsidRPr="00CE02E3">
        <w:rPr>
          <w:i/>
        </w:rPr>
        <w:t>i</w:t>
      </w:r>
      <w:r w:rsidR="00370F8A" w:rsidRPr="00CE02E3">
        <w:rPr>
          <w:i/>
        </w:rPr>
        <w:t xml:space="preserve"> uveden</w:t>
      </w:r>
      <w:r w:rsidR="00CE02E3" w:rsidRPr="00CE02E3">
        <w:rPr>
          <w:i/>
        </w:rPr>
        <w:t>ej</w:t>
      </w:r>
      <w:r w:rsidR="00370F8A" w:rsidRPr="00CE02E3">
        <w:rPr>
          <w:i/>
        </w:rPr>
        <w:t xml:space="preserve"> v § 21a zákona o dani z</w:t>
      </w:r>
      <w:r w:rsidR="00CE02E3">
        <w:rPr>
          <w:i/>
        </w:rPr>
        <w:t> </w:t>
      </w:r>
      <w:r w:rsidR="00370F8A" w:rsidRPr="00CE02E3">
        <w:rPr>
          <w:i/>
        </w:rPr>
        <w:t>príjmov</w:t>
      </w:r>
      <w:r w:rsidR="00CE02E3">
        <w:rPr>
          <w:i/>
        </w:rPr>
        <w:t>)</w:t>
      </w:r>
      <w:r w:rsidRPr="00CE02E3">
        <w:rPr>
          <w:i/>
        </w:rPr>
        <w:t xml:space="preserve"> </w:t>
      </w:r>
    </w:p>
    <w:p w14:paraId="2366A279" w14:textId="77777777" w:rsidR="004318CC" w:rsidRDefault="00F67910" w:rsidP="004318CC">
      <w:pPr>
        <w:pStyle w:val="Bezriadkovania"/>
        <w:ind w:left="708" w:hanging="708"/>
        <w:jc w:val="both"/>
        <w:rPr>
          <w:i/>
        </w:rPr>
      </w:pPr>
      <w:r w:rsidRPr="00CE02E3">
        <w:rPr>
          <w:i/>
        </w:rPr>
        <w:tab/>
      </w:r>
    </w:p>
    <w:p w14:paraId="16FF94F1" w14:textId="1689F373" w:rsidR="004318CC" w:rsidRDefault="004318CC" w:rsidP="004318CC">
      <w:pPr>
        <w:pStyle w:val="Bezriadkovania"/>
        <w:ind w:left="708" w:hanging="708"/>
        <w:jc w:val="both"/>
        <w:rPr>
          <w:b/>
        </w:rPr>
      </w:pPr>
      <w:r>
        <w:rPr>
          <w:i/>
        </w:rPr>
        <w:t>3,</w:t>
      </w:r>
      <w:r>
        <w:rPr>
          <w:i/>
        </w:rPr>
        <w:tab/>
      </w:r>
      <w:r>
        <w:rPr>
          <w:b/>
        </w:rPr>
        <w:t xml:space="preserve">vysoký stav k 31.12.2020 vykazujú ostatné krátkodobé </w:t>
      </w:r>
      <w:r>
        <w:rPr>
          <w:b/>
        </w:rPr>
        <w:t>finančné výpomoci</w:t>
      </w:r>
      <w:r>
        <w:rPr>
          <w:b/>
        </w:rPr>
        <w:t xml:space="preserve"> v sume </w:t>
      </w:r>
      <w:r>
        <w:rPr>
          <w:b/>
        </w:rPr>
        <w:t>85</w:t>
      </w:r>
      <w:r>
        <w:rPr>
          <w:b/>
        </w:rPr>
        <w:t xml:space="preserve"> tis €, z titulu  pôžičiek poskytnutých </w:t>
      </w:r>
      <w:r>
        <w:rPr>
          <w:b/>
        </w:rPr>
        <w:t>treťou stranou</w:t>
      </w:r>
      <w:r>
        <w:rPr>
          <w:b/>
        </w:rPr>
        <w:t xml:space="preserve"> s úrokom </w:t>
      </w:r>
      <w:r>
        <w:rPr>
          <w:b/>
        </w:rPr>
        <w:t>4</w:t>
      </w:r>
      <w:r>
        <w:rPr>
          <w:b/>
        </w:rPr>
        <w:t xml:space="preserve">% </w:t>
      </w:r>
      <w:proofErr w:type="spellStart"/>
      <w:r>
        <w:rPr>
          <w:b/>
        </w:rPr>
        <w:t>p.a</w:t>
      </w:r>
      <w:proofErr w:type="spellEnd"/>
      <w:r>
        <w:rPr>
          <w:b/>
        </w:rPr>
        <w:t>.</w:t>
      </w:r>
    </w:p>
    <w:p w14:paraId="6601A8E1" w14:textId="77777777" w:rsidR="004318CC" w:rsidRPr="00CE02E3" w:rsidRDefault="004318CC" w:rsidP="004318CC">
      <w:pPr>
        <w:pStyle w:val="Bezriadkovania"/>
        <w:ind w:left="708" w:hanging="708"/>
        <w:jc w:val="both"/>
        <w:rPr>
          <w:i/>
        </w:rPr>
      </w:pPr>
      <w:r>
        <w:rPr>
          <w:b/>
        </w:rPr>
        <w:tab/>
      </w:r>
      <w:r w:rsidRPr="00CE02E3">
        <w:rPr>
          <w:i/>
        </w:rPr>
        <w:t>(</w:t>
      </w:r>
      <w:r>
        <w:rPr>
          <w:i/>
        </w:rPr>
        <w:t xml:space="preserve">úroky </w:t>
      </w:r>
      <w:r w:rsidRPr="00CE02E3">
        <w:rPr>
          <w:i/>
        </w:rPr>
        <w:t>účtované v súlade s pravidlami o nízkej kapitalizácii uvedenej v § 21a zákona o dani z</w:t>
      </w:r>
      <w:r>
        <w:rPr>
          <w:i/>
        </w:rPr>
        <w:t> </w:t>
      </w:r>
      <w:r w:rsidRPr="00CE02E3">
        <w:rPr>
          <w:i/>
        </w:rPr>
        <w:t>príjmov</w:t>
      </w:r>
      <w:r>
        <w:rPr>
          <w:i/>
        </w:rPr>
        <w:t>)</w:t>
      </w:r>
      <w:r w:rsidRPr="00CE02E3">
        <w:rPr>
          <w:i/>
        </w:rPr>
        <w:t xml:space="preserve"> </w:t>
      </w:r>
    </w:p>
    <w:p w14:paraId="29D3FB29" w14:textId="68B8BCF1" w:rsidR="00F67910" w:rsidRPr="00CE02E3" w:rsidRDefault="00F67910" w:rsidP="00CE02E3">
      <w:pPr>
        <w:pStyle w:val="Bezriadkovania"/>
        <w:ind w:left="708" w:hanging="708"/>
        <w:jc w:val="both"/>
        <w:rPr>
          <w:i/>
        </w:rPr>
      </w:pPr>
    </w:p>
    <w:p w14:paraId="141F2998" w14:textId="05AD0671" w:rsidR="00807503" w:rsidRDefault="0016524F" w:rsidP="00F03A1F">
      <w:pPr>
        <w:pStyle w:val="Bezriadkovania"/>
        <w:rPr>
          <w:b/>
        </w:rPr>
      </w:pPr>
      <w:r>
        <w:rPr>
          <w:b/>
        </w:rPr>
        <w:tab/>
      </w:r>
    </w:p>
    <w:p w14:paraId="6BCC242F" w14:textId="77777777" w:rsidR="00BA1E4E" w:rsidRDefault="00807503" w:rsidP="00F03A1F">
      <w:pPr>
        <w:pStyle w:val="Bezriadkovania"/>
        <w:rPr>
          <w:b/>
        </w:rPr>
      </w:pPr>
      <w:r>
        <w:rPr>
          <w:b/>
        </w:rPr>
        <w:t>MIESTO PRE ĎALŠIE ZÁZNAMY:</w:t>
      </w:r>
    </w:p>
    <w:p w14:paraId="23837791" w14:textId="5C52DFBC" w:rsidR="00807503" w:rsidRDefault="00BA1E4E" w:rsidP="00BA1E4E">
      <w:pPr>
        <w:pStyle w:val="Bezriadkovania"/>
        <w:jc w:val="both"/>
        <w:rPr>
          <w:b/>
        </w:rPr>
      </w:pPr>
      <w:r>
        <w:rPr>
          <w:b/>
        </w:rPr>
        <w:t>H</w:t>
      </w:r>
      <w:r w:rsidRPr="00BA1E4E">
        <w:rPr>
          <w:b/>
        </w:rPr>
        <w:t xml:space="preserve">lavnou činnosťou spoločnosti je nákup </w:t>
      </w:r>
      <w:proofErr w:type="spellStart"/>
      <w:r w:rsidRPr="00BA1E4E">
        <w:rPr>
          <w:b/>
        </w:rPr>
        <w:t>holobytov</w:t>
      </w:r>
      <w:proofErr w:type="spellEnd"/>
      <w:r w:rsidRPr="00BA1E4E">
        <w:rPr>
          <w:b/>
        </w:rPr>
        <w:t xml:space="preserve"> v novostavbách ich dokončenie vrátane kompletného vyb</w:t>
      </w:r>
      <w:r>
        <w:rPr>
          <w:b/>
        </w:rPr>
        <w:t>a</w:t>
      </w:r>
      <w:r w:rsidRPr="00BA1E4E">
        <w:rPr>
          <w:b/>
        </w:rPr>
        <w:t>venie nábytkom a následný predaj. Z uvedeného titulu je v priebehu roka nesúlad a nerovnom</w:t>
      </w:r>
      <w:r w:rsidR="00A6102E">
        <w:rPr>
          <w:b/>
        </w:rPr>
        <w:t>e</w:t>
      </w:r>
      <w:r w:rsidRPr="00BA1E4E">
        <w:rPr>
          <w:b/>
        </w:rPr>
        <w:t>rnosť vo výnosoch, nákladoch a v odpočte/</w:t>
      </w:r>
      <w:proofErr w:type="spellStart"/>
      <w:r w:rsidR="003E5991">
        <w:rPr>
          <w:b/>
        </w:rPr>
        <w:t>vratke</w:t>
      </w:r>
      <w:proofErr w:type="spellEnd"/>
      <w:r w:rsidRPr="00BA1E4E">
        <w:rPr>
          <w:b/>
        </w:rPr>
        <w:t xml:space="preserve"> DPH</w:t>
      </w:r>
      <w:r w:rsidR="00F8051D">
        <w:rPr>
          <w:b/>
        </w:rPr>
        <w:t xml:space="preserve"> a v zúčtovacích vzťahoch. </w:t>
      </w:r>
      <w:r w:rsidR="00807503">
        <w:rPr>
          <w:b/>
        </w:rPr>
        <w:t xml:space="preserve"> </w:t>
      </w:r>
    </w:p>
    <w:p w14:paraId="0ADE57C7" w14:textId="0EDA35FA" w:rsidR="00807503" w:rsidRDefault="00807503" w:rsidP="00F03A1F">
      <w:pPr>
        <w:pStyle w:val="Bezriadkovania"/>
        <w:rPr>
          <w:b/>
        </w:rPr>
      </w:pPr>
    </w:p>
    <w:p w14:paraId="645572A3" w14:textId="77777777" w:rsidR="00807503" w:rsidRPr="00580918" w:rsidRDefault="00807503" w:rsidP="00F03A1F">
      <w:pPr>
        <w:pStyle w:val="Bezriadkovania"/>
        <w:rPr>
          <w:b/>
        </w:rPr>
      </w:pPr>
    </w:p>
    <w:sectPr w:rsidR="00807503" w:rsidRPr="00580918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A315D5E" w14:textId="77777777" w:rsidR="003E164F" w:rsidRDefault="003E164F" w:rsidP="00F510DB">
      <w:pPr>
        <w:spacing w:after="0" w:line="240" w:lineRule="auto"/>
      </w:pPr>
      <w:r>
        <w:separator/>
      </w:r>
    </w:p>
  </w:endnote>
  <w:endnote w:type="continuationSeparator" w:id="0">
    <w:p w14:paraId="671D47E2" w14:textId="77777777" w:rsidR="003E164F" w:rsidRDefault="003E164F" w:rsidP="00F510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A03182C" w14:textId="77777777" w:rsidR="003E164F" w:rsidRDefault="003E164F" w:rsidP="00F510DB">
      <w:pPr>
        <w:spacing w:after="0" w:line="240" w:lineRule="auto"/>
      </w:pPr>
      <w:r>
        <w:separator/>
      </w:r>
    </w:p>
  </w:footnote>
  <w:footnote w:type="continuationSeparator" w:id="0">
    <w:p w14:paraId="5E1798A1" w14:textId="77777777" w:rsidR="003E164F" w:rsidRDefault="003E164F" w:rsidP="00F510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Ind w:w="-8" w:type="dxa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219"/>
      <w:gridCol w:w="2204"/>
      <w:gridCol w:w="404"/>
      <w:gridCol w:w="56"/>
      <w:gridCol w:w="200"/>
      <w:gridCol w:w="211"/>
      <w:gridCol w:w="200"/>
      <w:gridCol w:w="200"/>
      <w:gridCol w:w="211"/>
      <w:gridCol w:w="200"/>
      <w:gridCol w:w="211"/>
      <w:gridCol w:w="200"/>
      <w:gridCol w:w="56"/>
      <w:gridCol w:w="402"/>
      <w:gridCol w:w="46"/>
      <w:gridCol w:w="211"/>
      <w:gridCol w:w="200"/>
      <w:gridCol w:w="211"/>
      <w:gridCol w:w="200"/>
      <w:gridCol w:w="200"/>
      <w:gridCol w:w="211"/>
      <w:gridCol w:w="200"/>
      <w:gridCol w:w="211"/>
      <w:gridCol w:w="200"/>
      <w:gridCol w:w="200"/>
    </w:tblGrid>
    <w:tr w:rsidR="00F510DB" w14:paraId="70EC3B9D" w14:textId="77777777">
      <w:trPr>
        <w:trHeight w:val="330"/>
      </w:trPr>
      <w:tc>
        <w:tcPr>
          <w:tcW w:w="288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46137D96" w14:textId="77777777" w:rsidR="00F510DB" w:rsidRDefault="00F510DB" w:rsidP="00F510DB">
          <w:pPr>
            <w:autoSpaceDE w:val="0"/>
            <w:autoSpaceDN w:val="0"/>
            <w:adjustRightInd w:val="0"/>
            <w:spacing w:before="43" w:after="43" w:line="240" w:lineRule="auto"/>
            <w:ind w:left="43" w:right="43"/>
            <w:rPr>
              <w:rFonts w:ascii="Arial" w:hAnsi="Arial" w:cs="Arial"/>
              <w:color w:val="000000"/>
              <w:sz w:val="14"/>
              <w:szCs w:val="14"/>
            </w:rPr>
          </w:pPr>
          <w:r>
            <w:rPr>
              <w:rFonts w:ascii="Arial" w:hAnsi="Arial" w:cs="Arial"/>
              <w:color w:val="000000"/>
              <w:sz w:val="14"/>
              <w:szCs w:val="14"/>
            </w:rPr>
            <w:t xml:space="preserve">Poznámky </w:t>
          </w:r>
          <w:proofErr w:type="spellStart"/>
          <w:r>
            <w:rPr>
              <w:rFonts w:ascii="Arial" w:hAnsi="Arial" w:cs="Arial"/>
              <w:color w:val="000000"/>
              <w:sz w:val="14"/>
              <w:szCs w:val="14"/>
            </w:rPr>
            <w:t>Úč</w:t>
          </w:r>
          <w:proofErr w:type="spellEnd"/>
          <w:r>
            <w:rPr>
              <w:rFonts w:ascii="Arial" w:hAnsi="Arial" w:cs="Arial"/>
              <w:color w:val="000000"/>
              <w:sz w:val="14"/>
              <w:szCs w:val="14"/>
            </w:rPr>
            <w:t xml:space="preserve"> MÚJ 3-01</w:t>
          </w:r>
        </w:p>
      </w:tc>
      <w:tc>
        <w:tcPr>
          <w:tcW w:w="3195" w:type="dxa"/>
          <w:tcBorders>
            <w:top w:val="nil"/>
            <w:left w:val="nil"/>
            <w:bottom w:val="nil"/>
            <w:right w:val="nil"/>
          </w:tcBorders>
        </w:tcPr>
        <w:p w14:paraId="74C5C785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28425F6" w14:textId="77777777" w:rsidR="00F510DB" w:rsidRDefault="00F510DB" w:rsidP="00F510DB">
          <w:pPr>
            <w:autoSpaceDE w:val="0"/>
            <w:autoSpaceDN w:val="0"/>
            <w:adjustRightInd w:val="0"/>
            <w:spacing w:before="43" w:after="43" w:line="240" w:lineRule="auto"/>
            <w:ind w:left="43" w:right="43"/>
            <w:jc w:val="center"/>
            <w:rPr>
              <w:rFonts w:ascii="Arial" w:hAnsi="Arial" w:cs="Arial"/>
              <w:color w:val="000000"/>
              <w:sz w:val="14"/>
              <w:szCs w:val="14"/>
            </w:rPr>
          </w:pPr>
          <w:r>
            <w:rPr>
              <w:rFonts w:ascii="Arial" w:hAnsi="Arial" w:cs="Arial"/>
              <w:color w:val="000000"/>
              <w:sz w:val="14"/>
              <w:szCs w:val="14"/>
            </w:rPr>
            <w:t>IČO</w:t>
          </w:r>
        </w:p>
      </w:tc>
      <w:tc>
        <w:tcPr>
          <w:tcW w:w="75" w:type="dxa"/>
          <w:tcBorders>
            <w:top w:val="nil"/>
            <w:left w:val="nil"/>
            <w:bottom w:val="nil"/>
            <w:right w:val="nil"/>
          </w:tcBorders>
        </w:tcPr>
        <w:p w14:paraId="02B136E5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210" w:type="dxa"/>
          <w:vMerge w:val="restart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6393B193" w14:textId="77777777" w:rsidR="00F510DB" w:rsidRDefault="00F510DB" w:rsidP="00F510DB">
          <w:pPr>
            <w:autoSpaceDE w:val="0"/>
            <w:autoSpaceDN w:val="0"/>
            <w:adjustRightInd w:val="0"/>
            <w:spacing w:before="43" w:after="43" w:line="240" w:lineRule="auto"/>
            <w:ind w:left="43" w:right="43"/>
            <w:jc w:val="center"/>
            <w:rPr>
              <w:rFonts w:ascii="Arial" w:hAnsi="Arial" w:cs="Arial"/>
              <w:color w:val="000000"/>
              <w:sz w:val="14"/>
              <w:szCs w:val="14"/>
            </w:rPr>
          </w:pPr>
          <w:r>
            <w:rPr>
              <w:rFonts w:ascii="Arial" w:hAnsi="Arial" w:cs="Arial"/>
              <w:color w:val="000000"/>
              <w:sz w:val="14"/>
              <w:szCs w:val="14"/>
            </w:rPr>
            <w:t>5</w:t>
          </w:r>
        </w:p>
      </w:tc>
      <w:tc>
        <w:tcPr>
          <w:tcW w:w="225" w:type="dxa"/>
          <w:vMerge w:val="restart"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  <w:vAlign w:val="center"/>
        </w:tcPr>
        <w:p w14:paraId="3410520F" w14:textId="77777777" w:rsidR="00F510DB" w:rsidRDefault="00F510DB" w:rsidP="00F510DB">
          <w:pPr>
            <w:autoSpaceDE w:val="0"/>
            <w:autoSpaceDN w:val="0"/>
            <w:adjustRightInd w:val="0"/>
            <w:spacing w:before="43" w:after="43" w:line="240" w:lineRule="auto"/>
            <w:ind w:left="43" w:right="43"/>
            <w:jc w:val="center"/>
            <w:rPr>
              <w:rFonts w:ascii="Arial" w:hAnsi="Arial" w:cs="Arial"/>
              <w:color w:val="000000"/>
              <w:sz w:val="14"/>
              <w:szCs w:val="14"/>
            </w:rPr>
          </w:pPr>
          <w:r>
            <w:rPr>
              <w:rFonts w:ascii="Arial" w:hAnsi="Arial" w:cs="Arial"/>
              <w:color w:val="000000"/>
              <w:sz w:val="14"/>
              <w:szCs w:val="14"/>
            </w:rPr>
            <w:t>0</w:t>
          </w:r>
        </w:p>
      </w:tc>
      <w:tc>
        <w:tcPr>
          <w:tcW w:w="210" w:type="dxa"/>
          <w:vMerge w:val="restart"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  <w:vAlign w:val="center"/>
        </w:tcPr>
        <w:p w14:paraId="7128EB61" w14:textId="77777777" w:rsidR="00F510DB" w:rsidRDefault="00F510DB" w:rsidP="00F510DB">
          <w:pPr>
            <w:autoSpaceDE w:val="0"/>
            <w:autoSpaceDN w:val="0"/>
            <w:adjustRightInd w:val="0"/>
            <w:spacing w:before="43" w:after="43" w:line="240" w:lineRule="auto"/>
            <w:ind w:left="43" w:right="43"/>
            <w:jc w:val="center"/>
            <w:rPr>
              <w:rFonts w:ascii="Arial" w:hAnsi="Arial" w:cs="Arial"/>
              <w:color w:val="000000"/>
              <w:sz w:val="14"/>
              <w:szCs w:val="14"/>
            </w:rPr>
          </w:pPr>
          <w:r>
            <w:rPr>
              <w:rFonts w:ascii="Arial" w:hAnsi="Arial" w:cs="Arial"/>
              <w:color w:val="000000"/>
              <w:sz w:val="14"/>
              <w:szCs w:val="14"/>
            </w:rPr>
            <w:t>6</w:t>
          </w:r>
        </w:p>
      </w:tc>
      <w:tc>
        <w:tcPr>
          <w:tcW w:w="210" w:type="dxa"/>
          <w:vMerge w:val="restart"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  <w:vAlign w:val="center"/>
        </w:tcPr>
        <w:p w14:paraId="49DAD196" w14:textId="77777777" w:rsidR="00F510DB" w:rsidRDefault="00F510DB" w:rsidP="00F510DB">
          <w:pPr>
            <w:autoSpaceDE w:val="0"/>
            <w:autoSpaceDN w:val="0"/>
            <w:adjustRightInd w:val="0"/>
            <w:spacing w:before="43" w:after="43" w:line="240" w:lineRule="auto"/>
            <w:ind w:left="43" w:right="43"/>
            <w:jc w:val="center"/>
            <w:rPr>
              <w:rFonts w:ascii="Arial" w:hAnsi="Arial" w:cs="Arial"/>
              <w:color w:val="000000"/>
              <w:sz w:val="14"/>
              <w:szCs w:val="14"/>
            </w:rPr>
          </w:pPr>
          <w:r>
            <w:rPr>
              <w:rFonts w:ascii="Arial" w:hAnsi="Arial" w:cs="Arial"/>
              <w:color w:val="000000"/>
              <w:sz w:val="14"/>
              <w:szCs w:val="14"/>
            </w:rPr>
            <w:t>2</w:t>
          </w:r>
        </w:p>
      </w:tc>
      <w:tc>
        <w:tcPr>
          <w:tcW w:w="225" w:type="dxa"/>
          <w:vMerge w:val="restart"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  <w:vAlign w:val="center"/>
        </w:tcPr>
        <w:p w14:paraId="6AA75051" w14:textId="77777777" w:rsidR="00F510DB" w:rsidRDefault="00F510DB" w:rsidP="00F510DB">
          <w:pPr>
            <w:autoSpaceDE w:val="0"/>
            <w:autoSpaceDN w:val="0"/>
            <w:adjustRightInd w:val="0"/>
            <w:spacing w:before="43" w:after="43" w:line="240" w:lineRule="auto"/>
            <w:ind w:left="43" w:right="43"/>
            <w:jc w:val="center"/>
            <w:rPr>
              <w:rFonts w:ascii="Arial" w:hAnsi="Arial" w:cs="Arial"/>
              <w:color w:val="000000"/>
              <w:sz w:val="14"/>
              <w:szCs w:val="14"/>
            </w:rPr>
          </w:pPr>
          <w:r>
            <w:rPr>
              <w:rFonts w:ascii="Arial" w:hAnsi="Arial" w:cs="Arial"/>
              <w:color w:val="000000"/>
              <w:sz w:val="14"/>
              <w:szCs w:val="14"/>
            </w:rPr>
            <w:t>7</w:t>
          </w:r>
        </w:p>
      </w:tc>
      <w:tc>
        <w:tcPr>
          <w:tcW w:w="210" w:type="dxa"/>
          <w:vMerge w:val="restart"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  <w:vAlign w:val="center"/>
        </w:tcPr>
        <w:p w14:paraId="2FC111B0" w14:textId="77777777" w:rsidR="00F510DB" w:rsidRDefault="00F510DB" w:rsidP="00F510DB">
          <w:pPr>
            <w:autoSpaceDE w:val="0"/>
            <w:autoSpaceDN w:val="0"/>
            <w:adjustRightInd w:val="0"/>
            <w:spacing w:before="43" w:after="43" w:line="240" w:lineRule="auto"/>
            <w:ind w:left="43" w:right="43"/>
            <w:jc w:val="center"/>
            <w:rPr>
              <w:rFonts w:ascii="Arial" w:hAnsi="Arial" w:cs="Arial"/>
              <w:color w:val="000000"/>
              <w:sz w:val="14"/>
              <w:szCs w:val="14"/>
            </w:rPr>
          </w:pPr>
          <w:r>
            <w:rPr>
              <w:rFonts w:ascii="Arial" w:hAnsi="Arial" w:cs="Arial"/>
              <w:color w:val="000000"/>
              <w:sz w:val="14"/>
              <w:szCs w:val="14"/>
            </w:rPr>
            <w:t>6</w:t>
          </w:r>
        </w:p>
      </w:tc>
      <w:tc>
        <w:tcPr>
          <w:tcW w:w="225" w:type="dxa"/>
          <w:vMerge w:val="restart"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  <w:vAlign w:val="center"/>
        </w:tcPr>
        <w:p w14:paraId="1CD053BF" w14:textId="77777777" w:rsidR="00F510DB" w:rsidRDefault="00F510DB" w:rsidP="00F510DB">
          <w:pPr>
            <w:autoSpaceDE w:val="0"/>
            <w:autoSpaceDN w:val="0"/>
            <w:adjustRightInd w:val="0"/>
            <w:spacing w:before="43" w:after="43" w:line="240" w:lineRule="auto"/>
            <w:ind w:left="43" w:right="43"/>
            <w:jc w:val="center"/>
            <w:rPr>
              <w:rFonts w:ascii="Arial" w:hAnsi="Arial" w:cs="Arial"/>
              <w:color w:val="000000"/>
              <w:sz w:val="14"/>
              <w:szCs w:val="14"/>
            </w:rPr>
          </w:pPr>
          <w:r>
            <w:rPr>
              <w:rFonts w:ascii="Arial" w:hAnsi="Arial" w:cs="Arial"/>
              <w:color w:val="000000"/>
              <w:sz w:val="14"/>
              <w:szCs w:val="14"/>
            </w:rPr>
            <w:t>6</w:t>
          </w:r>
        </w:p>
      </w:tc>
      <w:tc>
        <w:tcPr>
          <w:tcW w:w="210" w:type="dxa"/>
          <w:vMerge w:val="restart"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  <w:vAlign w:val="center"/>
        </w:tcPr>
        <w:p w14:paraId="7F2992CF" w14:textId="77777777" w:rsidR="00F510DB" w:rsidRDefault="00F510DB" w:rsidP="00F510DB">
          <w:pPr>
            <w:autoSpaceDE w:val="0"/>
            <w:autoSpaceDN w:val="0"/>
            <w:adjustRightInd w:val="0"/>
            <w:spacing w:before="43" w:after="43" w:line="240" w:lineRule="auto"/>
            <w:ind w:left="43" w:right="43"/>
            <w:jc w:val="center"/>
            <w:rPr>
              <w:rFonts w:ascii="Arial" w:hAnsi="Arial" w:cs="Arial"/>
              <w:color w:val="000000"/>
              <w:sz w:val="14"/>
              <w:szCs w:val="14"/>
            </w:rPr>
          </w:pPr>
          <w:r>
            <w:rPr>
              <w:rFonts w:ascii="Arial" w:hAnsi="Arial" w:cs="Arial"/>
              <w:color w:val="000000"/>
              <w:sz w:val="14"/>
              <w:szCs w:val="14"/>
            </w:rPr>
            <w:t>0</w:t>
          </w:r>
        </w:p>
      </w:tc>
      <w:tc>
        <w:tcPr>
          <w:tcW w:w="75" w:type="dxa"/>
          <w:tcBorders>
            <w:top w:val="nil"/>
            <w:left w:val="nil"/>
            <w:bottom w:val="nil"/>
            <w:right w:val="nil"/>
          </w:tcBorders>
        </w:tcPr>
        <w:p w14:paraId="78F219E3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AD8220E" w14:textId="77777777" w:rsidR="00F510DB" w:rsidRDefault="00F510DB" w:rsidP="00F510DB">
          <w:pPr>
            <w:autoSpaceDE w:val="0"/>
            <w:autoSpaceDN w:val="0"/>
            <w:adjustRightInd w:val="0"/>
            <w:spacing w:before="43" w:after="43" w:line="240" w:lineRule="auto"/>
            <w:ind w:left="43" w:right="43"/>
            <w:jc w:val="center"/>
            <w:rPr>
              <w:rFonts w:ascii="Arial" w:hAnsi="Arial" w:cs="Arial"/>
              <w:color w:val="000000"/>
              <w:sz w:val="14"/>
              <w:szCs w:val="14"/>
            </w:rPr>
          </w:pPr>
          <w:r>
            <w:rPr>
              <w:rFonts w:ascii="Arial" w:hAnsi="Arial" w:cs="Arial"/>
              <w:color w:val="000000"/>
              <w:sz w:val="14"/>
              <w:szCs w:val="14"/>
            </w:rPr>
            <w:t>DIČ</w:t>
          </w:r>
        </w:p>
      </w:tc>
      <w:tc>
        <w:tcPr>
          <w:tcW w:w="60" w:type="dxa"/>
          <w:tcBorders>
            <w:top w:val="nil"/>
            <w:left w:val="nil"/>
            <w:bottom w:val="nil"/>
            <w:right w:val="nil"/>
          </w:tcBorders>
        </w:tcPr>
        <w:p w14:paraId="509F7862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225" w:type="dxa"/>
          <w:vMerge w:val="restart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10DA26D7" w14:textId="77777777" w:rsidR="00F510DB" w:rsidRDefault="00F510DB" w:rsidP="00F510DB">
          <w:pPr>
            <w:autoSpaceDE w:val="0"/>
            <w:autoSpaceDN w:val="0"/>
            <w:adjustRightInd w:val="0"/>
            <w:spacing w:before="43" w:after="43" w:line="240" w:lineRule="auto"/>
            <w:ind w:left="43" w:right="43"/>
            <w:jc w:val="center"/>
            <w:rPr>
              <w:rFonts w:ascii="Arial" w:hAnsi="Arial" w:cs="Arial"/>
              <w:color w:val="000000"/>
              <w:sz w:val="14"/>
              <w:szCs w:val="14"/>
            </w:rPr>
          </w:pPr>
          <w:r>
            <w:rPr>
              <w:rFonts w:ascii="Arial" w:hAnsi="Arial" w:cs="Arial"/>
              <w:color w:val="000000"/>
              <w:sz w:val="14"/>
              <w:szCs w:val="14"/>
            </w:rPr>
            <w:t>2</w:t>
          </w:r>
        </w:p>
      </w:tc>
      <w:tc>
        <w:tcPr>
          <w:tcW w:w="210" w:type="dxa"/>
          <w:vMerge w:val="restart"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  <w:vAlign w:val="center"/>
        </w:tcPr>
        <w:p w14:paraId="1C10B46A" w14:textId="77777777" w:rsidR="00F510DB" w:rsidRDefault="00F510DB" w:rsidP="00F510DB">
          <w:pPr>
            <w:autoSpaceDE w:val="0"/>
            <w:autoSpaceDN w:val="0"/>
            <w:adjustRightInd w:val="0"/>
            <w:spacing w:before="43" w:after="43" w:line="240" w:lineRule="auto"/>
            <w:ind w:left="43" w:right="43"/>
            <w:jc w:val="center"/>
            <w:rPr>
              <w:rFonts w:ascii="Arial" w:hAnsi="Arial" w:cs="Arial"/>
              <w:color w:val="000000"/>
              <w:sz w:val="14"/>
              <w:szCs w:val="14"/>
            </w:rPr>
          </w:pPr>
          <w:r>
            <w:rPr>
              <w:rFonts w:ascii="Arial" w:hAnsi="Arial" w:cs="Arial"/>
              <w:color w:val="000000"/>
              <w:sz w:val="14"/>
              <w:szCs w:val="14"/>
            </w:rPr>
            <w:t>1</w:t>
          </w:r>
        </w:p>
      </w:tc>
      <w:tc>
        <w:tcPr>
          <w:tcW w:w="225" w:type="dxa"/>
          <w:vMerge w:val="restart"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  <w:vAlign w:val="center"/>
        </w:tcPr>
        <w:p w14:paraId="47E603B9" w14:textId="77777777" w:rsidR="00F510DB" w:rsidRDefault="00F510DB" w:rsidP="00F510DB">
          <w:pPr>
            <w:autoSpaceDE w:val="0"/>
            <w:autoSpaceDN w:val="0"/>
            <w:adjustRightInd w:val="0"/>
            <w:spacing w:before="43" w:after="43" w:line="240" w:lineRule="auto"/>
            <w:ind w:left="43" w:right="43"/>
            <w:jc w:val="center"/>
            <w:rPr>
              <w:rFonts w:ascii="Arial" w:hAnsi="Arial" w:cs="Arial"/>
              <w:color w:val="000000"/>
              <w:sz w:val="14"/>
              <w:szCs w:val="14"/>
            </w:rPr>
          </w:pPr>
          <w:r>
            <w:rPr>
              <w:rFonts w:ascii="Arial" w:hAnsi="Arial" w:cs="Arial"/>
              <w:color w:val="000000"/>
              <w:sz w:val="14"/>
              <w:szCs w:val="14"/>
            </w:rPr>
            <w:t>2</w:t>
          </w:r>
        </w:p>
      </w:tc>
      <w:tc>
        <w:tcPr>
          <w:tcW w:w="210" w:type="dxa"/>
          <w:vMerge w:val="restart"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  <w:vAlign w:val="center"/>
        </w:tcPr>
        <w:p w14:paraId="5E29B968" w14:textId="77777777" w:rsidR="00F510DB" w:rsidRDefault="00F510DB" w:rsidP="00F510DB">
          <w:pPr>
            <w:autoSpaceDE w:val="0"/>
            <w:autoSpaceDN w:val="0"/>
            <w:adjustRightInd w:val="0"/>
            <w:spacing w:before="43" w:after="43" w:line="240" w:lineRule="auto"/>
            <w:ind w:left="43" w:right="43"/>
            <w:jc w:val="center"/>
            <w:rPr>
              <w:rFonts w:ascii="Arial" w:hAnsi="Arial" w:cs="Arial"/>
              <w:color w:val="000000"/>
              <w:sz w:val="14"/>
              <w:szCs w:val="14"/>
            </w:rPr>
          </w:pPr>
          <w:r>
            <w:rPr>
              <w:rFonts w:ascii="Arial" w:hAnsi="Arial" w:cs="Arial"/>
              <w:color w:val="000000"/>
              <w:sz w:val="14"/>
              <w:szCs w:val="14"/>
            </w:rPr>
            <w:t>0</w:t>
          </w:r>
        </w:p>
      </w:tc>
      <w:tc>
        <w:tcPr>
          <w:tcW w:w="210" w:type="dxa"/>
          <w:vMerge w:val="restart"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  <w:vAlign w:val="center"/>
        </w:tcPr>
        <w:p w14:paraId="01BAA586" w14:textId="77777777" w:rsidR="00F510DB" w:rsidRDefault="00F510DB" w:rsidP="00F510DB">
          <w:pPr>
            <w:autoSpaceDE w:val="0"/>
            <w:autoSpaceDN w:val="0"/>
            <w:adjustRightInd w:val="0"/>
            <w:spacing w:before="43" w:after="43" w:line="240" w:lineRule="auto"/>
            <w:ind w:left="43" w:right="43"/>
            <w:jc w:val="center"/>
            <w:rPr>
              <w:rFonts w:ascii="Arial" w:hAnsi="Arial" w:cs="Arial"/>
              <w:color w:val="000000"/>
              <w:sz w:val="14"/>
              <w:szCs w:val="14"/>
            </w:rPr>
          </w:pPr>
          <w:r>
            <w:rPr>
              <w:rFonts w:ascii="Arial" w:hAnsi="Arial" w:cs="Arial"/>
              <w:color w:val="000000"/>
              <w:sz w:val="14"/>
              <w:szCs w:val="14"/>
            </w:rPr>
            <w:t>4</w:t>
          </w:r>
        </w:p>
      </w:tc>
      <w:tc>
        <w:tcPr>
          <w:tcW w:w="225" w:type="dxa"/>
          <w:vMerge w:val="restart"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  <w:vAlign w:val="center"/>
        </w:tcPr>
        <w:p w14:paraId="706CB7E1" w14:textId="77777777" w:rsidR="00F510DB" w:rsidRDefault="00F510DB" w:rsidP="00F510DB">
          <w:pPr>
            <w:autoSpaceDE w:val="0"/>
            <w:autoSpaceDN w:val="0"/>
            <w:adjustRightInd w:val="0"/>
            <w:spacing w:before="43" w:after="43" w:line="240" w:lineRule="auto"/>
            <w:ind w:left="43" w:right="43"/>
            <w:jc w:val="center"/>
            <w:rPr>
              <w:rFonts w:ascii="Arial" w:hAnsi="Arial" w:cs="Arial"/>
              <w:color w:val="000000"/>
              <w:sz w:val="14"/>
              <w:szCs w:val="14"/>
            </w:rPr>
          </w:pPr>
          <w:r>
            <w:rPr>
              <w:rFonts w:ascii="Arial" w:hAnsi="Arial" w:cs="Arial"/>
              <w:color w:val="000000"/>
              <w:sz w:val="14"/>
              <w:szCs w:val="14"/>
            </w:rPr>
            <w:t>0</w:t>
          </w:r>
        </w:p>
      </w:tc>
      <w:tc>
        <w:tcPr>
          <w:tcW w:w="210" w:type="dxa"/>
          <w:vMerge w:val="restart"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  <w:vAlign w:val="center"/>
        </w:tcPr>
        <w:p w14:paraId="15D72768" w14:textId="77777777" w:rsidR="00F510DB" w:rsidRDefault="00F510DB" w:rsidP="00F510DB">
          <w:pPr>
            <w:autoSpaceDE w:val="0"/>
            <w:autoSpaceDN w:val="0"/>
            <w:adjustRightInd w:val="0"/>
            <w:spacing w:before="43" w:after="43" w:line="240" w:lineRule="auto"/>
            <w:ind w:left="43" w:right="43"/>
            <w:jc w:val="center"/>
            <w:rPr>
              <w:rFonts w:ascii="Arial" w:hAnsi="Arial" w:cs="Arial"/>
              <w:color w:val="000000"/>
              <w:sz w:val="14"/>
              <w:szCs w:val="14"/>
            </w:rPr>
          </w:pPr>
          <w:r>
            <w:rPr>
              <w:rFonts w:ascii="Arial" w:hAnsi="Arial" w:cs="Arial"/>
              <w:color w:val="000000"/>
              <w:sz w:val="14"/>
              <w:szCs w:val="14"/>
            </w:rPr>
            <w:t>5</w:t>
          </w:r>
        </w:p>
      </w:tc>
      <w:tc>
        <w:tcPr>
          <w:tcW w:w="225" w:type="dxa"/>
          <w:vMerge w:val="restart"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  <w:vAlign w:val="center"/>
        </w:tcPr>
        <w:p w14:paraId="7A0F8423" w14:textId="77777777" w:rsidR="00F510DB" w:rsidRDefault="00F510DB" w:rsidP="00F510DB">
          <w:pPr>
            <w:autoSpaceDE w:val="0"/>
            <w:autoSpaceDN w:val="0"/>
            <w:adjustRightInd w:val="0"/>
            <w:spacing w:before="43" w:after="43" w:line="240" w:lineRule="auto"/>
            <w:ind w:left="43" w:right="43"/>
            <w:jc w:val="center"/>
            <w:rPr>
              <w:rFonts w:ascii="Arial" w:hAnsi="Arial" w:cs="Arial"/>
              <w:color w:val="000000"/>
              <w:sz w:val="14"/>
              <w:szCs w:val="14"/>
            </w:rPr>
          </w:pPr>
          <w:r>
            <w:rPr>
              <w:rFonts w:ascii="Arial" w:hAnsi="Arial" w:cs="Arial"/>
              <w:color w:val="000000"/>
              <w:sz w:val="14"/>
              <w:szCs w:val="14"/>
            </w:rPr>
            <w:t>0</w:t>
          </w:r>
        </w:p>
      </w:tc>
      <w:tc>
        <w:tcPr>
          <w:tcW w:w="210" w:type="dxa"/>
          <w:vMerge w:val="restart"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  <w:vAlign w:val="center"/>
        </w:tcPr>
        <w:p w14:paraId="404D3E3B" w14:textId="77777777" w:rsidR="00F510DB" w:rsidRDefault="00F510DB" w:rsidP="00F510DB">
          <w:pPr>
            <w:autoSpaceDE w:val="0"/>
            <w:autoSpaceDN w:val="0"/>
            <w:adjustRightInd w:val="0"/>
            <w:spacing w:before="43" w:after="43" w:line="240" w:lineRule="auto"/>
            <w:ind w:left="43" w:right="43"/>
            <w:jc w:val="center"/>
            <w:rPr>
              <w:rFonts w:ascii="Arial" w:hAnsi="Arial" w:cs="Arial"/>
              <w:color w:val="000000"/>
              <w:sz w:val="14"/>
              <w:szCs w:val="14"/>
            </w:rPr>
          </w:pPr>
          <w:r>
            <w:rPr>
              <w:rFonts w:ascii="Arial" w:hAnsi="Arial" w:cs="Arial"/>
              <w:color w:val="000000"/>
              <w:sz w:val="14"/>
              <w:szCs w:val="14"/>
            </w:rPr>
            <w:t>5</w:t>
          </w:r>
        </w:p>
      </w:tc>
      <w:tc>
        <w:tcPr>
          <w:tcW w:w="210" w:type="dxa"/>
          <w:vMerge w:val="restart"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  <w:vAlign w:val="center"/>
        </w:tcPr>
        <w:p w14:paraId="6E593FA9" w14:textId="77777777" w:rsidR="00F510DB" w:rsidRDefault="00F510DB" w:rsidP="00F510DB">
          <w:pPr>
            <w:autoSpaceDE w:val="0"/>
            <w:autoSpaceDN w:val="0"/>
            <w:adjustRightInd w:val="0"/>
            <w:spacing w:before="43" w:after="43" w:line="240" w:lineRule="auto"/>
            <w:ind w:left="43" w:right="43"/>
            <w:jc w:val="center"/>
            <w:rPr>
              <w:rFonts w:ascii="Arial" w:hAnsi="Arial" w:cs="Arial"/>
              <w:color w:val="000000"/>
              <w:sz w:val="14"/>
              <w:szCs w:val="14"/>
            </w:rPr>
          </w:pPr>
          <w:r>
            <w:rPr>
              <w:rFonts w:ascii="Arial" w:hAnsi="Arial" w:cs="Arial"/>
              <w:color w:val="000000"/>
              <w:sz w:val="14"/>
              <w:szCs w:val="14"/>
            </w:rPr>
            <w:t>6</w:t>
          </w:r>
        </w:p>
      </w:tc>
    </w:tr>
    <w:tr w:rsidR="00F510DB" w14:paraId="1932A3D2" w14:textId="77777777">
      <w:trPr>
        <w:trHeight w:hRule="exact" w:val="30"/>
      </w:trPr>
      <w:tc>
        <w:tcPr>
          <w:tcW w:w="2880" w:type="dxa"/>
          <w:tcBorders>
            <w:top w:val="nil"/>
            <w:left w:val="nil"/>
            <w:bottom w:val="nil"/>
            <w:right w:val="nil"/>
          </w:tcBorders>
        </w:tcPr>
        <w:p w14:paraId="31B7F4BD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3195" w:type="dxa"/>
          <w:tcBorders>
            <w:top w:val="nil"/>
            <w:left w:val="nil"/>
            <w:bottom w:val="nil"/>
            <w:right w:val="nil"/>
          </w:tcBorders>
        </w:tcPr>
        <w:p w14:paraId="7934D67E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14:paraId="7B1585D3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75" w:type="dxa"/>
          <w:tcBorders>
            <w:top w:val="nil"/>
            <w:left w:val="nil"/>
            <w:bottom w:val="nil"/>
            <w:right w:val="nil"/>
          </w:tcBorders>
        </w:tcPr>
        <w:p w14:paraId="03BBD8C8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210" w:type="dxa"/>
          <w:vMerge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8781E23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225" w:type="dxa"/>
          <w:vMerge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</w:tcPr>
        <w:p w14:paraId="1329085F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210" w:type="dxa"/>
          <w:vMerge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</w:tcPr>
        <w:p w14:paraId="2832EE51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210" w:type="dxa"/>
          <w:vMerge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</w:tcPr>
        <w:p w14:paraId="44ED700B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225" w:type="dxa"/>
          <w:vMerge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</w:tcPr>
        <w:p w14:paraId="63F02EEF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210" w:type="dxa"/>
          <w:vMerge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</w:tcPr>
        <w:p w14:paraId="104577F8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225" w:type="dxa"/>
          <w:vMerge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</w:tcPr>
        <w:p w14:paraId="54182335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210" w:type="dxa"/>
          <w:vMerge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</w:tcPr>
        <w:p w14:paraId="3D0B9859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75" w:type="dxa"/>
          <w:tcBorders>
            <w:top w:val="nil"/>
            <w:left w:val="nil"/>
            <w:bottom w:val="nil"/>
            <w:right w:val="nil"/>
          </w:tcBorders>
        </w:tcPr>
        <w:p w14:paraId="00E05DFC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14:paraId="3A82433F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60" w:type="dxa"/>
          <w:tcBorders>
            <w:top w:val="nil"/>
            <w:left w:val="nil"/>
            <w:bottom w:val="nil"/>
            <w:right w:val="nil"/>
          </w:tcBorders>
        </w:tcPr>
        <w:p w14:paraId="325A924B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225" w:type="dxa"/>
          <w:vMerge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7AB1459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210" w:type="dxa"/>
          <w:vMerge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</w:tcPr>
        <w:p w14:paraId="593870A6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225" w:type="dxa"/>
          <w:vMerge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</w:tcPr>
        <w:p w14:paraId="654673BC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210" w:type="dxa"/>
          <w:vMerge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</w:tcPr>
        <w:p w14:paraId="5AD2CE8F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210" w:type="dxa"/>
          <w:vMerge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</w:tcPr>
        <w:p w14:paraId="644B26ED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225" w:type="dxa"/>
          <w:vMerge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</w:tcPr>
        <w:p w14:paraId="32215047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210" w:type="dxa"/>
          <w:vMerge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</w:tcPr>
        <w:p w14:paraId="43118923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225" w:type="dxa"/>
          <w:vMerge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</w:tcPr>
        <w:p w14:paraId="12C6D949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210" w:type="dxa"/>
          <w:vMerge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</w:tcPr>
        <w:p w14:paraId="718A89A0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210" w:type="dxa"/>
          <w:vMerge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</w:tcPr>
        <w:p w14:paraId="6ACEC399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</w:tr>
  </w:tbl>
  <w:p w14:paraId="46C35DAB" w14:textId="77777777" w:rsidR="00F510DB" w:rsidRDefault="00F510DB" w:rsidP="00F510DB">
    <w:pPr>
      <w:autoSpaceDE w:val="0"/>
      <w:autoSpaceDN w:val="0"/>
      <w:adjustRightInd w:val="0"/>
      <w:spacing w:after="0" w:line="240" w:lineRule="auto"/>
      <w:rPr>
        <w:rFonts w:ascii="Times New Roman" w:hAnsi="Times New Roman" w:cs="Times New Roman"/>
        <w:sz w:val="24"/>
        <w:szCs w:val="24"/>
      </w:rPr>
    </w:pPr>
  </w:p>
  <w:p w14:paraId="142A6F35" w14:textId="77777777" w:rsidR="00F510DB" w:rsidRDefault="00F510D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72A1F20"/>
    <w:multiLevelType w:val="hybridMultilevel"/>
    <w:tmpl w:val="F07C769A"/>
    <w:lvl w:ilvl="0" w:tplc="1EC4C2C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6099"/>
    <w:rsid w:val="0006584B"/>
    <w:rsid w:val="000A64F6"/>
    <w:rsid w:val="000E2B41"/>
    <w:rsid w:val="00102A0B"/>
    <w:rsid w:val="001261CB"/>
    <w:rsid w:val="0016524F"/>
    <w:rsid w:val="0017379C"/>
    <w:rsid w:val="001A2B21"/>
    <w:rsid w:val="00225036"/>
    <w:rsid w:val="00227076"/>
    <w:rsid w:val="00256C0B"/>
    <w:rsid w:val="00333BAD"/>
    <w:rsid w:val="00360D3F"/>
    <w:rsid w:val="00363157"/>
    <w:rsid w:val="00370F8A"/>
    <w:rsid w:val="003B13F5"/>
    <w:rsid w:val="003C0676"/>
    <w:rsid w:val="003D4D4B"/>
    <w:rsid w:val="003E164F"/>
    <w:rsid w:val="003E5991"/>
    <w:rsid w:val="004318CC"/>
    <w:rsid w:val="00464FE8"/>
    <w:rsid w:val="00500B87"/>
    <w:rsid w:val="00580918"/>
    <w:rsid w:val="00604116"/>
    <w:rsid w:val="006267C8"/>
    <w:rsid w:val="00641DE3"/>
    <w:rsid w:val="00646A66"/>
    <w:rsid w:val="006B6601"/>
    <w:rsid w:val="00727789"/>
    <w:rsid w:val="0077522E"/>
    <w:rsid w:val="00794C8D"/>
    <w:rsid w:val="00807503"/>
    <w:rsid w:val="008A566B"/>
    <w:rsid w:val="00A6102E"/>
    <w:rsid w:val="00A86099"/>
    <w:rsid w:val="00AE093F"/>
    <w:rsid w:val="00BA1E4E"/>
    <w:rsid w:val="00C46EDA"/>
    <w:rsid w:val="00C756C7"/>
    <w:rsid w:val="00CB1517"/>
    <w:rsid w:val="00CE02E3"/>
    <w:rsid w:val="00D33EEE"/>
    <w:rsid w:val="00D348C4"/>
    <w:rsid w:val="00D809C3"/>
    <w:rsid w:val="00D93259"/>
    <w:rsid w:val="00DD2449"/>
    <w:rsid w:val="00E20333"/>
    <w:rsid w:val="00E41A6F"/>
    <w:rsid w:val="00ED6AB3"/>
    <w:rsid w:val="00F03A1F"/>
    <w:rsid w:val="00F35B0B"/>
    <w:rsid w:val="00F510DB"/>
    <w:rsid w:val="00F65408"/>
    <w:rsid w:val="00F67910"/>
    <w:rsid w:val="00F74959"/>
    <w:rsid w:val="00F8051D"/>
    <w:rsid w:val="00FA652B"/>
    <w:rsid w:val="00FF3F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CD429E"/>
  <w15:chartTrackingRefBased/>
  <w15:docId w15:val="{1C659A9D-2D1F-4D03-8300-F6AA60355B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510D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510DB"/>
  </w:style>
  <w:style w:type="paragraph" w:styleId="Pta">
    <w:name w:val="footer"/>
    <w:basedOn w:val="Normlny"/>
    <w:link w:val="PtaChar"/>
    <w:uiPriority w:val="99"/>
    <w:unhideWhenUsed/>
    <w:rsid w:val="00F510D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510DB"/>
  </w:style>
  <w:style w:type="paragraph" w:styleId="Bezriadkovania">
    <w:name w:val="No Spacing"/>
    <w:uiPriority w:val="1"/>
    <w:qFormat/>
    <w:rsid w:val="00F03A1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8971F8-8579-417F-94D5-77BA89A9D3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2</Pages>
  <Words>549</Words>
  <Characters>3131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Kalas</dc:creator>
  <cp:keywords/>
  <dc:description/>
  <cp:lastModifiedBy>Juraj Kalas</cp:lastModifiedBy>
  <cp:revision>49</cp:revision>
  <dcterms:created xsi:type="dcterms:W3CDTF">2018-03-26T12:33:00Z</dcterms:created>
  <dcterms:modified xsi:type="dcterms:W3CDTF">2021-03-25T16:28:00Z</dcterms:modified>
</cp:coreProperties>
</file>