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2020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965" w:type="dxa"/>
        <w:jc w:val="left"/>
        <w:tblInd w:w="-28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2636"/>
        <w:gridCol w:w="7019"/>
        <w:gridCol w:w="50"/>
        <w:gridCol w:w="60"/>
        <w:gridCol w:w="60"/>
        <w:gridCol w:w="60"/>
        <w:gridCol w:w="6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NANA,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97701 Brezno, Švermova 7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32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05. 06. 2001 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32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32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NANA, s.r.o.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329" w:type="dxa"/>
            <w:gridSpan w:val="6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2020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25" w:hanging="0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748" w:type="dxa"/>
        <w:jc w:val="left"/>
        <w:tblInd w:w="-5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45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89252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bCs w:val="false"/>
                <w:sz w:val="20"/>
                <w:szCs w:val="20"/>
              </w:rPr>
              <w:t>117065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178293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bCs w:val="false"/>
                <w:sz w:val="20"/>
                <w:szCs w:val="20"/>
              </w:rPr>
              <w:t>223252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Arial" w:ascii="Arial" w:hAnsi="Arial"/>
                <w:b w:val="false"/>
                <w:bCs w:val="false"/>
                <w:sz w:val="20"/>
                <w:szCs w:val="20"/>
              </w:rPr>
              <w:t>9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mikro účtovná jednotka. </w:t>
      </w:r>
      <w:r>
        <w:rPr>
          <w:rFonts w:cs="Arial Narrow" w:ascii="Arial Narrow" w:hAnsi="Arial Narrow"/>
          <w:sz w:val="22"/>
          <w:szCs w:val="22"/>
        </w:rPr>
        <w:t xml:space="preserve">V roku 2014 sa UJ rozhodla, že sa nebude považovať za mikro účtovnú jednotku, preto zostavuje účtovnú závierku podľa metodiky pre veľkostnú skupinu </w:t>
      </w:r>
      <w:r>
        <w:rPr>
          <w:rFonts w:cs="Arial Narrow" w:ascii="Arial Narrow" w:hAnsi="Arial Narrow"/>
          <w:b/>
          <w:bCs/>
          <w:sz w:val="22"/>
          <w:szCs w:val="22"/>
        </w:rPr>
        <w:t>malá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cs="Arial Narrow" w:ascii="Arial Narrow" w:hAnsi="Arial Narrow"/>
          <w:b/>
          <w:bCs/>
          <w:sz w:val="22"/>
          <w:szCs w:val="22"/>
        </w:rPr>
        <w:t>30. 03. 2020</w:t>
      </w:r>
    </w:p>
    <w:p>
      <w:pPr>
        <w:pStyle w:val="Normal"/>
        <w:spacing w:before="0" w:after="12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</w:t>
      </w:r>
      <w:r>
        <w:rPr>
          <w:rFonts w:cs="Arial Narrow" w:ascii="Arial Narrow" w:hAnsi="Arial Narrow"/>
          <w:b/>
          <w:bCs/>
          <w:sz w:val="22"/>
          <w:szCs w:val="22"/>
        </w:rPr>
        <w:t>Riadna účtovná závierka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sz w:val="22"/>
          <w:szCs w:val="22"/>
        </w:rPr>
        <w:t>s konsolidáciou: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NANA, s.r.o nie je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súčasťou konsolidovaného celku</w:t>
      </w:r>
    </w:p>
    <w:p>
      <w:pPr>
        <w:pStyle w:val="Normal"/>
        <w:ind w:left="360" w:right="0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a) Obchodné meno a 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najväčšiu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b) Obchodné meno a 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najmenšiu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c) Adresa, kde sa môže vyžiadať kópia vyššie uvedených konsolidovaných účtovných závierok: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Údaj, či účtovná jednotka je materskou účtovnou jednotkou a údaj, či je oslobodená od povinnosti zostaviť konsolidovanú účtovnú závierku a konsolidovanú výročnú správu podľa § 22 zákona o účtovníctve, pričom sa uvádzajú: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pri oslobodení podľa § 22 ods. 8 zákona o účtovníctve obchodné meno a sídlo materskej účtovnej jednotky zostavujúcej konsolidovanú účtovnú závierku podľa osobitných predpisov (IFRS/EÚ):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/>
        <w:t>:</w:t>
      </w:r>
    </w:p>
    <w:tbl>
      <w:tblPr>
        <w:tblW w:w="9927" w:type="dxa"/>
        <w:jc w:val="left"/>
        <w:tblInd w:w="-9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57"/>
        <w:gridCol w:w="2523"/>
        <w:gridCol w:w="25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ind w:left="0" w:right="459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9</w:t>
            </w:r>
          </w:p>
        </w:tc>
      </w:tr>
    </w:tbl>
    <w:p>
      <w:pPr>
        <w:pStyle w:val="Normal"/>
        <w:ind w:left="928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/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9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2"/>
        <w:gridCol w:w="1701"/>
        <w:gridCol w:w="18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konateľka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konateľka</w:t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 </w:t>
      </w:r>
    </w:p>
    <w:p>
      <w:pPr>
        <w:pStyle w:val="Normal"/>
        <w:ind w:left="0" w:right="-141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Učtovné zásady a účtovné metódy boli aplikované v rámci platného zákona o účtovníctve. Počas účtovného obdobia nedošlo k ich zmenám.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3) V účtovnom období nedošlo v spoločnosti NANA, s.r.o. k transakciám, ktoré sa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neuvádzajú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v súvahe   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86" w:type="dxa"/>
        <w:jc w:val="left"/>
        <w:tblInd w:w="-9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6"/>
        <w:gridCol w:w="5300"/>
        <w:gridCol w:w="378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 Narrow" w:ascii="Arial Narrow" w:hAnsi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Nebolo účtované o ZV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riv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ty: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 xml:space="preserve">Majetok a záväzky zabezpečené derivátmi: 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Prenajatý majetok a majetok obstaraný na základe zmluvy o kúpe prenajatej veci: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Trvalé ani prechodné zníženie hodnoty majetku nebolo účtované.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reálnou hodnotou: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NANA, s.r.o. neocenila majetok reálnou hodnotou, lebo nemala k tomu vecnú náplň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NANA, s.r.o. neúčtovala o cenných papieroch, akciách, dlhopisoch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Finančné nástroje</w:t>
      </w:r>
      <w:r>
        <w:rPr>
          <w:rFonts w:cs="Arial Narrow" w:ascii="Arial Narrow" w:hAnsi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listy)-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finančných nástrojoch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Opravné položky</w:t>
      </w:r>
      <w:r>
        <w:rPr>
          <w:rFonts w:cs="Arial Narrow" w:ascii="Arial Narrow" w:hAnsi="Arial Narrow"/>
          <w:sz w:val="22"/>
          <w:szCs w:val="22"/>
        </w:rPr>
        <w:t xml:space="preserve"> k majetku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netvorila OP k majetku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Opravnú položku k dlhodobej pohľadávke</w:t>
      </w:r>
      <w:r>
        <w:rPr>
          <w:rFonts w:cs="Arial Narrow" w:ascii="Arial Narrow" w:hAnsi="Arial Narrow"/>
          <w:sz w:val="22"/>
          <w:szCs w:val="22"/>
        </w:rPr>
        <w:t xml:space="preserve"> a opravnú položku k dlhodobej pôžičke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netvorila OP k pohľadávkam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Rezervy –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ocenila kalkulačnou metódou kvalifikovaného odhadu ich menovitej hodnoty na pokrytie budúcich záväzkov.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cs="Arial Narrow" w:ascii="Arial Narrow" w:hAnsi="Arial Narrow"/>
          <w:sz w:val="22"/>
          <w:szCs w:val="22"/>
          <w:u w:val="single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nemala k tomu vecnú náplň.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používa pri oceňovaní úbytku rovnakého druhu zásob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  <w:t>vážený aritmetický priemer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 xml:space="preserve"> (§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25/5 ZoU; § 22/1 PU).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tabs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g) Tvorba odpisového plánu</w:t>
      </w:r>
      <w:r>
        <w:rPr/>
        <w:t xml:space="preserve"> pre dlhodobý majetok, pričom sa uvádza doba odpisovania, sadzby odpisov a odpisové metódy pre účtovné odpisy:</w:t>
      </w:r>
    </w:p>
    <w:p>
      <w:pPr>
        <w:pStyle w:val="Normal"/>
        <w:tabs>
          <w:tab w:val="left" w:pos="1005" w:leader="none"/>
        </w:tabs>
        <w:jc w:val="both"/>
        <w:rPr/>
      </w:pPr>
      <w:r>
        <w:rPr/>
      </w:r>
    </w:p>
    <w:tbl>
      <w:tblPr>
        <w:tblW w:w="9786" w:type="dxa"/>
        <w:jc w:val="left"/>
        <w:tblInd w:w="-9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4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Samost.hnuteľné veci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nezávisle na daňových odpisoch</w:t>
      </w:r>
      <w:r>
        <w:rPr>
          <w:rFonts w:cs="Arial Narrow" w:ascii="Arial Narrow" w:hAnsi="Arial Narrow"/>
          <w:sz w:val="22"/>
          <w:szCs w:val="22"/>
        </w:rPr>
        <w:t xml:space="preserve">. </w:t>
      </w:r>
      <w:r>
        <w:rPr>
          <w:rFonts w:cs="Arial Narrow" w:ascii="Arial Narrow" w:hAnsi="Arial Narrow"/>
          <w:b/>
          <w:bCs/>
          <w:sz w:val="22"/>
          <w:szCs w:val="22"/>
        </w:rPr>
        <w:t>Majetok sa začína odpisovať v mesiaci, kedy bo</w:t>
      </w:r>
      <w:r>
        <w:rPr>
          <w:rFonts w:cs="Arial Narrow" w:ascii="Arial Narrow" w:hAnsi="Arial Narrow"/>
          <w:sz w:val="22"/>
          <w:szCs w:val="22"/>
        </w:rPr>
        <w:t xml:space="preserve">l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  <w:r>
        <w:rPr>
          <w:rFonts w:cs="Arial Narrow" w:ascii="Arial Narrow" w:hAnsi="Arial Narrow"/>
          <w:sz w:val="22"/>
          <w:szCs w:val="22"/>
        </w:rPr>
        <w:t xml:space="preserve"> Účtovné odpisy vychádzajú z predpokladanej doby používania majetku.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majetku. Podrobný účtovný odpisový plán po položkách sa vedie v podsystéme Majetok s podporou softvéru Pohoda (taktiež daňové odpisy podľa zákona o dani z príjmov).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odpisuje jednotlivé veci alebo relevantné </w:t>
      </w:r>
      <w:r>
        <w:rPr>
          <w:rFonts w:cs="Arial Narrow" w:ascii="Arial Narrow" w:hAnsi="Arial Narrow"/>
          <w:sz w:val="22"/>
          <w:szCs w:val="22"/>
          <w:u w:val="single"/>
        </w:rPr>
        <w:t>súbory hnuteľných vecí</w:t>
      </w:r>
      <w:r>
        <w:rPr>
          <w:rFonts w:cs="Arial Narrow" w:ascii="Arial Narrow" w:hAnsi="Arial Narrow"/>
          <w:sz w:val="22"/>
          <w:szCs w:val="22"/>
        </w:rPr>
        <w:t>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nepoužila </w:t>
      </w:r>
      <w:r>
        <w:rPr>
          <w:rFonts w:cs="Arial Narrow" w:ascii="Arial Narrow" w:hAnsi="Arial Narrow"/>
          <w:sz w:val="22"/>
          <w:szCs w:val="22"/>
          <w:u w:val="single"/>
        </w:rPr>
        <w:t>jednorazový odpis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používa kategóriu drobného dlhodobého 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cs="Arial Narrow" w:ascii="Arial Narrow" w:hAnsi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dobrovoľnú kapitalizáciu úrokov</w:t>
      </w:r>
      <w:r>
        <w:rPr>
          <w:rFonts w:cs="Arial Narrow" w:ascii="Arial Narrow" w:hAnsi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o poskytnutých dotáciách a pri dotáciách na obstaranie majetku sa uvedú zložky majetku a ich ocenenie: </w:t>
      </w:r>
      <w:r>
        <w:rPr>
          <w:rFonts w:cs="Arial Narrow" w:ascii="Arial Narrow" w:hAnsi="Arial Narrow"/>
          <w:i/>
          <w:iCs/>
          <w:sz w:val="22"/>
          <w:szCs w:val="22"/>
        </w:rPr>
        <w:t xml:space="preserve">UJ bola poskytovaná dotácia z UPSVaR na podporu zamestnávania znevýhodneného uchádzača o zamestnanie vo výške  95%  z celkovej ceny práce mesačne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bol poskytnutý finančný príspevok v rámci Projektu Prvá pomoc z UPSVaR, dotácia na nájomné z Ministerstva hospodárstva, dotácia na rozvoj cestovného ruchu z Ministerstva dopravy a CR</w:t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>
      <w:pPr>
        <w:pStyle w:val="Normal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opravách významných chýb minulých období</w:t>
      </w:r>
    </w:p>
    <w:tbl>
      <w:tblPr>
        <w:tblW w:w="9781" w:type="dxa"/>
        <w:jc w:val="left"/>
        <w:tblInd w:w="-9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75"/>
        <w:gridCol w:w="1040"/>
        <w:gridCol w:w="1039"/>
        <w:gridCol w:w="1928"/>
        <w:gridCol w:w="269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a)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goodwille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derivátoch, majetku a záväzkoch zabezpečených derivátmi</w:t>
      </w:r>
    </w:p>
    <w:tbl>
      <w:tblPr>
        <w:tblW w:w="9785" w:type="dxa"/>
        <w:jc w:val="left"/>
        <w:tblInd w:w="-9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655"/>
        <w:gridCol w:w="1135"/>
        <w:gridCol w:w="1135"/>
        <w:gridCol w:w="1844"/>
        <w:gridCol w:w="2016"/>
      </w:tblGrid>
      <w:tr>
        <w:trPr>
          <w:trHeight w:val="153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imanie</w:t>
            </w:r>
          </w:p>
        </w:tc>
      </w:tr>
      <w:tr>
        <w:trPr>
          <w:trHeight w:val="62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109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</w:tbl>
    <w:p>
      <w:pPr>
        <w:pStyle w:val="Normal"/>
        <w:spacing w:before="0" w:after="120"/>
        <w:ind w:left="0" w:right="-141" w:hanging="0"/>
        <w:jc w:val="both"/>
        <w:rPr/>
      </w:pPr>
      <w:r>
        <w:rPr/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záväzkoch so zostatkovou dobou splatnosti dlhšou ako 5 rokov</w:t>
      </w:r>
    </w:p>
    <w:tbl>
      <w:tblPr>
        <w:tblW w:w="989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785"/>
        <w:gridCol w:w="2553"/>
        <w:gridCol w:w="255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spacing w:before="120" w:after="0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120" w:after="0"/>
        <w:ind w:left="0"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zabezpečených záväzkoch</w:t>
      </w:r>
    </w:p>
    <w:tbl>
      <w:tblPr>
        <w:tblW w:w="981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396"/>
        <w:gridCol w:w="2831"/>
        <w:gridCol w:w="2591"/>
      </w:tblGrid>
      <w:tr>
        <w:trPr>
          <w:cantSplit w:val="true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Zabezpečené záväzky</w:t>
            </w:r>
          </w:p>
        </w:tc>
        <w:tc>
          <w:tcPr>
            <w:tcW w:w="5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jc w:val="both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vlastných akciách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výnimočných nákladoch ani výnosoch</w:t>
      </w:r>
    </w:p>
    <w:p>
      <w:pPr>
        <w:pStyle w:val="Normal"/>
        <w:spacing w:before="0" w:after="120"/>
        <w:ind w:left="0" w:right="-471" w:hanging="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ind w:left="0" w:right="-471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podmienený majetok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>
      <w:pPr>
        <w:pStyle w:val="Normal"/>
        <w:numPr>
          <w:ilvl w:val="0"/>
          <w:numId w:val="5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numPr>
          <w:ilvl w:val="0"/>
          <w:numId w:val="5"/>
        </w:numPr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oceniť: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také finančné povinnosti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nesleduje položky na podsúvahových účtoch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tbl>
      <w:tblPr>
        <w:tblW w:w="9785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1"/>
        <w:gridCol w:w="1701"/>
        <w:gridCol w:w="1773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Po závierkovom dni nenastali významné udalosti, ktoré nie sú zohľadnené vo výkazoch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a) </w:t>
      </w:r>
      <w:r>
        <w:rPr>
          <w:rFonts w:cs="Arial Narrow" w:ascii="Arial Narrow" w:hAnsi="Arial Narrow"/>
          <w:sz w:val="22"/>
          <w:szCs w:val="22"/>
          <w:u w:val="single"/>
        </w:rPr>
        <w:t>Pokles alebo zvýšenie trhovej ceny finančného majetku</w:t>
      </w:r>
      <w:r>
        <w:rPr>
          <w:rFonts w:cs="Arial Narrow" w:ascii="Arial Narrow" w:hAnsi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o finančom majetku neúčtovala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</w:t>
      </w:r>
      <w:r>
        <w:rPr>
          <w:rFonts w:cs="Arial Narrow" w:ascii="Arial Narrow" w:hAnsi="Arial Narrow"/>
          <w:sz w:val="22"/>
          <w:szCs w:val="22"/>
          <w:u w:val="single"/>
        </w:rPr>
        <w:t>Dôvody pre zmenu výšky rezerv a opravných položiek</w:t>
      </w:r>
      <w:r>
        <w:rPr>
          <w:rFonts w:cs="Arial Narrow" w:ascii="Arial Narrow" w:hAnsi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udalosti, ktoré by spôsobili zmenu výšky rezerv a OP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Zmena spoločníkov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Spoločníci sa v UJ nezmenili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Prijaté rozhodnutia o predaji účtovnej jednotky alebo jej časti: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neprijala rozhodnutia o predaji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Zmeny významných položiek dlhodobého finančného majetku: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neúčtuje o dlhodobom finančnom majetku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neprerušila svoju činnosť a pokračuje v nej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g) Vydané dlhopisy a iné cenné papiere: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nevydala dlhopisy ani CP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sa nezlúčila, nesplynula ani nezmenila právnu formu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mimoriadne udalosti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j) Získanie alebo odobratie licencií alebo iných povolení významných pre činnosť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nezískala nové licencie, ani jej neboli odobraté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výlučné právo poskytovať služby vo verejnom záujme</w:t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nie je zaradená do osobitnej kategórie priemyselnej výroby</w:t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finančné vzťahy s orgánmi verejnej moci</w:t>
      </w:r>
    </w:p>
    <w:sectPr>
      <w:headerReference w:type="default" r:id="rId2"/>
      <w:footerReference w:type="default" r:id="rId3"/>
      <w:type w:val="nextPage"/>
      <w:pgSz w:w="11906" w:h="16838"/>
      <w:pgMar w:left="1417" w:right="992" w:header="567" w:top="1417" w:footer="567" w:bottom="1417" w:gutter="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ee"/>
    <w:family w:val="swiss"/>
    <w:pitch w:val="variable"/>
  </w:font>
  <w:font w:name="Courier New">
    <w:charset w:val="ee"/>
    <w:family w:val="modern"/>
    <w:pitch w:val="default"/>
  </w:font>
  <w:font w:name="Symbol">
    <w:charset w:val="01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36048721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2020084913</w:t>
    </w:r>
  </w:p>
  <w:p>
    <w:pPr>
      <w:pStyle w:val="Hlavika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hanging="-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3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4"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rFonts w:cs="Arial Narrow"/>
      </w:rPr>
    </w:lvl>
  </w:abstractNum>
  <w:abstractNum w:abstractNumId="5">
    <w:lvl w:ilvl="0">
      <w:start w:val="1"/>
      <w:numFmt w:val="decimal"/>
      <w:lvlText w:val="%1."/>
      <w:lvlJc w:val="left"/>
      <w:pPr>
        <w:ind w:left="360" w:hanging="360"/>
      </w:pPr>
      <w:rPr>
        <w:sz w:val="22"/>
        <w:i/>
        <w:b/>
        <w:szCs w:val="22"/>
        <w:iCs/>
        <w:bCs/>
        <w:rFonts w:ascii="Arial Narrow" w:hAnsi="Arial Narrow" w:cs="Arial Narrow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defaultTabStop w:val="113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eastAsia="zh-CN" w:bidi="ar-SA"/>
    </w:rPr>
  </w:style>
  <w:style w:type="paragraph" w:styleId="Nadpis1">
    <w:name w:val="Heading 1"/>
    <w:basedOn w:val="Normal"/>
    <w:next w:val="Nadpis2"/>
    <w:qFormat/>
    <w:pPr>
      <w:keepNext/>
      <w:numPr>
        <w:ilvl w:val="0"/>
        <w:numId w:val="1"/>
      </w:numPr>
      <w:tabs>
        <w:tab w:val="left" w:pos="5220" w:leader="none"/>
      </w:tabs>
      <w:spacing w:before="240" w:after="60"/>
      <w:ind w:left="4500" w:right="0" w:firstLine="360"/>
      <w:jc w:val="center"/>
      <w:outlineLvl w:val="0"/>
      <w:outlineLvl w:val="0"/>
    </w:pPr>
    <w:rPr>
      <w:b/>
      <w:bCs/>
    </w:rPr>
  </w:style>
  <w:style w:type="paragraph" w:styleId="Nadpis2">
    <w:name w:val="Heading 2"/>
    <w:basedOn w:val="Normal"/>
    <w:next w:val="Normal"/>
    <w:qFormat/>
    <w:pPr>
      <w:keepNext/>
      <w:spacing w:before="0" w:after="120"/>
      <w:jc w:val="center"/>
      <w:outlineLvl w:val="1"/>
    </w:pPr>
    <w:rPr>
      <w:b/>
      <w:bCs/>
    </w:rPr>
  </w:style>
  <w:style w:type="character" w:styleId="WW8Num1z0">
    <w:name w:val="WW8Num1z0"/>
    <w:qFormat/>
    <w:rPr>
      <w:rFonts w:cs="Times New Roman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Wingdings" w:hAnsi="Wingdings" w:cs="Wingdings"/>
      <w:sz w:val="22"/>
      <w:szCs w:val="22"/>
    </w:rPr>
  </w:style>
  <w:style w:type="character" w:styleId="WW8Num3z0">
    <w:name w:val="WW8Num3z0"/>
    <w:qFormat/>
    <w:rPr>
      <w:rFonts w:ascii="Wingdings" w:hAnsi="Wingdings" w:cs="Wingdings"/>
      <w:sz w:val="22"/>
      <w:szCs w:val="22"/>
    </w:rPr>
  </w:style>
  <w:style w:type="character" w:styleId="WW8Num4z0">
    <w:name w:val="WW8Num4z0"/>
    <w:qFormat/>
    <w:rPr>
      <w:rFonts w:ascii="Arial Narrow" w:hAnsi="Arial Narrow" w:cs="Arial Narrow"/>
    </w:rPr>
  </w:style>
  <w:style w:type="character" w:styleId="WW8Num5z0">
    <w:name w:val="WW8Num5z0"/>
    <w:qFormat/>
    <w:rPr>
      <w:rFonts w:ascii="Arial Narrow" w:hAnsi="Arial Narrow" w:cs="Arial Narrow"/>
      <w:b/>
      <w:bCs/>
      <w:i/>
      <w:iCs/>
      <w:sz w:val="22"/>
      <w:szCs w:val="22"/>
    </w:rPr>
  </w:style>
  <w:style w:type="character" w:styleId="Predvolenpsmoodseku">
    <w:name w:val="Predvolené písmo odseku"/>
    <w:qFormat/>
    <w:rPr/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Wingdings" w:hAnsi="Wingdings" w:cs="Wingdings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>
      <w:rFonts w:ascii="Wingdings" w:hAnsi="Wingdings" w:cs="Wingdings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10z0">
    <w:name w:val="WW8Num10z0"/>
    <w:qFormat/>
    <w:rPr>
      <w:rFonts w:ascii="Arial Narrow" w:hAnsi="Arial Narrow" w:eastAsia="Times New Roman" w:cs="Arial Narrow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>
      <w:rFonts w:ascii="Wingdings" w:hAnsi="Wingdings" w:cs="Wingdings"/>
    </w:rPr>
  </w:style>
  <w:style w:type="character" w:styleId="WW8Num11z1">
    <w:name w:val="WW8Num11z1"/>
    <w:qFormat/>
    <w:rPr>
      <w:rFonts w:ascii="Courier New" w:hAnsi="Courier New" w:cs="Courier New"/>
    </w:rPr>
  </w:style>
  <w:style w:type="character" w:styleId="WW8Num11z3">
    <w:name w:val="WW8Num11z3"/>
    <w:qFormat/>
    <w:rPr>
      <w:rFonts w:ascii="Symbol" w:hAnsi="Symbol" w:cs="Symbol"/>
    </w:rPr>
  </w:style>
  <w:style w:type="character" w:styleId="WW8Num12z0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vanish w:val="false"/>
      <w:color w:val="000000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WW8Num14z0">
    <w:name w:val="WW8Num14z0"/>
    <w:qFormat/>
    <w:rPr>
      <w:rFonts w:ascii="Wingdings" w:hAnsi="Wingdings" w:cs="Wingdings"/>
    </w:rPr>
  </w:style>
  <w:style w:type="character" w:styleId="WW8Num14z1">
    <w:name w:val="WW8Num14z1"/>
    <w:qFormat/>
    <w:rPr>
      <w:rFonts w:ascii="Courier New" w:hAnsi="Courier New" w:cs="Courier New"/>
    </w:rPr>
  </w:style>
  <w:style w:type="character" w:styleId="WW8Num14z3">
    <w:name w:val="WW8Num14z3"/>
    <w:qFormat/>
    <w:rPr>
      <w:rFonts w:ascii="Symbol" w:hAnsi="Symbol" w:cs="Symbol"/>
    </w:rPr>
  </w:style>
  <w:style w:type="character" w:styleId="WW8Num16z0">
    <w:name w:val="WW8Num16z0"/>
    <w:qFormat/>
    <w:rPr>
      <w:rFonts w:ascii="Wingdings" w:hAnsi="Wingdings" w:cs="Wingdings"/>
    </w:rPr>
  </w:style>
  <w:style w:type="character" w:styleId="WW8Num16z1">
    <w:name w:val="WW8Num16z1"/>
    <w:qFormat/>
    <w:rPr>
      <w:rFonts w:ascii="Courier New" w:hAnsi="Courier New" w:cs="Courier New"/>
    </w:rPr>
  </w:style>
  <w:style w:type="character" w:styleId="WW8Num16z3">
    <w:name w:val="WW8Num16z3"/>
    <w:qFormat/>
    <w:rPr>
      <w:rFonts w:ascii="Symbol" w:hAnsi="Symbol" w:cs="Symbol"/>
    </w:rPr>
  </w:style>
  <w:style w:type="character" w:styleId="Predvolenpsmoodseku1">
    <w:name w:val="Predvolené písmo odseku1"/>
    <w:qFormat/>
    <w:rPr/>
  </w:style>
  <w:style w:type="character" w:styleId="Nadpis1Char">
    <w:name w:val="Nadpis 1 Char"/>
    <w:qFormat/>
    <w:rPr>
      <w:b/>
      <w:bCs/>
      <w:sz w:val="24"/>
      <w:szCs w:val="24"/>
      <w:lang w:val="sk-SK"/>
    </w:rPr>
  </w:style>
  <w:style w:type="character" w:styleId="Nadpis2Char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>
    <w:name w:val="Text poznámky pod čiarou Char"/>
    <w:qFormat/>
    <w:rPr>
      <w:sz w:val="20"/>
      <w:szCs w:val="20"/>
    </w:rPr>
  </w:style>
  <w:style w:type="character" w:styleId="Znakyprepoznmkupodiarou">
    <w:name w:val="Znaky pre poznámku pod čiarou"/>
    <w:qFormat/>
    <w:rPr>
      <w:vertAlign w:val="superscript"/>
    </w:rPr>
  </w:style>
  <w:style w:type="character" w:styleId="PtaChar">
    <w:name w:val="Päta Char"/>
    <w:qFormat/>
    <w:rPr>
      <w:sz w:val="24"/>
      <w:szCs w:val="24"/>
    </w:rPr>
  </w:style>
  <w:style w:type="character" w:styleId="Slostrany">
    <w:name w:val="Číslo strany"/>
    <w:basedOn w:val="Predvolenpsmoodseku1"/>
    <w:rPr/>
  </w:style>
  <w:style w:type="character" w:styleId="NzovChar">
    <w:name w:val="Názov Char"/>
    <w:qFormat/>
    <w:rPr>
      <w:rFonts w:ascii="Arial Narrow" w:hAnsi="Arial Narrow" w:cs="Arial Narrow"/>
      <w:b/>
      <w:bCs/>
      <w:sz w:val="32"/>
      <w:szCs w:val="32"/>
      <w:lang w:val="sk-SK"/>
    </w:rPr>
  </w:style>
  <w:style w:type="character" w:styleId="HlavikaChar">
    <w:name w:val="Hlavička Char"/>
    <w:qFormat/>
    <w:rPr>
      <w:sz w:val="24"/>
      <w:szCs w:val="24"/>
      <w:lang w:val="sk-SK"/>
    </w:rPr>
  </w:style>
  <w:style w:type="character" w:styleId="ZkladntextChar">
    <w:name w:val="Základný text Char"/>
    <w:qFormat/>
    <w:rPr>
      <w:sz w:val="24"/>
      <w:szCs w:val="24"/>
      <w:lang w:val="en-US"/>
    </w:rPr>
  </w:style>
  <w:style w:type="character" w:styleId="Symbolypreslovanie">
    <w:name w:val="Symboly pre číslovanie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Arial" w:hAnsi="Arial" w:eastAsia="SimSun;宋体" w:cs="Mangal"/>
      <w:sz w:val="28"/>
      <w:szCs w:val="28"/>
    </w:rPr>
  </w:style>
  <w:style w:type="paragraph" w:styleId="Telotextu">
    <w:name w:val="Body Text"/>
    <w:basedOn w:val="Normal"/>
    <w:pPr>
      <w:widowControl w:val="false"/>
      <w:ind w:left="668" w:right="0" w:hanging="567"/>
    </w:pPr>
    <w:rPr>
      <w:rFonts w:cs="Times New Roman"/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kladntext">
    <w:name w:val="Základní text"/>
    <w:qFormat/>
    <w:pPr>
      <w:widowControl/>
      <w:suppressAutoHyphens w:val="true"/>
      <w:spacing w:before="0" w:after="240"/>
      <w:jc w:val="both"/>
    </w:pPr>
    <w:rPr>
      <w:rFonts w:ascii="Times New Roman" w:hAnsi="Times New Roman" w:eastAsia="Arial" w:cs="Times New Roman"/>
      <w:color w:val="000000"/>
      <w:sz w:val="24"/>
      <w:szCs w:val="24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WWNadpis">
    <w:name w:val="WW-Nadpis"/>
    <w:basedOn w:val="Normal"/>
    <w:next w:val="Normal"/>
    <w:qFormat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Podnzov">
    <w:name w:val="Subtitle"/>
    <w:basedOn w:val="Nadpis"/>
    <w:next w:val="Telotextu"/>
    <w:qFormat/>
    <w:pPr>
      <w:jc w:val="center"/>
    </w:pPr>
    <w:rPr>
      <w:i/>
      <w:iCs/>
      <w:sz w:val="28"/>
      <w:szCs w:val="28"/>
    </w:rPr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Application>LibreOffice/5.2.3.3$Windows_X86_64 LibreOffice_project/d54a8868f08a7b39642414cf2c8ef2f228f780cf</Application>
  <Pages>7</Pages>
  <Words>2263</Words>
  <Characters>13780</Characters>
  <CharactersWithSpaces>15895</CharactersWithSpaces>
  <Paragraphs>266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2017-03-24T19:08:00Z</dcterms:created>
  <dc:creator>user</dc:creator>
  <dc:description/>
  <dc:language>sk-SK</dc:language>
  <cp:lastModifiedBy/>
  <cp:lastPrinted>2016-03-19T11:36:00Z</cp:lastPrinted>
  <dcterms:modified xsi:type="dcterms:W3CDTF">2021-03-26T15:51:40Z</dcterms:modified>
  <cp:revision>11</cp:revision>
  <dc:subject/>
  <dc:title>Návrh</dc:title>
</cp:coreProperties>
</file>