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jpeg" ContentType="image/jpeg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_rels/document.xml.rels" ContentType="application/vnd.openxmlformats-package.relationship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Normalpodnadpis"/>
        <w:bidi w:val="0"/>
        <w:ind w:left="0" w:right="0" w:hanging="0"/>
        <w:rPr/>
      </w:pPr>
      <w:r>
        <w:rPr>
          <w:rFonts w:cs="Times New Roman" w:ascii="Arial" w:hAnsi="Arial"/>
          <w:b/>
          <w:sz w:val="22"/>
          <w:szCs w:val="24"/>
        </w:rPr>
        <w:t>1) Názov a sídlo spoločnosti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24"/>
        </w:rPr>
      </w:pPr>
      <w:r>
        <w:rPr>
          <w:rFonts w:cs="Arial Narrow"/>
          <w:sz w:val="18"/>
          <w:szCs w:val="24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/>
      </w:pPr>
      <w:r>
        <w:rPr>
          <w:rFonts w:cs="Arial Narrow"/>
          <w:sz w:val="22"/>
          <w:szCs w:val="24"/>
        </w:rPr>
        <w:t xml:space="preserve">Obchodné meno: TRANS VAT SK s.r.o. 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/>
      </w:pPr>
      <w:r>
        <w:rPr>
          <w:rFonts w:cs="Arial Narrow"/>
          <w:sz w:val="22"/>
          <w:szCs w:val="24"/>
        </w:rPr>
        <w:t>Sídlo: Gajova  4, 81109 Bratislava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zapísaná do obchodného registra dňa:  14.4.2005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b/>
          <w:sz w:val="22"/>
          <w:szCs w:val="24"/>
        </w:rPr>
        <w:t>Hlavné činnosti spoločnosti:</w:t>
        <w:tab/>
      </w:r>
    </w:p>
    <w:tbl>
      <w:tblPr>
        <w:tblW w:w="10687" w:type="dxa"/>
        <w:jc w:val="left"/>
        <w:tblInd w:w="-45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41"/>
        <w:gridCol w:w="145"/>
      </w:tblGrid>
      <w:tr>
        <w:trPr/>
        <w:tc>
          <w:tcPr>
            <w:tcW w:w="10541" w:type="dxa"/>
            <w:tcBorders/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720" w:right="0" w:hanging="360"/>
              <w:jc w:val="left"/>
              <w:rPr>
                <w:lang w:val="cs-CZ"/>
              </w:rPr>
            </w:pPr>
            <w:r>
              <w:rPr>
                <w:sz w:val="22"/>
                <w:szCs w:val="24"/>
                <w:lang w:val="cs-CZ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145" w:type="dxa"/>
            <w:tcBorders/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 </w:t>
            </w:r>
            <w:r>
              <w:rPr>
                <w:sz w:val="22"/>
                <w:szCs w:val="24"/>
                <w:lang w:val="cs-CZ"/>
              </w:rPr>
              <w:t xml:space="preserve"> </w:t>
            </w:r>
          </w:p>
        </w:tc>
      </w:tr>
    </w:tbl>
    <w:p>
      <w:pPr>
        <w:pStyle w:val="Normalpodnadpis"/>
        <w:bidi w:val="0"/>
        <w:spacing w:lineRule="auto" w:line="360"/>
        <w:ind w:left="0" w:right="0" w:hanging="0"/>
        <w:rPr>
          <w:rFonts w:cs="Times New Roman"/>
          <w:vanish/>
          <w:sz w:val="22"/>
          <w:szCs w:val="24"/>
          <w:lang w:val="cs-CZ"/>
        </w:rPr>
      </w:pPr>
      <w:r>
        <w:rPr>
          <w:rFonts w:cs="Times New Roman"/>
          <w:vanish/>
          <w:sz w:val="22"/>
          <w:szCs w:val="24"/>
          <w:lang w:val="cs-CZ"/>
        </w:rPr>
      </w:r>
    </w:p>
    <w:tbl>
      <w:tblPr>
        <w:tblW w:w="10298" w:type="dxa"/>
        <w:jc w:val="left"/>
        <w:tblInd w:w="-45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71"/>
        <w:gridCol w:w="126"/>
      </w:tblGrid>
      <w:tr>
        <w:trPr/>
        <w:tc>
          <w:tcPr>
            <w:tcW w:w="10171" w:type="dxa"/>
            <w:tcBorders/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720" w:right="0" w:hanging="360"/>
              <w:jc w:val="left"/>
              <w:rPr>
                <w:lang w:val="cs-CZ"/>
              </w:rPr>
            </w:pPr>
            <w:r>
              <w:rPr>
                <w:sz w:val="22"/>
                <w:szCs w:val="24"/>
                <w:lang w:val="cs-CZ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 </w:t>
            </w:r>
            <w:r>
              <w:rPr>
                <w:sz w:val="22"/>
                <w:szCs w:val="24"/>
                <w:lang w:val="cs-CZ"/>
              </w:rPr>
              <w:t xml:space="preserve"> </w:t>
            </w:r>
          </w:p>
        </w:tc>
      </w:tr>
    </w:tbl>
    <w:p>
      <w:pPr>
        <w:pStyle w:val="Normalpodnadpis"/>
        <w:bidi w:val="0"/>
        <w:spacing w:lineRule="auto" w:line="360"/>
        <w:ind w:left="0" w:right="0" w:hanging="0"/>
        <w:rPr>
          <w:rFonts w:cs="Times New Roman"/>
          <w:vanish/>
          <w:sz w:val="22"/>
          <w:szCs w:val="24"/>
          <w:lang w:val="cs-CZ"/>
        </w:rPr>
      </w:pPr>
      <w:r>
        <w:rPr>
          <w:rFonts w:cs="Times New Roman"/>
          <w:vanish/>
          <w:sz w:val="22"/>
          <w:szCs w:val="24"/>
          <w:lang w:val="cs-CZ"/>
        </w:rPr>
      </w:r>
    </w:p>
    <w:tbl>
      <w:tblPr>
        <w:tblW w:w="10298" w:type="dxa"/>
        <w:jc w:val="left"/>
        <w:tblInd w:w="-45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71"/>
        <w:gridCol w:w="126"/>
      </w:tblGrid>
      <w:tr>
        <w:trPr/>
        <w:tc>
          <w:tcPr>
            <w:tcW w:w="10171" w:type="dxa"/>
            <w:tcBorders/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720" w:right="0" w:hanging="360"/>
              <w:jc w:val="left"/>
              <w:rPr>
                <w:lang w:val="cs-CZ"/>
              </w:rPr>
            </w:pPr>
            <w:r>
              <w:rPr>
                <w:sz w:val="22"/>
                <w:szCs w:val="24"/>
                <w:lang w:val="cs-CZ"/>
              </w:rPr>
              <w:t xml:space="preserve">sprostredkovateľská činnosť v oblasti obchodu a služieb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left"/>
              <w:rPr>
                <w:lang w:val="cs-CZ"/>
              </w:rPr>
            </w:pPr>
            <w:r>
              <w:rPr>
                <w:rFonts w:cs="Times New Roman" w:ascii="Times New Roman" w:hAnsi="Times New Roman"/>
                <w:sz w:val="22"/>
                <w:szCs w:val="24"/>
                <w:lang w:val="cs-CZ"/>
              </w:rPr>
              <w:t> </w:t>
            </w:r>
            <w:r>
              <w:rPr>
                <w:rFonts w:ascii="Times New Roman" w:hAnsi="Times New Roman"/>
                <w:sz w:val="22"/>
                <w:szCs w:val="24"/>
                <w:lang w:val="cs-CZ"/>
              </w:rPr>
              <w:t xml:space="preserve"> </w:t>
            </w:r>
          </w:p>
        </w:tc>
      </w:tr>
    </w:tbl>
    <w:p>
      <w:pPr>
        <w:pStyle w:val="Normalpodnadpis"/>
        <w:bidi w:val="0"/>
        <w:spacing w:lineRule="auto" w:line="360"/>
        <w:ind w:left="0" w:right="0" w:hanging="0"/>
        <w:rPr>
          <w:rFonts w:cs="Times New Roman"/>
          <w:vanish/>
          <w:sz w:val="22"/>
          <w:szCs w:val="24"/>
          <w:lang w:val="cs-CZ"/>
        </w:rPr>
      </w:pPr>
      <w:r>
        <w:rPr>
          <w:rFonts w:cs="Times New Roman"/>
          <w:vanish/>
          <w:sz w:val="22"/>
          <w:szCs w:val="24"/>
          <w:lang w:val="cs-CZ"/>
        </w:rPr>
      </w:r>
    </w:p>
    <w:tbl>
      <w:tblPr>
        <w:tblW w:w="10298" w:type="dxa"/>
        <w:jc w:val="left"/>
        <w:tblInd w:w="-45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71"/>
        <w:gridCol w:w="126"/>
      </w:tblGrid>
      <w:tr>
        <w:trPr/>
        <w:tc>
          <w:tcPr>
            <w:tcW w:w="10171" w:type="dxa"/>
            <w:tcBorders/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720" w:right="0" w:hanging="360"/>
              <w:jc w:val="left"/>
              <w:rPr>
                <w:lang w:val="cs-CZ"/>
              </w:rPr>
            </w:pPr>
            <w:r>
              <w:rPr>
                <w:sz w:val="22"/>
                <w:szCs w:val="24"/>
                <w:lang w:val="cs-CZ"/>
              </w:rPr>
              <w:t xml:space="preserve">faktoring a forfaiting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left"/>
              <w:rPr>
                <w:lang w:val="cs-CZ"/>
              </w:rPr>
            </w:pPr>
            <w:r>
              <w:rPr>
                <w:rFonts w:cs="Times New Roman" w:ascii="Times New Roman" w:hAnsi="Times New Roman"/>
                <w:sz w:val="22"/>
                <w:szCs w:val="24"/>
                <w:lang w:val="cs-CZ"/>
              </w:rPr>
              <w:t> </w:t>
            </w:r>
            <w:r>
              <w:rPr>
                <w:rFonts w:ascii="Times New Roman" w:hAnsi="Times New Roman"/>
                <w:sz w:val="22"/>
                <w:szCs w:val="24"/>
                <w:lang w:val="cs-CZ"/>
              </w:rPr>
              <w:t xml:space="preserve"> </w:t>
            </w:r>
          </w:p>
        </w:tc>
      </w:tr>
    </w:tbl>
    <w:p>
      <w:pPr>
        <w:pStyle w:val="Normalpodnadpis"/>
        <w:bidi w:val="0"/>
        <w:spacing w:lineRule="auto" w:line="360"/>
        <w:ind w:left="0" w:right="0" w:hanging="0"/>
        <w:rPr>
          <w:rFonts w:cs="Times New Roman"/>
          <w:vanish/>
          <w:sz w:val="22"/>
          <w:szCs w:val="24"/>
          <w:lang w:val="cs-CZ"/>
        </w:rPr>
      </w:pPr>
      <w:r>
        <w:rPr>
          <w:rFonts w:cs="Times New Roman"/>
          <w:vanish/>
          <w:sz w:val="22"/>
          <w:szCs w:val="24"/>
          <w:lang w:val="cs-CZ"/>
        </w:rPr>
      </w:r>
    </w:p>
    <w:tbl>
      <w:tblPr>
        <w:tblW w:w="10294" w:type="dxa"/>
        <w:jc w:val="left"/>
        <w:tblInd w:w="-45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294"/>
      </w:tblGrid>
      <w:tr>
        <w:trPr/>
        <w:tc>
          <w:tcPr>
            <w:tcW w:w="10294" w:type="dxa"/>
            <w:tcBorders/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720" w:right="0" w:hanging="360"/>
              <w:jc w:val="left"/>
              <w:rPr>
                <w:lang w:val="cs-CZ"/>
              </w:rPr>
            </w:pPr>
            <w:r>
              <w:rPr>
                <w:sz w:val="22"/>
                <w:szCs w:val="24"/>
                <w:lang w:val="cs-CZ"/>
              </w:rPr>
              <w:t xml:space="preserve">administratívne práce 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b/>
          <w:sz w:val="22"/>
          <w:szCs w:val="24"/>
        </w:rPr>
        <w:t>(2) Údaje o konsolidovanom celku, a to</w:t>
      </w:r>
    </w:p>
    <w:p>
      <w:pPr>
        <w:pStyle w:val="Styl2"/>
        <w:tabs>
          <w:tab w:val="left" w:pos="1440" w:leader="none"/>
          <w:tab w:val="left" w:pos="2149" w:leader="none"/>
          <w:tab w:val="left" w:pos="2433" w:leader="none"/>
        </w:tabs>
        <w:bidi w:val="0"/>
        <w:ind w:left="426" w:right="0" w:hanging="142"/>
        <w:rPr/>
      </w:pPr>
      <w:r>
        <w:rPr>
          <w:b w:val="false"/>
          <w:bCs w:val="false"/>
          <w:i w:val="false"/>
          <w:iCs w:val="false"/>
          <w:sz w:val="22"/>
          <w:szCs w:val="24"/>
        </w:rPr>
        <w:t xml:space="preserve"> </w:t>
      </w:r>
      <w:r>
        <w:rPr>
          <w:b w:val="false"/>
          <w:bCs w:val="false"/>
          <w:i w:val="false"/>
          <w:iCs w:val="false"/>
          <w:sz w:val="22"/>
          <w:szCs w:val="24"/>
        </w:rPr>
        <w:t>Informácie o</w:t>
      </w:r>
      <w:r>
        <w:rPr>
          <w:rFonts w:cs="Times New Roman"/>
          <w:b w:val="false"/>
          <w:bCs w:val="false"/>
          <w:i w:val="false"/>
          <w:iCs w:val="false"/>
          <w:sz w:val="22"/>
          <w:szCs w:val="24"/>
        </w:rPr>
        <w:t> </w:t>
      </w:r>
      <w:r>
        <w:rPr>
          <w:b w:val="false"/>
          <w:bCs w:val="false"/>
          <w:i w:val="false"/>
          <w:iCs w:val="false"/>
          <w:sz w:val="22"/>
          <w:szCs w:val="24"/>
        </w:rPr>
        <w:t>konsolidujúcej účtovnej jednotke, ktorá zostavuje konsolidovanú účtovnú závierku za tú skupinu účtovných jednotiek konsolidovaného celku, ktorého súčasťou je aj účtovná jednotka.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Obchodné meno:</w:t>
        <w:tab/>
        <w:t>NEGOMETAL  PARTICIPATIONS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Sídlo:</w:t>
        <w:tab/>
        <w:tab/>
        <w:t>Place de la République 5,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rFonts w:cs="Times New Roman"/>
          <w:sz w:val="22"/>
          <w:szCs w:val="24"/>
        </w:rPr>
        <w:tab/>
        <w:tab/>
        <w:tab/>
      </w:r>
      <w:r>
        <w:rPr>
          <w:sz w:val="22"/>
          <w:szCs w:val="24"/>
        </w:rPr>
        <w:t>Bayonne  641 00, FRANCE</w:t>
      </w:r>
    </w:p>
    <w:p>
      <w:pPr>
        <w:pStyle w:val="Normalpodnadpis"/>
        <w:tabs>
          <w:tab w:val="clear" w:pos="708"/>
          <w:tab w:val="left" w:pos="567" w:leader="none"/>
        </w:tabs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keepNext w:val="true"/>
        <w:tabs>
          <w:tab w:val="clear" w:pos="708"/>
          <w:tab w:val="left" w:pos="284" w:leader="none"/>
          <w:tab w:val="left" w:pos="2433" w:leader="none"/>
        </w:tabs>
        <w:bidi w:val="0"/>
        <w:spacing w:lineRule="auto" w:line="360" w:before="0" w:after="0"/>
        <w:ind w:left="284" w:right="0" w:hanging="0"/>
        <w:jc w:val="left"/>
        <w:rPr/>
      </w:pPr>
      <w:r>
        <w:rPr>
          <w:b/>
          <w:sz w:val="22"/>
          <w:szCs w:val="24"/>
        </w:rPr>
        <w:t>b) údaj, či účtovná jednotka je materskou účtovnou jednotkou a údaj, či je oslobodená od povinnosti zostaviť konsolidovanú účtovnú závierku a konsolidovanú výročnú správu podľa § 22 zákona,</w:t>
      </w:r>
    </w:p>
    <w:p>
      <w:pPr>
        <w:pStyle w:val="Normalpodnadpis"/>
        <w:bidi w:val="0"/>
        <w:spacing w:lineRule="auto" w:line="360" w:before="0" w:after="0"/>
        <w:ind w:left="426" w:right="0" w:hanging="0"/>
        <w:jc w:val="left"/>
        <w:rPr/>
      </w:pPr>
      <w:r>
        <w:rPr>
          <w:sz w:val="22"/>
          <w:szCs w:val="24"/>
        </w:rPr>
        <w:t>Obchodné meno – materská spoločnost::  NEGOMETAL  PARTICIPATIONS</w:t>
      </w:r>
    </w:p>
    <w:p>
      <w:pPr>
        <w:pStyle w:val="Normalpodnadpis"/>
        <w:bidi w:val="0"/>
        <w:spacing w:lineRule="auto" w:line="360" w:before="0" w:after="0"/>
        <w:ind w:left="426" w:right="0" w:hanging="0"/>
        <w:jc w:val="left"/>
        <w:rPr/>
      </w:pPr>
      <w:r>
        <w:rPr>
          <w:sz w:val="22"/>
          <w:szCs w:val="24"/>
        </w:rPr>
        <w:t>Sídlo MÚJ:   Place de la République 5, Bayonne  641 00, FRANCE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before="0" w:after="120"/>
        <w:ind w:left="0" w:right="0" w:hanging="0"/>
        <w:jc w:val="left"/>
        <w:rPr/>
      </w:pPr>
      <w:r>
        <w:rPr>
          <w:sz w:val="22"/>
          <w:szCs w:val="22"/>
        </w:rPr>
        <w:t xml:space="preserve">(3) </w:t>
      </w:r>
      <w:r>
        <w:rPr>
          <w:sz w:val="22"/>
          <w:szCs w:val="22"/>
        </w:rPr>
        <w:t>P</w:t>
      </w:r>
      <w:r>
        <w:rPr>
          <w:sz w:val="22"/>
          <w:szCs w:val="22"/>
        </w:rPr>
        <w:t>riemerný prepočítaný počet zamestnancov</w:t>
      </w:r>
    </w:p>
    <w:p>
      <w:pPr>
        <w:pStyle w:val="Normalpodnadpis"/>
        <w:bidi w:val="0"/>
        <w:spacing w:before="0" w:after="120"/>
        <w:ind w:left="142" w:right="0" w:hanging="0"/>
        <w:jc w:val="left"/>
        <w:rPr/>
      </w:pPr>
      <w:r>
        <w:rPr>
          <w:b/>
          <w:sz w:val="22"/>
          <w:szCs w:val="22"/>
        </w:rPr>
        <w:t>Tabuľka k zamestnancom</w:t>
      </w:r>
    </w:p>
    <w:tbl>
      <w:tblPr>
        <w:tblW w:w="9748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2"/>
        <w:gridCol w:w="2366"/>
        <w:gridCol w:w="2520"/>
      </w:tblGrid>
      <w:tr>
        <w:trPr>
          <w:trHeight w:val="558" w:hRule="atLeast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4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5</w:t>
            </w:r>
          </w:p>
        </w:tc>
      </w:tr>
      <w:tr>
        <w:trPr>
          <w:trHeight w:val="391" w:hRule="atLeast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4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5</w:t>
            </w:r>
          </w:p>
        </w:tc>
      </w:tr>
      <w:tr>
        <w:trPr>
          <w:trHeight w:val="391" w:hRule="atLeast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 Narrow"/>
              </w:rPr>
              <w:t>0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 Narrow"/>
              </w:rPr>
              <w:t>0</w:t>
            </w:r>
          </w:p>
        </w:tc>
      </w:tr>
    </w:tbl>
    <w:p>
      <w:pPr>
        <w:pStyle w:val="Normalpodnadpis"/>
        <w:bidi w:val="0"/>
        <w:spacing w:before="0" w:after="120"/>
        <w:ind w:left="567" w:right="0" w:hanging="0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szCs w:val="24"/>
        </w:rPr>
      </w:pPr>
      <w:r>
        <w:rPr>
          <w:rFonts w:cs="Times New Roman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(1) Informácia,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splnenia predpokladu, že účtovná jednotka bude nepretržite pokračovať vo svojej činnosti.  </w:t>
      </w:r>
    </w:p>
    <w:p>
      <w:pPr>
        <w:pStyle w:val="Normalpodnadpis"/>
        <w:bidi w:val="0"/>
        <w:spacing w:lineRule="auto" w:line="360"/>
        <w:ind w:left="0" w:right="-141" w:hanging="0"/>
        <w:rPr/>
      </w:pPr>
      <w:r>
        <w:rPr>
          <w:sz w:val="22"/>
          <w:szCs w:val="24"/>
        </w:rPr>
        <w:t xml:space="preserve">Účtovná závierka bola zostavená za splnenia predpokladu, že účtovná jednotka bude </w:t>
      </w:r>
      <w:r>
        <w:rPr>
          <w:b/>
          <w:sz w:val="22"/>
          <w:szCs w:val="24"/>
        </w:rPr>
        <w:t>nepretržite pokračovať</w:t>
      </w:r>
      <w:r>
        <w:rPr>
          <w:sz w:val="22"/>
          <w:szCs w:val="24"/>
        </w:rPr>
        <w:t xml:space="preserve"> vo svojej činnosti minimálne 12 mesiacov po závierkovom dni v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zmysle § 7 ods. 4 zákona o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účtovníctve.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(2) Spôsob oceňovania jednotlivých položiek majetku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záväzkov, a to</w:t>
      </w:r>
    </w:p>
    <w:p>
      <w:pPr>
        <w:pStyle w:val="Normalpodnadpis"/>
        <w:bidi w:val="0"/>
        <w:spacing w:lineRule="auto" w:line="360" w:before="0" w:after="120"/>
        <w:ind w:left="284" w:right="0" w:hanging="0"/>
        <w:rPr/>
      </w:pPr>
      <w:r>
        <w:rPr>
          <w:sz w:val="22"/>
          <w:szCs w:val="24"/>
        </w:rPr>
        <w:t>a) dlhodobého nehmotného majetku, dlhodobého hmotného majetku a dlhodobého finančného majetku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36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zásob obstaraných kúpou, zásob vytvorených vlastnou činnosťou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36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Pohľadávok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36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krátkodobého finančného majetku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36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záväzkov vrátane rezerv, dlhopisov, pôžičiek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úverov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360"/>
        <w:rPr/>
      </w:pPr>
      <w:r>
        <w:rPr>
          <w:sz w:val="22"/>
          <w:szCs w:val="24"/>
        </w:rPr>
        <w:t>derivátových operácií – obstarávacia cena</w:t>
      </w:r>
    </w:p>
    <w:p>
      <w:pPr>
        <w:pStyle w:val="Normalpodnadpis"/>
        <w:bidi w:val="0"/>
        <w:spacing w:lineRule="auto" w:line="360" w:before="0" w:after="120"/>
        <w:ind w:left="644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(3) Spôsob zostavenia odpisového plánu pre jednotlivé druhy dlhodobého hmotného majetku 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dlhodobého nehmotného majetku, pričom sa uvádza doba odpisovania, použité sadzby odpisov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odpisové metódy pri určení odpisov.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szCs w:val="24"/>
        </w:rPr>
      </w:pPr>
      <w:r>
        <w:rPr>
          <w:rFonts w:cs="Times New Roman"/>
          <w:szCs w:val="24"/>
        </w:rPr>
      </w:r>
    </w:p>
    <w:tbl>
      <w:tblPr>
        <w:tblW w:w="8266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5"/>
        <w:gridCol w:w="1884"/>
        <w:gridCol w:w="1939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odpisovaný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účtu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(počet rokov)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(%)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Software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013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4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25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 xml:space="preserve">Ostatný DNM 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019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4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25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Stavby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021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25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4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Počítače s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sz w:val="22"/>
                <w:szCs w:val="24"/>
              </w:rPr>
              <w:t>príslušenstvom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022.A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5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20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Dopravné prostriedky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023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7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14,3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Ostatné stroje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022.A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7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14,3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120" w:after="120"/>
              <w:ind w:left="0" w:right="0" w:hanging="0"/>
              <w:rPr/>
            </w:pPr>
            <w:r>
              <w:rPr>
                <w:sz w:val="22"/>
                <w:szCs w:val="24"/>
              </w:rPr>
              <w:t>Ostatný dlhodobý hmotný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029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5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22"/>
                <w:szCs w:val="24"/>
              </w:rPr>
              <w:t>20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(4) Zmeny účtovných zásad a zmeny účtovných metód s uvedením dôvodu týchto zmien a vyčíslením ich vplyvu na finančnú hodnotu majetku, záväzkov, základného imania a výsledku hospodárenia účtovnej jednotky. - Neboli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(5) Informácie o dotáciách a ich oceňovanie v účtovníctve. – Nie je plnenie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– Neboli.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szCs w:val="24"/>
        </w:rPr>
      </w:pPr>
      <w:r>
        <w:rPr>
          <w:rFonts w:cs="Times New Roman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III  INFORMÁCIE, KTORÉ DOPĹŇAJÚ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VYSVETĽUJÚ SÚVAHU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- Neboli.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 xml:space="preserve">Informácie o </w:t>
      </w:r>
      <w:r>
        <w:rPr>
          <w:sz w:val="22"/>
          <w:szCs w:val="24"/>
        </w:rPr>
        <w:t xml:space="preserve">obchodných </w:t>
      </w:r>
      <w:r>
        <w:rPr>
          <w:sz w:val="22"/>
          <w:szCs w:val="24"/>
        </w:rPr>
        <w:t>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 xml:space="preserve">a) celkovej sume </w:t>
      </w:r>
      <w:r>
        <w:rPr>
          <w:sz w:val="22"/>
          <w:szCs w:val="24"/>
        </w:rPr>
        <w:t xml:space="preserve">obchodných </w:t>
      </w:r>
      <w:r>
        <w:rPr>
          <w:sz w:val="22"/>
          <w:szCs w:val="24"/>
        </w:rPr>
        <w:t>záväzkov so zostatkovou dobou splatnosti dlhšou ako päť rokov,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zabezpečených záväzkov, opis a spôsoby zabezpečenia záväzkov.</w:t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  <w:szCs w:val="24"/>
        </w:rPr>
        <w:t>Tabuľka k</w:t>
      </w:r>
      <w:r>
        <w:rPr>
          <w:rFonts w:cs="Times New Roman"/>
          <w:b/>
          <w:sz w:val="22"/>
          <w:szCs w:val="24"/>
        </w:rPr>
        <w:t> </w:t>
      </w:r>
      <w:r>
        <w:rPr>
          <w:b/>
          <w:sz w:val="22"/>
          <w:szCs w:val="24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9"/>
        <w:gridCol w:w="2813"/>
        <w:gridCol w:w="3198"/>
      </w:tblGrid>
      <w:tr>
        <w:trPr/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účtovné obdobie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szCs w:val="24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szCs w:val="24"/>
                <w:lang w:eastAsia="sk-SK"/>
              </w:rPr>
              <w:t>9 956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szCs w:val="24"/>
                <w:lang w:eastAsia="sk-SK"/>
              </w:rPr>
              <w:t>17 125</w:t>
            </w:r>
          </w:p>
        </w:tc>
      </w:tr>
      <w:tr>
        <w:trPr>
          <w:trHeight w:val="391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18"/>
                <w:szCs w:val="24"/>
                <w:lang w:eastAsia="sk-SK"/>
              </w:rPr>
              <w:t>2 066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sz w:val="18"/>
                <w:szCs w:val="24"/>
                <w:lang w:eastAsia="sk-SK"/>
              </w:rPr>
              <w:t>2 234</w:t>
            </w:r>
          </w:p>
        </w:tc>
      </w:tr>
      <w:tr>
        <w:trPr>
          <w:trHeight w:val="447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</w:rPr>
              <w:t>12 022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</w:rPr>
              <w:t>19 359</w:t>
            </w:r>
          </w:p>
        </w:tc>
      </w:tr>
      <w:tr>
        <w:trPr/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szCs w:val="24"/>
              </w:rPr>
              <w:t>13 536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szCs w:val="24"/>
              </w:rPr>
              <w:t>3  563</w:t>
            </w:r>
          </w:p>
        </w:tc>
      </w:tr>
      <w:tr>
        <w:trPr>
          <w:trHeight w:val="478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</w:rPr>
              <w:t>13 536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</w:rPr>
              <w:t>3 563</w:t>
            </w:r>
          </w:p>
        </w:tc>
      </w:tr>
      <w:tr>
        <w:trPr>
          <w:trHeight w:val="409" w:hRule="atLeast"/>
        </w:trPr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a</w:t>
            </w:r>
            <w:r>
              <w:rPr>
                <w:rFonts w:cs="Times New Roman"/>
                <w:b/>
                <w:sz w:val="18"/>
                <w:szCs w:val="24"/>
              </w:rPr>
              <w:t> </w:t>
            </w: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b/>
                <w:sz w:val="18"/>
                <w:szCs w:val="24"/>
              </w:rPr>
              <w:t>25 558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ascii="Times New Roman" w:hAnsi="Times New Roman"/>
                <w:b/>
                <w:sz w:val="18"/>
                <w:szCs w:val="24"/>
              </w:rPr>
              <w:t>22 922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>(3) Informácie o vlastných akciách – spoločnosť nemá vlastné akcie</w:t>
      </w:r>
    </w:p>
    <w:p>
      <w:pPr>
        <w:pStyle w:val="Normalpodnadpis"/>
        <w:bidi w:val="0"/>
        <w:spacing w:lineRule="auto" w:line="360"/>
        <w:ind w:left="180" w:right="0" w:hanging="18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výške jednotlivých druhov záruk alebo iných zabezpečení poskytnutých pre členov štatutárneho orgánu, dozorného orgánu a iného orgánu účtovnej jednotky, a to v členení za jednotlivé orgány – nie je plnenie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pôžičkách poskytnutých členom štatutárneho orgánu, dozorného orgánu a iného orgánu účtovnej jednotky – nie je plnenie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hlavných podmienkach, na základe ktorých im boli záruky alebo iné zabezpečenie a pôžičky poskytnuté; pri pôžičkách sa uvádzajú úrokové sadzby – 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použitých finančných prostriedkov alebo iného plnenia na súkromné účely členmi štatutárneho orgánu, dozorného orgánu a iného orgánu účtovnej jednotky, ktoré je potrebné vyúčtovať - Neboli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– Nie su.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2b. výška tejto povinnosti sa nedá spoľahlivo oceniť</w:t>
      </w:r>
      <w:r>
        <w:rPr>
          <w:rFonts w:cs="Times New Roman"/>
          <w:sz w:val="22"/>
          <w:szCs w:val="24"/>
        </w:rPr>
        <w:t>,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opise významných finančných povinností a významných podmienených záväzkov – 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významných finančných povinností a významných podmienených záväzkoch voči dcérskej účtovnej jednotke a účtovnej jednotke s podstatným vplyvom – 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e) opise významných povinností účtovnej jednotky vyplývajúcich z dôchodkových programov pre zamestnancov – 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Default"/>
        <w:bidi w:val="0"/>
        <w:ind w:left="0" w:right="0" w:hanging="0"/>
        <w:rPr>
          <w:rFonts w:ascii="Times New Roman" w:hAnsi="Times New Roman"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ascii="Arial Narrow" w:hAnsi="Arial Narrow"/>
          <w:sz w:val="22"/>
          <w:szCs w:val="22"/>
        </w:rPr>
      </w:pPr>
      <w:r>
        <w:rPr/>
      </w:r>
      <w:bookmarkStart w:id="0" w:name="ADRESA_END"/>
      <w:bookmarkStart w:id="1" w:name="ADRESA"/>
      <w:bookmarkStart w:id="2" w:name="ONAME_END"/>
      <w:bookmarkStart w:id="3" w:name="ONAME"/>
      <w:bookmarkStart w:id="4" w:name="ADRESA_END"/>
      <w:bookmarkStart w:id="5" w:name="ADRESA"/>
      <w:bookmarkStart w:id="6" w:name="ONAME_END"/>
      <w:bookmarkStart w:id="7" w:name="ONAME"/>
      <w:bookmarkEnd w:id="4"/>
      <w:bookmarkEnd w:id="5"/>
      <w:bookmarkEnd w:id="6"/>
      <w:bookmarkEnd w:id="7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8" w:name="DICHLAV"/>
                          <w:bookmarkEnd w:id="8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2021998528</w:t>
                          </w:r>
                          <w:bookmarkStart w:id="9" w:name="DICHLAV_END"/>
                          <w:bookmarkEnd w:id="9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10" w:name="DICHLAV"/>
                    <w:bookmarkEnd w:id="10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2021998528</w:t>
                    </w:r>
                    <w:bookmarkStart w:id="11" w:name="DICHLAV_END"/>
                    <w:bookmarkEnd w:id="11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2" w:name="ICOHLAV"/>
                          <w:bookmarkEnd w:id="12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35930411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4" w:name="ICOHLAV"/>
                    <w:bookmarkEnd w:id="14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35930411</w:t>
                    </w:r>
                    <w:bookmarkStart w:id="15" w:name="ICOHLAV_END"/>
                    <w:bookmarkEnd w:id="15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footer" Target="footer1.xml"/><Relationship Id="rId7" Type="http://schemas.openxmlformats.org/officeDocument/2006/relationships/customXml" Target="../customXml/item2.xml"/><Relationship Id="rId2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settings" Target="settings.xml"/><Relationship Id="rId4" Type="http://schemas.openxmlformats.org/officeDocument/2006/relationships/fontTable" Target="fontTable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7E8BDDAF1AB84ABF003215E6828D51" ma:contentTypeVersion="26" ma:contentTypeDescription="Vytvoří nový dokument" ma:contentTypeScope="" ma:versionID="e662108cf7f42855cd76993b24edf79e">
  <xsd:schema xmlns:xsd="http://www.w3.org/2001/XMLSchema" xmlns:xs="http://www.w3.org/2001/XMLSchema" xmlns:p="http://schemas.microsoft.com/office/2006/metadata/properties" xmlns:ns2="b9ce9ebe-e734-4dc8-9448-c0c87f9d5c3f" xmlns:ns3="606378dd-05e7-4f46-9a1a-3a8d36bce8e6" targetNamespace="http://schemas.microsoft.com/office/2006/metadata/properties" ma:root="true" ma:fieldsID="7e688dd4500a34cf937851e5f1cf3413" ns2:_="" ns3:_="">
    <xsd:import namespace="b9ce9ebe-e734-4dc8-9448-c0c87f9d5c3f"/>
    <xsd:import namespace="606378dd-05e7-4f46-9a1a-3a8d36bce8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Adverti" minOccurs="0"/>
                <xsd:element ref="ns3:SharedWithUsers" minOccurs="0"/>
                <xsd:element ref="ns3:SharedWithDetails" minOccurs="0"/>
                <xsd:element ref="ns2:MediaServiceLocation" minOccurs="0"/>
                <xsd:element ref="ns2:Stav" minOccurs="0"/>
                <xsd:element ref="ns2:Pozn_x00e1_mka" minOccurs="0"/>
                <xsd:element ref="ns2:Pozn_x00e1_mka_x0020_2" minOccurs="0"/>
                <xsd:element ref="ns2:Analytik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Schv_x00e1_leno" minOccurs="0"/>
                <xsd:element ref="ns2:_x010c__x00e1_stkacelkem" minOccurs="0"/>
                <xsd:element ref="ns2:n5c4" minOccurs="0"/>
                <xsd:element ref="ns2:csui" minOccurs="0"/>
                <xsd:element ref="ns2:Variabiln_x00ed_symbol" minOccurs="0"/>
                <xsd:element ref="ns2:Obdob_x00ed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ce9ebe-e734-4dc8-9448-c0c87f9d5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Adverti" ma:index="13" nillable="true" ma:displayName="Adverti" ma:description="17OZ003-17OZ006 s úhradou vyčkat na opravené faktury" ma:internalName="Adverti">
      <xsd:simpleType>
        <xsd:restriction base="dms:Text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Stav" ma:index="17" nillable="true" ma:displayName="Stav" ma:default="Zadáno" ma:format="RadioButtons" ma:internalName="Stav">
      <xsd:simpleType>
        <xsd:restriction base="dms:Choice">
          <xsd:enumeration value="Zadáno"/>
          <xsd:enumeration value="Schváleno"/>
          <xsd:enumeration value="Zaúčtováno"/>
          <xsd:enumeration value="Zaplaceno"/>
        </xsd:restriction>
      </xsd:simpleType>
    </xsd:element>
    <xsd:element name="Pozn_x00e1_mka" ma:index="18" nillable="true" ma:displayName="Poznámka" ma:internalName="Pozn_x00e1_mka">
      <xsd:simpleType>
        <xsd:restriction base="dms:Text">
          <xsd:maxLength value="255"/>
        </xsd:restriction>
      </xsd:simpleType>
    </xsd:element>
    <xsd:element name="Pozn_x00e1_mka_x0020_2" ma:index="19" nillable="true" ma:displayName="Dodavatel" ma:format="Dropdown" ma:internalName="Pozn_x00e1_mka_x0020_2">
      <xsd:simpleType>
        <xsd:restriction base="dms:Text">
          <xsd:maxLength value="255"/>
        </xsd:restriction>
      </xsd:simpleType>
    </xsd:element>
    <xsd:element name="Analytika" ma:index="20" nillable="true" ma:displayName="Analytika" ma:format="Dropdown" ma:internalName="Analytika">
      <xsd:simpleType>
        <xsd:restriction base="dms:Text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chv_x00e1_leno" ma:index="25" nillable="true" ma:displayName="Schváleno" ma:default="0" ma:format="Dropdown" ma:internalName="Schv_x00e1_leno">
      <xsd:simpleType>
        <xsd:restriction base="dms:Boolean"/>
      </xsd:simpleType>
    </xsd:element>
    <xsd:element name="_x010c__x00e1_stkacelkem" ma:index="26" nillable="true" ma:displayName="Částka" ma:format="Dropdown" ma:internalName="_x010c__x00e1_stkacelkem">
      <xsd:simpleType>
        <xsd:restriction base="dms:Text">
          <xsd:maxLength value="255"/>
        </xsd:restriction>
      </xsd:simpleType>
    </xsd:element>
    <xsd:element name="n5c4" ma:index="27" nillable="true" ma:displayName="Text" ma:internalName="n5c4">
      <xsd:simpleType>
        <xsd:restriction base="dms:Text"/>
      </xsd:simpleType>
    </xsd:element>
    <xsd:element name="csui" ma:index="28" nillable="true" ma:displayName="Text" ma:internalName="csui">
      <xsd:simpleType>
        <xsd:restriction base="dms:Text"/>
      </xsd:simpleType>
    </xsd:element>
    <xsd:element name="Variabiln_x00ed_symbol" ma:index="29" nillable="true" ma:displayName="Variabilní symbol" ma:format="Dropdown" ma:internalName="Variabiln_x00ed_symbol">
      <xsd:simpleType>
        <xsd:restriction base="dms:Text">
          <xsd:maxLength value="255"/>
        </xsd:restriction>
      </xsd:simpleType>
    </xsd:element>
    <xsd:element name="Obdob_x00ed_" ma:index="30" nillable="true" ma:displayName="Období" ma:format="Dropdown" ma:internalName="Obdob_x00ed_">
      <xsd:simpleType>
        <xsd:restriction base="dms:Text">
          <xsd:maxLength value="5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78dd-05e7-4f46-9a1a-3a8d36bce8e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chv_x00e1_leno xmlns="b9ce9ebe-e734-4dc8-9448-c0c87f9d5c3f">false</Schv_x00e1_leno>
    <Stav xmlns="b9ce9ebe-e734-4dc8-9448-c0c87f9d5c3f">Zadáno</Stav>
    <Adverti xmlns="b9ce9ebe-e734-4dc8-9448-c0c87f9d5c3f" xsi:nil="true"/>
    <Analytika xmlns="b9ce9ebe-e734-4dc8-9448-c0c87f9d5c3f" xsi:nil="true"/>
    <_x010c__x00e1_stkacelkem xmlns="b9ce9ebe-e734-4dc8-9448-c0c87f9d5c3f" xsi:nil="true"/>
    <Pozn_x00e1_mka_x0020_2 xmlns="b9ce9ebe-e734-4dc8-9448-c0c87f9d5c3f" xsi:nil="true"/>
    <Pozn_x00e1_mka xmlns="b9ce9ebe-e734-4dc8-9448-c0c87f9d5c3f" xsi:nil="true"/>
    <n5c4 xmlns="b9ce9ebe-e734-4dc8-9448-c0c87f9d5c3f" xsi:nil="true"/>
    <Obdob_x00ed_ xmlns="b9ce9ebe-e734-4dc8-9448-c0c87f9d5c3f" xsi:nil="true"/>
    <Variabiln_x00ed_symbol xmlns="b9ce9ebe-e734-4dc8-9448-c0c87f9d5c3f" xsi:nil="true"/>
    <csui xmlns="b9ce9ebe-e734-4dc8-9448-c0c87f9d5c3f" xsi:nil="true"/>
  </documentManagement>
</p:properties>
</file>

<file path=customXml/itemProps1.xml><?xml version="1.0" encoding="utf-8"?>
<ds:datastoreItem xmlns:ds="http://schemas.openxmlformats.org/officeDocument/2006/customXml" ds:itemID="{7F8F72AF-B3BC-435A-B41B-F9780A6F446A}"/>
</file>

<file path=customXml/itemProps2.xml><?xml version="1.0" encoding="utf-8"?>
<ds:datastoreItem xmlns:ds="http://schemas.openxmlformats.org/officeDocument/2006/customXml" ds:itemID="{169CB0DE-FE91-412F-8388-EEBBD75E33E9}"/>
</file>

<file path=customXml/itemProps3.xml><?xml version="1.0" encoding="utf-8"?>
<ds:datastoreItem xmlns:ds="http://schemas.openxmlformats.org/officeDocument/2006/customXml" ds:itemID="{6288ABF8-C8A2-4A4C-9EB1-B0F911312D0F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</TotalTime>
  <Application>LibreOffice/6.2.3.2$Windows_X86_64 LibreOffice_project/aecc05fe267cc68dde00352a451aa867b3b546ac</Application>
  <Pages>5</Pages>
  <Words>988</Words>
  <Characters>5976</Characters>
  <CharactersWithSpaces>6903</CharactersWithSpaces>
  <Paragraphs>139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dc:description>&lt;?template name="Účtovná záverka mikro ÚJ 2014" version="1.00"?&gt;</dc:description>
  <cp:lastModifiedBy/>
  <cp:revision>31</cp:revision>
  <cp:lastPrinted>2014-01-07T09:24:00Z</cp:lastPrinted>
  <dcterms:created xsi:type="dcterms:W3CDTF">2014-01-07T09:28:00Z</dcterms:created>
  <dcterms:modified xsi:type="dcterms:W3CDTF">2021-03-16T21:44:21Z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  <property fmtid="{D5CDD505-2E9C-101B-9397-08002B2CF9AE}" pid="4" name="ContentTypeId">
    <vt:lpwstr>0x010100607E8BDDAF1AB84ABF003215E6828D51</vt:lpwstr>
  </property>
</Properties>
</file>