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2468" w:rsidRDefault="001C7585">
      <w:pPr>
        <w:pStyle w:val="Nadpis1"/>
        <w:tabs>
          <w:tab w:val="left" w:pos="1181"/>
        </w:tabs>
        <w:rPr>
          <w:u w:val="none"/>
        </w:rPr>
      </w:pPr>
      <w:r>
        <w:rPr>
          <w:u w:val="thick"/>
        </w:rPr>
        <w:t>O be c</w:t>
      </w:r>
      <w:r>
        <w:rPr>
          <w:u w:val="thick"/>
        </w:rPr>
        <w:tab/>
        <w:t>Korytné</w:t>
      </w:r>
    </w:p>
    <w:p w:rsidR="00EA2468" w:rsidRDefault="00EA2468">
      <w:pPr>
        <w:pStyle w:val="Zkladntext"/>
        <w:rPr>
          <w:b/>
          <w:sz w:val="20"/>
        </w:rPr>
      </w:pPr>
    </w:p>
    <w:p w:rsidR="00EA2468" w:rsidRDefault="00EA2468">
      <w:pPr>
        <w:pStyle w:val="Zkladntext"/>
        <w:spacing w:before="5"/>
        <w:rPr>
          <w:b/>
          <w:sz w:val="28"/>
        </w:rPr>
      </w:pPr>
    </w:p>
    <w:p w:rsidR="00EA2468" w:rsidRDefault="001C7585">
      <w:pPr>
        <w:spacing w:before="89"/>
        <w:ind w:right="21"/>
        <w:jc w:val="center"/>
        <w:rPr>
          <w:b/>
          <w:sz w:val="28"/>
        </w:rPr>
      </w:pPr>
      <w:r>
        <w:rPr>
          <w:b/>
          <w:sz w:val="28"/>
          <w:u w:val="thick"/>
        </w:rPr>
        <w:t>P o z n á m k y</w:t>
      </w:r>
    </w:p>
    <w:p w:rsidR="00EA2468" w:rsidRDefault="00EA2468">
      <w:pPr>
        <w:pStyle w:val="Zkladntext"/>
        <w:rPr>
          <w:b/>
          <w:sz w:val="16"/>
        </w:rPr>
      </w:pPr>
    </w:p>
    <w:p w:rsidR="00EA2468" w:rsidRDefault="00AC7C7F">
      <w:pPr>
        <w:pStyle w:val="Nadpis2"/>
        <w:spacing w:before="90" w:line="240" w:lineRule="auto"/>
        <w:ind w:left="0" w:right="20" w:firstLine="0"/>
        <w:jc w:val="center"/>
      </w:pPr>
      <w:r>
        <w:t>k 31. 12. 2020</w:t>
      </w:r>
    </w:p>
    <w:p w:rsidR="00EA2468" w:rsidRDefault="001C7585">
      <w:pPr>
        <w:ind w:right="23"/>
        <w:jc w:val="center"/>
        <w:rPr>
          <w:b/>
          <w:sz w:val="24"/>
        </w:rPr>
      </w:pPr>
      <w:r>
        <w:rPr>
          <w:b/>
          <w:sz w:val="24"/>
        </w:rPr>
        <w:t>textová časť</w:t>
      </w:r>
    </w:p>
    <w:p w:rsidR="00EA2468" w:rsidRDefault="00EA2468">
      <w:pPr>
        <w:pStyle w:val="Zkladntext"/>
        <w:rPr>
          <w:b/>
          <w:sz w:val="26"/>
        </w:rPr>
      </w:pPr>
    </w:p>
    <w:p w:rsidR="00EA2468" w:rsidRDefault="001C7585">
      <w:pPr>
        <w:spacing w:before="162"/>
        <w:ind w:right="21"/>
        <w:jc w:val="center"/>
        <w:rPr>
          <w:b/>
          <w:sz w:val="24"/>
        </w:rPr>
      </w:pPr>
      <w:r>
        <w:rPr>
          <w:b/>
          <w:sz w:val="24"/>
        </w:rPr>
        <w:t>Čl. I</w:t>
      </w:r>
    </w:p>
    <w:p w:rsidR="00EA2468" w:rsidRDefault="001C7585">
      <w:pPr>
        <w:ind w:right="20"/>
        <w:jc w:val="center"/>
        <w:rPr>
          <w:b/>
          <w:sz w:val="24"/>
        </w:rPr>
      </w:pPr>
      <w:r>
        <w:rPr>
          <w:b/>
          <w:sz w:val="24"/>
        </w:rPr>
        <w:t>Všeobecné údaje</w:t>
      </w:r>
    </w:p>
    <w:p w:rsidR="00EA2468" w:rsidRDefault="00EA2468">
      <w:pPr>
        <w:pStyle w:val="Zkladntext"/>
        <w:rPr>
          <w:b/>
          <w:sz w:val="20"/>
        </w:rPr>
      </w:pPr>
    </w:p>
    <w:p w:rsidR="00EA2468" w:rsidRDefault="00EA2468">
      <w:pPr>
        <w:pStyle w:val="Zkladntext"/>
        <w:spacing w:before="2"/>
        <w:rPr>
          <w:b/>
          <w:sz w:val="2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2"/>
        <w:gridCol w:w="4760"/>
      </w:tblGrid>
      <w:tr w:rsidR="00EA2468">
        <w:trPr>
          <w:trHeight w:val="414"/>
        </w:trPr>
        <w:tc>
          <w:tcPr>
            <w:tcW w:w="4782" w:type="dxa"/>
          </w:tcPr>
          <w:p w:rsidR="00EA2468" w:rsidRDefault="001C7585">
            <w:pPr>
              <w:pStyle w:val="TableParagraph"/>
              <w:spacing w:line="273" w:lineRule="exact"/>
              <w:rPr>
                <w:sz w:val="24"/>
              </w:rPr>
            </w:pPr>
            <w:r>
              <w:rPr>
                <w:sz w:val="24"/>
              </w:rPr>
              <w:t>Názov účtovnej jednotky</w:t>
            </w:r>
          </w:p>
        </w:tc>
        <w:tc>
          <w:tcPr>
            <w:tcW w:w="4760" w:type="dxa"/>
          </w:tcPr>
          <w:p w:rsidR="00EA2468" w:rsidRDefault="001C7585">
            <w:pPr>
              <w:pStyle w:val="TableParagraph"/>
              <w:spacing w:line="273" w:lineRule="exact"/>
              <w:ind w:left="110"/>
              <w:rPr>
                <w:sz w:val="24"/>
              </w:rPr>
            </w:pPr>
            <w:r>
              <w:rPr>
                <w:sz w:val="24"/>
              </w:rPr>
              <w:t>Obec Korytné</w:t>
            </w:r>
          </w:p>
        </w:tc>
      </w:tr>
      <w:tr w:rsidR="00EA2468">
        <w:trPr>
          <w:trHeight w:val="414"/>
        </w:trPr>
        <w:tc>
          <w:tcPr>
            <w:tcW w:w="4782" w:type="dxa"/>
          </w:tcPr>
          <w:p w:rsidR="00EA2468" w:rsidRDefault="001C7585">
            <w:pPr>
              <w:pStyle w:val="TableParagraph"/>
              <w:spacing w:line="270" w:lineRule="exact"/>
              <w:rPr>
                <w:sz w:val="24"/>
              </w:rPr>
            </w:pPr>
            <w:r>
              <w:rPr>
                <w:sz w:val="24"/>
              </w:rPr>
              <w:t>Sídlo účtovnej jednotky</w:t>
            </w:r>
          </w:p>
        </w:tc>
        <w:tc>
          <w:tcPr>
            <w:tcW w:w="4760" w:type="dxa"/>
          </w:tcPr>
          <w:p w:rsidR="00EA2468" w:rsidRDefault="001C7585">
            <w:pPr>
              <w:pStyle w:val="TableParagraph"/>
              <w:spacing w:line="270" w:lineRule="exact"/>
              <w:ind w:left="110"/>
              <w:rPr>
                <w:sz w:val="24"/>
              </w:rPr>
            </w:pPr>
            <w:r>
              <w:rPr>
                <w:sz w:val="24"/>
              </w:rPr>
              <w:t>Korytné 14</w:t>
            </w:r>
          </w:p>
        </w:tc>
      </w:tr>
      <w:tr w:rsidR="00EA2468">
        <w:trPr>
          <w:trHeight w:val="412"/>
        </w:trPr>
        <w:tc>
          <w:tcPr>
            <w:tcW w:w="4782" w:type="dxa"/>
          </w:tcPr>
          <w:p w:rsidR="00EA2468" w:rsidRDefault="001C7585">
            <w:pPr>
              <w:pStyle w:val="TableParagraph"/>
              <w:spacing w:line="271" w:lineRule="exact"/>
              <w:rPr>
                <w:sz w:val="24"/>
              </w:rPr>
            </w:pPr>
            <w:r>
              <w:rPr>
                <w:sz w:val="24"/>
              </w:rPr>
              <w:t>IČO</w:t>
            </w:r>
          </w:p>
        </w:tc>
        <w:tc>
          <w:tcPr>
            <w:tcW w:w="4760" w:type="dxa"/>
          </w:tcPr>
          <w:p w:rsidR="00EA2468" w:rsidRDefault="001C7585">
            <w:pPr>
              <w:pStyle w:val="TableParagraph"/>
              <w:spacing w:line="271" w:lineRule="exact"/>
              <w:ind w:left="110"/>
              <w:rPr>
                <w:sz w:val="24"/>
              </w:rPr>
            </w:pPr>
            <w:r>
              <w:rPr>
                <w:sz w:val="24"/>
              </w:rPr>
              <w:t>35529547</w:t>
            </w:r>
          </w:p>
        </w:tc>
      </w:tr>
      <w:tr w:rsidR="00EA2468">
        <w:trPr>
          <w:trHeight w:val="414"/>
        </w:trPr>
        <w:tc>
          <w:tcPr>
            <w:tcW w:w="4782" w:type="dxa"/>
          </w:tcPr>
          <w:p w:rsidR="00EA2468" w:rsidRDefault="001C7585">
            <w:pPr>
              <w:pStyle w:val="TableParagraph"/>
              <w:spacing w:line="270" w:lineRule="exact"/>
              <w:rPr>
                <w:sz w:val="24"/>
              </w:rPr>
            </w:pPr>
            <w:r>
              <w:rPr>
                <w:sz w:val="24"/>
              </w:rPr>
              <w:t>DIČ</w:t>
            </w:r>
          </w:p>
        </w:tc>
        <w:tc>
          <w:tcPr>
            <w:tcW w:w="4760" w:type="dxa"/>
          </w:tcPr>
          <w:p w:rsidR="00EA2468" w:rsidRDefault="001C7585">
            <w:pPr>
              <w:pStyle w:val="TableParagraph"/>
              <w:spacing w:line="270" w:lineRule="exact"/>
              <w:ind w:left="110"/>
              <w:rPr>
                <w:sz w:val="24"/>
              </w:rPr>
            </w:pPr>
            <w:r>
              <w:rPr>
                <w:sz w:val="24"/>
              </w:rPr>
              <w:t>2020731724</w:t>
            </w:r>
          </w:p>
        </w:tc>
      </w:tr>
      <w:tr w:rsidR="00EA2468">
        <w:trPr>
          <w:trHeight w:val="551"/>
        </w:trPr>
        <w:tc>
          <w:tcPr>
            <w:tcW w:w="4782" w:type="dxa"/>
          </w:tcPr>
          <w:p w:rsidR="00EA2468" w:rsidRDefault="001C7585">
            <w:pPr>
              <w:pStyle w:val="TableParagraph"/>
              <w:spacing w:before="131" w:line="240" w:lineRule="auto"/>
              <w:rPr>
                <w:sz w:val="24"/>
              </w:rPr>
            </w:pPr>
            <w:r>
              <w:rPr>
                <w:sz w:val="24"/>
              </w:rPr>
              <w:t>Právny dôvod na zostavenie účtovnej závierky</w:t>
            </w:r>
          </w:p>
        </w:tc>
        <w:tc>
          <w:tcPr>
            <w:tcW w:w="4760" w:type="dxa"/>
          </w:tcPr>
          <w:p w:rsidR="00EA2468" w:rsidRDefault="001C7585">
            <w:pPr>
              <w:pStyle w:val="TableParagraph"/>
              <w:spacing w:line="268" w:lineRule="exact"/>
              <w:ind w:left="110"/>
              <w:rPr>
                <w:sz w:val="24"/>
              </w:rPr>
            </w:pPr>
            <w:r>
              <w:rPr>
                <w:sz w:val="24"/>
              </w:rPr>
              <w:t>X - riadna</w:t>
            </w:r>
          </w:p>
          <w:p w:rsidR="00EA2468" w:rsidRDefault="001C7585">
            <w:pPr>
              <w:pStyle w:val="TableParagraph"/>
              <w:spacing w:line="264" w:lineRule="exact"/>
              <w:ind w:left="470"/>
              <w:rPr>
                <w:sz w:val="24"/>
              </w:rPr>
            </w:pPr>
            <w:r>
              <w:rPr>
                <w:sz w:val="24"/>
              </w:rPr>
              <w:t>mimoriadna</w:t>
            </w:r>
          </w:p>
        </w:tc>
      </w:tr>
      <w:tr w:rsidR="00EA2468">
        <w:trPr>
          <w:trHeight w:val="275"/>
        </w:trPr>
        <w:tc>
          <w:tcPr>
            <w:tcW w:w="4782" w:type="dxa"/>
          </w:tcPr>
          <w:p w:rsidR="00EA2468" w:rsidRDefault="001C7585">
            <w:pPr>
              <w:pStyle w:val="TableParagraph"/>
              <w:rPr>
                <w:sz w:val="24"/>
              </w:rPr>
            </w:pPr>
            <w:r>
              <w:rPr>
                <w:sz w:val="24"/>
              </w:rPr>
              <w:t>Iné všeobecné údaje</w:t>
            </w:r>
          </w:p>
        </w:tc>
        <w:tc>
          <w:tcPr>
            <w:tcW w:w="4760" w:type="dxa"/>
          </w:tcPr>
          <w:p w:rsidR="00EA2468" w:rsidRDefault="00AC7C7F">
            <w:pPr>
              <w:pStyle w:val="TableParagraph"/>
              <w:ind w:left="110"/>
              <w:rPr>
                <w:sz w:val="24"/>
              </w:rPr>
            </w:pPr>
            <w:r>
              <w:rPr>
                <w:sz w:val="24"/>
              </w:rPr>
              <w:t>87</w:t>
            </w:r>
            <w:r w:rsidR="001C7585">
              <w:rPr>
                <w:sz w:val="24"/>
              </w:rPr>
              <w:t xml:space="preserve"> obyvateľov</w:t>
            </w:r>
          </w:p>
        </w:tc>
      </w:tr>
    </w:tbl>
    <w:p w:rsidR="00EA2468" w:rsidRDefault="00EA2468">
      <w:pPr>
        <w:pStyle w:val="Zkladntext"/>
        <w:rPr>
          <w:b/>
          <w:sz w:val="20"/>
        </w:rPr>
      </w:pPr>
    </w:p>
    <w:p w:rsidR="00EA2468" w:rsidRDefault="00EA2468">
      <w:pPr>
        <w:pStyle w:val="Zkladntext"/>
        <w:spacing w:before="5"/>
        <w:rPr>
          <w:b/>
          <w:sz w:val="19"/>
        </w:rPr>
      </w:pPr>
    </w:p>
    <w:p w:rsidR="00EA2468" w:rsidRDefault="001C7585">
      <w:pPr>
        <w:pStyle w:val="Zkladntext"/>
        <w:spacing w:before="90"/>
        <w:ind w:left="112"/>
      </w:pPr>
      <w:r>
        <w:t>Informácie o vedúcich predstaviteľoch a o organizačnej štruktúre účtovnej jednotky</w:t>
      </w:r>
    </w:p>
    <w:p w:rsidR="00EA2468" w:rsidRDefault="00EA2468">
      <w:pPr>
        <w:pStyle w:val="Zkladntext"/>
        <w:rPr>
          <w:sz w:val="20"/>
        </w:rPr>
      </w:pPr>
    </w:p>
    <w:p w:rsidR="00EA2468" w:rsidRDefault="00EA2468">
      <w:pPr>
        <w:pStyle w:val="Zkladntext"/>
        <w:spacing w:before="9"/>
        <w:rPr>
          <w:sz w:val="2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2"/>
        <w:gridCol w:w="4760"/>
      </w:tblGrid>
      <w:tr w:rsidR="00EA2468">
        <w:trPr>
          <w:trHeight w:val="414"/>
        </w:trPr>
        <w:tc>
          <w:tcPr>
            <w:tcW w:w="4782" w:type="dxa"/>
          </w:tcPr>
          <w:p w:rsidR="00EA2468" w:rsidRDefault="001C7585">
            <w:pPr>
              <w:pStyle w:val="TableParagraph"/>
              <w:spacing w:before="61" w:line="240" w:lineRule="auto"/>
              <w:rPr>
                <w:sz w:val="24"/>
              </w:rPr>
            </w:pPr>
            <w:r>
              <w:rPr>
                <w:sz w:val="24"/>
              </w:rPr>
              <w:t>Štatutárny orgán</w:t>
            </w:r>
          </w:p>
        </w:tc>
        <w:tc>
          <w:tcPr>
            <w:tcW w:w="4760" w:type="dxa"/>
          </w:tcPr>
          <w:p w:rsidR="00EA2468" w:rsidRDefault="001C7585">
            <w:pPr>
              <w:pStyle w:val="TableParagraph"/>
              <w:spacing w:line="270" w:lineRule="exact"/>
              <w:ind w:left="110"/>
              <w:rPr>
                <w:sz w:val="24"/>
              </w:rPr>
            </w:pPr>
            <w:r>
              <w:rPr>
                <w:sz w:val="24"/>
              </w:rPr>
              <w:t>Ing. Peter Palenčár</w:t>
            </w:r>
          </w:p>
        </w:tc>
      </w:tr>
      <w:tr w:rsidR="00EA2468">
        <w:trPr>
          <w:trHeight w:val="412"/>
        </w:trPr>
        <w:tc>
          <w:tcPr>
            <w:tcW w:w="4782" w:type="dxa"/>
          </w:tcPr>
          <w:p w:rsidR="00EA2468" w:rsidRDefault="001C7585">
            <w:pPr>
              <w:pStyle w:val="TableParagraph"/>
              <w:spacing w:before="61" w:line="240" w:lineRule="auto"/>
              <w:rPr>
                <w:sz w:val="24"/>
              </w:rPr>
            </w:pPr>
            <w:r>
              <w:rPr>
                <w:sz w:val="24"/>
              </w:rPr>
              <w:t>Zástupca štatutárneho orgánu</w:t>
            </w:r>
          </w:p>
        </w:tc>
        <w:tc>
          <w:tcPr>
            <w:tcW w:w="4760" w:type="dxa"/>
          </w:tcPr>
          <w:p w:rsidR="00EA2468" w:rsidRDefault="001C7585">
            <w:pPr>
              <w:pStyle w:val="TableParagraph"/>
              <w:spacing w:line="270" w:lineRule="exact"/>
              <w:ind w:left="110"/>
              <w:rPr>
                <w:sz w:val="24"/>
              </w:rPr>
            </w:pPr>
            <w:r>
              <w:rPr>
                <w:sz w:val="24"/>
              </w:rPr>
              <w:t>Alena Jasenčáková</w:t>
            </w:r>
          </w:p>
        </w:tc>
      </w:tr>
      <w:tr w:rsidR="00EA2468">
        <w:trPr>
          <w:trHeight w:val="554"/>
        </w:trPr>
        <w:tc>
          <w:tcPr>
            <w:tcW w:w="4782" w:type="dxa"/>
          </w:tcPr>
          <w:p w:rsidR="00EA2468" w:rsidRDefault="001C7585">
            <w:pPr>
              <w:pStyle w:val="TableParagraph"/>
              <w:spacing w:line="271" w:lineRule="exact"/>
              <w:rPr>
                <w:sz w:val="24"/>
              </w:rPr>
            </w:pPr>
            <w:r>
              <w:rPr>
                <w:sz w:val="24"/>
              </w:rPr>
              <w:t>Priemerný počet zamestnancov počas</w:t>
            </w:r>
          </w:p>
          <w:p w:rsidR="00EA2468" w:rsidRDefault="001C7585">
            <w:pPr>
              <w:pStyle w:val="TableParagraph"/>
              <w:spacing w:line="264" w:lineRule="exact"/>
              <w:rPr>
                <w:sz w:val="24"/>
              </w:rPr>
            </w:pPr>
            <w:r>
              <w:rPr>
                <w:sz w:val="24"/>
              </w:rPr>
              <w:t>účtovného obdobia</w:t>
            </w:r>
          </w:p>
        </w:tc>
        <w:tc>
          <w:tcPr>
            <w:tcW w:w="4760" w:type="dxa"/>
          </w:tcPr>
          <w:p w:rsidR="00EA2468" w:rsidRDefault="001C7585">
            <w:pPr>
              <w:pStyle w:val="TableParagraph"/>
              <w:spacing w:line="273" w:lineRule="exact"/>
              <w:ind w:left="110"/>
              <w:rPr>
                <w:sz w:val="24"/>
              </w:rPr>
            </w:pPr>
            <w:r>
              <w:rPr>
                <w:sz w:val="24"/>
              </w:rPr>
              <w:t>0,3</w:t>
            </w:r>
          </w:p>
        </w:tc>
      </w:tr>
    </w:tbl>
    <w:p w:rsidR="00EA2468" w:rsidRDefault="00EA2468">
      <w:pPr>
        <w:pStyle w:val="Zkladntext"/>
        <w:rPr>
          <w:sz w:val="20"/>
        </w:rPr>
      </w:pPr>
    </w:p>
    <w:p w:rsidR="00EA2468" w:rsidRDefault="00EA2468">
      <w:pPr>
        <w:pStyle w:val="Zkladntext"/>
        <w:spacing w:before="10"/>
        <w:rPr>
          <w:sz w:val="19"/>
        </w:rPr>
      </w:pPr>
    </w:p>
    <w:p w:rsidR="00EA2468" w:rsidRDefault="001C7585">
      <w:pPr>
        <w:pStyle w:val="Nadpis2"/>
        <w:spacing w:before="90" w:line="240" w:lineRule="auto"/>
        <w:ind w:left="0" w:right="19" w:firstLine="0"/>
        <w:jc w:val="center"/>
      </w:pPr>
      <w:r>
        <w:t>Čl. II</w:t>
      </w:r>
    </w:p>
    <w:p w:rsidR="00EA2468" w:rsidRDefault="001C7585">
      <w:pPr>
        <w:ind w:right="22"/>
        <w:jc w:val="center"/>
        <w:rPr>
          <w:b/>
          <w:sz w:val="24"/>
        </w:rPr>
      </w:pPr>
      <w:r>
        <w:rPr>
          <w:b/>
          <w:sz w:val="24"/>
        </w:rPr>
        <w:t>Informácie o účtovných zásadách a účtovných metódach</w:t>
      </w:r>
    </w:p>
    <w:p w:rsidR="00EA2468" w:rsidRDefault="00EA2468">
      <w:pPr>
        <w:pStyle w:val="Zkladntext"/>
        <w:spacing w:before="2"/>
        <w:rPr>
          <w:b/>
        </w:rPr>
      </w:pPr>
    </w:p>
    <w:p w:rsidR="00EA2468" w:rsidRDefault="001C7585">
      <w:pPr>
        <w:pStyle w:val="Odsekzoznamu"/>
        <w:numPr>
          <w:ilvl w:val="0"/>
          <w:numId w:val="2"/>
        </w:numPr>
        <w:tabs>
          <w:tab w:val="left" w:pos="495"/>
        </w:tabs>
        <w:spacing w:line="240" w:lineRule="auto"/>
        <w:ind w:hanging="241"/>
        <w:jc w:val="both"/>
        <w:rPr>
          <w:b/>
          <w:sz w:val="24"/>
        </w:rPr>
      </w:pPr>
      <w:r>
        <w:rPr>
          <w:b/>
          <w:sz w:val="24"/>
        </w:rPr>
        <w:t>Spôsob ocenenia jednotlivýchpoložiek.</w:t>
      </w:r>
    </w:p>
    <w:p w:rsidR="00EA2468" w:rsidRDefault="001C7585">
      <w:pPr>
        <w:pStyle w:val="Odsekzoznamu"/>
        <w:numPr>
          <w:ilvl w:val="0"/>
          <w:numId w:val="1"/>
        </w:numPr>
        <w:tabs>
          <w:tab w:val="left" w:pos="541"/>
        </w:tabs>
        <w:spacing w:before="135" w:line="274" w:lineRule="exact"/>
        <w:ind w:hanging="287"/>
        <w:jc w:val="both"/>
        <w:rPr>
          <w:b/>
          <w:sz w:val="24"/>
        </w:rPr>
      </w:pPr>
      <w:r>
        <w:rPr>
          <w:b/>
          <w:sz w:val="24"/>
        </w:rPr>
        <w:t>Dlhodobý nehmotnýmajetok</w:t>
      </w:r>
    </w:p>
    <w:p w:rsidR="00EA2468" w:rsidRDefault="001C7585">
      <w:pPr>
        <w:pStyle w:val="Zkladntext"/>
        <w:ind w:left="540" w:right="133"/>
        <w:jc w:val="both"/>
      </w:pPr>
      <w:r>
        <w:rPr>
          <w:b/>
        </w:rPr>
        <w:t xml:space="preserve">Dlhodobý nehmotný majetok nakupovaný </w:t>
      </w:r>
      <w:r>
        <w:t>sa oceňuje</w:t>
      </w:r>
      <w:r>
        <w:rPr>
          <w:u w:val="single"/>
        </w:rPr>
        <w:t xml:space="preserve"> obstarávacou cenou</w:t>
      </w:r>
      <w:r>
        <w:t>. Obstarávacia cena zahŕňa cenu, za ktorú sa majetok obstaral a náklady súvisiace s jeho obstaraním. Vyskytujúce sa náklady súvisiace s obstaraním v účtovnejjednotke:</w:t>
      </w:r>
    </w:p>
    <w:p w:rsidR="00EA2468" w:rsidRDefault="001C7585">
      <w:pPr>
        <w:pStyle w:val="Odsekzoznamu"/>
        <w:numPr>
          <w:ilvl w:val="1"/>
          <w:numId w:val="1"/>
        </w:numPr>
        <w:tabs>
          <w:tab w:val="left" w:pos="899"/>
        </w:tabs>
        <w:spacing w:line="253" w:lineRule="exact"/>
        <w:ind w:hanging="361"/>
        <w:jc w:val="both"/>
      </w:pPr>
      <w:r>
        <w:t>dopravné</w:t>
      </w:r>
    </w:p>
    <w:p w:rsidR="00EA2468" w:rsidRDefault="001C7585">
      <w:pPr>
        <w:pStyle w:val="Odsekzoznamu"/>
        <w:numPr>
          <w:ilvl w:val="1"/>
          <w:numId w:val="1"/>
        </w:numPr>
        <w:tabs>
          <w:tab w:val="left" w:pos="899"/>
        </w:tabs>
        <w:spacing w:line="240" w:lineRule="auto"/>
        <w:ind w:hanging="361"/>
        <w:jc w:val="both"/>
      </w:pPr>
      <w:r>
        <w:t>montáž</w:t>
      </w:r>
    </w:p>
    <w:p w:rsidR="00EA2468" w:rsidRDefault="001C7585">
      <w:pPr>
        <w:pStyle w:val="Odsekzoznamu"/>
        <w:numPr>
          <w:ilvl w:val="1"/>
          <w:numId w:val="1"/>
        </w:numPr>
        <w:tabs>
          <w:tab w:val="left" w:pos="897"/>
          <w:tab w:val="left" w:pos="899"/>
        </w:tabs>
        <w:spacing w:before="1"/>
        <w:ind w:hanging="361"/>
      </w:pPr>
      <w:r>
        <w:t>provízia</w:t>
      </w:r>
    </w:p>
    <w:p w:rsidR="00EA2468" w:rsidRDefault="001C7585">
      <w:pPr>
        <w:pStyle w:val="Odsekzoznamu"/>
        <w:numPr>
          <w:ilvl w:val="1"/>
          <w:numId w:val="1"/>
        </w:numPr>
        <w:tabs>
          <w:tab w:val="left" w:pos="897"/>
          <w:tab w:val="left" w:pos="899"/>
        </w:tabs>
        <w:ind w:hanging="361"/>
      </w:pPr>
      <w:r>
        <w:t>poistné</w:t>
      </w:r>
    </w:p>
    <w:p w:rsidR="00EA2468" w:rsidRDefault="001C7585">
      <w:pPr>
        <w:pStyle w:val="Odsekzoznamu"/>
        <w:numPr>
          <w:ilvl w:val="1"/>
          <w:numId w:val="1"/>
        </w:numPr>
        <w:tabs>
          <w:tab w:val="left" w:pos="897"/>
          <w:tab w:val="left" w:pos="899"/>
        </w:tabs>
        <w:spacing w:before="1"/>
        <w:ind w:hanging="361"/>
      </w:pPr>
      <w:r>
        <w:t>iné</w:t>
      </w:r>
    </w:p>
    <w:p w:rsidR="00EA2468" w:rsidRDefault="001C7585">
      <w:pPr>
        <w:pStyle w:val="Zkladntext"/>
        <w:spacing w:line="275" w:lineRule="exact"/>
        <w:ind w:left="900"/>
      </w:pPr>
      <w:r>
        <w:t>Súčasťou obstarávacej ceny nie sú:</w:t>
      </w:r>
    </w:p>
    <w:p w:rsidR="00EA2468" w:rsidRDefault="001C7585">
      <w:pPr>
        <w:pStyle w:val="Odsekzoznamu"/>
        <w:numPr>
          <w:ilvl w:val="1"/>
          <w:numId w:val="1"/>
        </w:numPr>
        <w:tabs>
          <w:tab w:val="left" w:pos="897"/>
          <w:tab w:val="left" w:pos="899"/>
        </w:tabs>
        <w:spacing w:before="2" w:line="240" w:lineRule="auto"/>
        <w:ind w:hanging="361"/>
      </w:pPr>
      <w:r>
        <w:t>úroky</w:t>
      </w:r>
    </w:p>
    <w:p w:rsidR="00EA2468" w:rsidRDefault="001C7585">
      <w:pPr>
        <w:pStyle w:val="Odsekzoznamu"/>
        <w:numPr>
          <w:ilvl w:val="1"/>
          <w:numId w:val="1"/>
        </w:numPr>
        <w:tabs>
          <w:tab w:val="left" w:pos="953"/>
          <w:tab w:val="left" w:pos="954"/>
        </w:tabs>
        <w:spacing w:before="1"/>
        <w:ind w:left="953" w:hanging="416"/>
      </w:pPr>
      <w:r>
        <w:t>realizované kurzovérozdiely,</w:t>
      </w:r>
    </w:p>
    <w:p w:rsidR="00EA2468" w:rsidRDefault="001C7585">
      <w:pPr>
        <w:pStyle w:val="Zkladntext"/>
        <w:spacing w:line="275" w:lineRule="exact"/>
        <w:ind w:left="900"/>
      </w:pPr>
      <w:r>
        <w:t>ktoré vznikli do momentu uvedenia dlhodobého majetku do užívania.</w:t>
      </w:r>
    </w:p>
    <w:p w:rsidR="00EA2468" w:rsidRDefault="00EA2468">
      <w:pPr>
        <w:spacing w:line="275" w:lineRule="exact"/>
        <w:sectPr w:rsidR="00EA2468">
          <w:footerReference w:type="default" r:id="rId7"/>
          <w:type w:val="continuous"/>
          <w:pgSz w:w="11910" w:h="16840"/>
          <w:pgMar w:top="1040" w:right="1000" w:bottom="840" w:left="1020" w:header="708" w:footer="657" w:gutter="0"/>
          <w:pgNumType w:start="1"/>
          <w:cols w:space="708"/>
        </w:sectPr>
      </w:pPr>
    </w:p>
    <w:p w:rsidR="00EA2468" w:rsidRDefault="001C7585">
      <w:pPr>
        <w:pStyle w:val="Odsekzoznamu"/>
        <w:numPr>
          <w:ilvl w:val="0"/>
          <w:numId w:val="1"/>
        </w:numPr>
        <w:tabs>
          <w:tab w:val="left" w:pos="541"/>
        </w:tabs>
        <w:spacing w:before="67" w:line="240" w:lineRule="auto"/>
        <w:ind w:right="164"/>
        <w:rPr>
          <w:sz w:val="24"/>
        </w:rPr>
      </w:pPr>
      <w:r>
        <w:rPr>
          <w:b/>
          <w:sz w:val="24"/>
        </w:rPr>
        <w:lastRenderedPageBreak/>
        <w:t xml:space="preserve">Dlhodobý nehmotný majetok vytvorený vlastnou činnosťou </w:t>
      </w:r>
      <w:r>
        <w:rPr>
          <w:sz w:val="24"/>
        </w:rPr>
        <w:t>sa oceňuje</w:t>
      </w:r>
      <w:r>
        <w:rPr>
          <w:sz w:val="24"/>
          <w:u w:val="single"/>
        </w:rPr>
        <w:t xml:space="preserve"> vlastnými nákladmi</w:t>
      </w:r>
      <w:r>
        <w:rPr>
          <w:sz w:val="24"/>
        </w:rPr>
        <w:t>. Vlastné nákladyobsahujú:</w:t>
      </w:r>
    </w:p>
    <w:p w:rsidR="00EA2468" w:rsidRDefault="001C7585">
      <w:pPr>
        <w:pStyle w:val="Odsekzoznamu"/>
        <w:numPr>
          <w:ilvl w:val="1"/>
          <w:numId w:val="1"/>
        </w:numPr>
        <w:tabs>
          <w:tab w:val="left" w:pos="897"/>
          <w:tab w:val="left" w:pos="899"/>
        </w:tabs>
        <w:spacing w:before="2" w:line="240" w:lineRule="auto"/>
        <w:ind w:hanging="361"/>
      </w:pPr>
      <w:r>
        <w:t>priamenáklady</w:t>
      </w:r>
    </w:p>
    <w:p w:rsidR="00EA2468" w:rsidRDefault="001C7585">
      <w:pPr>
        <w:pStyle w:val="Odsekzoznamu"/>
        <w:numPr>
          <w:ilvl w:val="1"/>
          <w:numId w:val="1"/>
        </w:numPr>
        <w:tabs>
          <w:tab w:val="left" w:pos="897"/>
          <w:tab w:val="left" w:pos="899"/>
        </w:tabs>
        <w:spacing w:before="2"/>
        <w:ind w:hanging="361"/>
      </w:pPr>
      <w:r>
        <w:t>nepriame náklady, ktoré sú spojené svýrobou</w:t>
      </w:r>
    </w:p>
    <w:p w:rsidR="00EA2468" w:rsidRDefault="001C7585">
      <w:pPr>
        <w:pStyle w:val="Odsekzoznamu"/>
        <w:numPr>
          <w:ilvl w:val="1"/>
          <w:numId w:val="1"/>
        </w:numPr>
        <w:tabs>
          <w:tab w:val="left" w:pos="953"/>
          <w:tab w:val="left" w:pos="954"/>
        </w:tabs>
        <w:ind w:left="953" w:hanging="416"/>
      </w:pPr>
      <w:r>
        <w:t>iné</w:t>
      </w:r>
    </w:p>
    <w:p w:rsidR="00EA2468" w:rsidRDefault="00EA2468">
      <w:pPr>
        <w:pStyle w:val="Zkladntext"/>
      </w:pPr>
    </w:p>
    <w:p w:rsidR="00EA2468" w:rsidRDefault="001C7585">
      <w:pPr>
        <w:pStyle w:val="Nadpis2"/>
        <w:numPr>
          <w:ilvl w:val="0"/>
          <w:numId w:val="1"/>
        </w:numPr>
        <w:tabs>
          <w:tab w:val="left" w:pos="541"/>
        </w:tabs>
        <w:spacing w:before="186"/>
        <w:ind w:hanging="287"/>
        <w:jc w:val="both"/>
      </w:pPr>
      <w:r>
        <w:t>Dlhodobý hmotnýmajetok</w:t>
      </w:r>
    </w:p>
    <w:p w:rsidR="00EA2468" w:rsidRDefault="001C7585">
      <w:pPr>
        <w:pStyle w:val="Zkladntext"/>
        <w:ind w:left="540" w:right="134"/>
        <w:jc w:val="both"/>
      </w:pPr>
      <w:r>
        <w:rPr>
          <w:b/>
        </w:rPr>
        <w:t xml:space="preserve">Dlhodobý hmotný majetok nakupovaný </w:t>
      </w:r>
      <w:r>
        <w:t>sa oceňuje</w:t>
      </w:r>
      <w:r>
        <w:rPr>
          <w:u w:val="single"/>
        </w:rPr>
        <w:t xml:space="preserve"> obstarávacou cenou</w:t>
      </w:r>
      <w:r>
        <w:t>. Obstarávacia cena zahŕňa cenu, za ktorú sa majetok obstaral a náklady súvisiace s jeho obstaraním. Vyskytujúce sa náklady súvisiace s obstaraním v účtovnejjednotke:</w:t>
      </w:r>
    </w:p>
    <w:p w:rsidR="00EA2468" w:rsidRDefault="001C7585">
      <w:pPr>
        <w:pStyle w:val="Odsekzoznamu"/>
        <w:numPr>
          <w:ilvl w:val="1"/>
          <w:numId w:val="1"/>
        </w:numPr>
        <w:tabs>
          <w:tab w:val="left" w:pos="897"/>
          <w:tab w:val="left" w:pos="899"/>
        </w:tabs>
        <w:ind w:hanging="361"/>
      </w:pPr>
      <w:r>
        <w:t>dopravné</w:t>
      </w:r>
    </w:p>
    <w:p w:rsidR="00EA2468" w:rsidRDefault="001C7585">
      <w:pPr>
        <w:pStyle w:val="Odsekzoznamu"/>
        <w:numPr>
          <w:ilvl w:val="1"/>
          <w:numId w:val="1"/>
        </w:numPr>
        <w:tabs>
          <w:tab w:val="left" w:pos="897"/>
          <w:tab w:val="left" w:pos="899"/>
        </w:tabs>
        <w:ind w:hanging="361"/>
      </w:pPr>
      <w:r>
        <w:t>montáž</w:t>
      </w:r>
    </w:p>
    <w:p w:rsidR="00EA2468" w:rsidRDefault="001C7585">
      <w:pPr>
        <w:pStyle w:val="Odsekzoznamu"/>
        <w:numPr>
          <w:ilvl w:val="1"/>
          <w:numId w:val="1"/>
        </w:numPr>
        <w:tabs>
          <w:tab w:val="left" w:pos="897"/>
          <w:tab w:val="left" w:pos="899"/>
        </w:tabs>
        <w:spacing w:before="1"/>
        <w:ind w:hanging="361"/>
      </w:pPr>
      <w:r>
        <w:t>provízia</w:t>
      </w:r>
    </w:p>
    <w:p w:rsidR="00EA2468" w:rsidRDefault="001C7585">
      <w:pPr>
        <w:pStyle w:val="Odsekzoznamu"/>
        <w:numPr>
          <w:ilvl w:val="1"/>
          <w:numId w:val="1"/>
        </w:numPr>
        <w:tabs>
          <w:tab w:val="left" w:pos="897"/>
          <w:tab w:val="left" w:pos="899"/>
        </w:tabs>
        <w:ind w:hanging="361"/>
      </w:pPr>
      <w:r>
        <w:t>poistné</w:t>
      </w:r>
    </w:p>
    <w:p w:rsidR="00EA2468" w:rsidRDefault="001C7585">
      <w:pPr>
        <w:pStyle w:val="Odsekzoznamu"/>
        <w:numPr>
          <w:ilvl w:val="1"/>
          <w:numId w:val="1"/>
        </w:numPr>
        <w:tabs>
          <w:tab w:val="left" w:pos="953"/>
          <w:tab w:val="left" w:pos="954"/>
        </w:tabs>
        <w:spacing w:before="2"/>
        <w:ind w:left="953" w:hanging="416"/>
      </w:pPr>
      <w:r>
        <w:t>iné</w:t>
      </w:r>
    </w:p>
    <w:p w:rsidR="00EA2468" w:rsidRDefault="001C7585">
      <w:pPr>
        <w:pStyle w:val="Zkladntext"/>
        <w:spacing w:line="275" w:lineRule="exact"/>
        <w:ind w:left="900"/>
      </w:pPr>
      <w:r>
        <w:t>Súčasťou obstarávacej ceny nie sú:</w:t>
      </w:r>
    </w:p>
    <w:p w:rsidR="00EA2468" w:rsidRDefault="001C7585">
      <w:pPr>
        <w:pStyle w:val="Odsekzoznamu"/>
        <w:numPr>
          <w:ilvl w:val="1"/>
          <w:numId w:val="1"/>
        </w:numPr>
        <w:tabs>
          <w:tab w:val="left" w:pos="897"/>
          <w:tab w:val="left" w:pos="899"/>
        </w:tabs>
        <w:spacing w:before="2"/>
        <w:ind w:hanging="361"/>
      </w:pPr>
      <w:r>
        <w:t>úroky</w:t>
      </w:r>
    </w:p>
    <w:p w:rsidR="00EA2468" w:rsidRDefault="001C7585">
      <w:pPr>
        <w:pStyle w:val="Odsekzoznamu"/>
        <w:numPr>
          <w:ilvl w:val="1"/>
          <w:numId w:val="1"/>
        </w:numPr>
        <w:tabs>
          <w:tab w:val="left" w:pos="953"/>
          <w:tab w:val="left" w:pos="954"/>
        </w:tabs>
        <w:ind w:left="953" w:hanging="416"/>
      </w:pPr>
      <w:r>
        <w:t>realizované kurzovérozdiely,</w:t>
      </w:r>
    </w:p>
    <w:p w:rsidR="00EA2468" w:rsidRDefault="001C7585">
      <w:pPr>
        <w:pStyle w:val="Zkladntext"/>
        <w:spacing w:line="276" w:lineRule="exact"/>
        <w:ind w:left="900"/>
      </w:pPr>
      <w:r>
        <w:t>ktoré vznikli do momentu uvedenia dlhodobého majetku do užívania.</w:t>
      </w:r>
    </w:p>
    <w:p w:rsidR="00EA2468" w:rsidRDefault="00EA2468">
      <w:pPr>
        <w:pStyle w:val="Zkladntext"/>
        <w:rPr>
          <w:sz w:val="26"/>
        </w:rPr>
      </w:pPr>
    </w:p>
    <w:p w:rsidR="00EA2468" w:rsidRDefault="001C7585">
      <w:pPr>
        <w:pStyle w:val="Odsekzoznamu"/>
        <w:numPr>
          <w:ilvl w:val="0"/>
          <w:numId w:val="1"/>
        </w:numPr>
        <w:tabs>
          <w:tab w:val="left" w:pos="541"/>
        </w:tabs>
        <w:spacing w:before="160" w:line="240" w:lineRule="auto"/>
        <w:ind w:right="402"/>
        <w:rPr>
          <w:sz w:val="24"/>
        </w:rPr>
      </w:pPr>
      <w:r>
        <w:rPr>
          <w:b/>
          <w:sz w:val="24"/>
        </w:rPr>
        <w:t xml:space="preserve">Dlhodobý hmotný majetok vytvorený vlastnou činnosťou </w:t>
      </w:r>
      <w:r>
        <w:rPr>
          <w:sz w:val="24"/>
        </w:rPr>
        <w:t>sa oceňuje</w:t>
      </w:r>
      <w:r>
        <w:rPr>
          <w:sz w:val="24"/>
          <w:u w:val="single"/>
        </w:rPr>
        <w:t xml:space="preserve"> vlastnými nákladmi</w:t>
      </w:r>
      <w:r>
        <w:rPr>
          <w:sz w:val="24"/>
        </w:rPr>
        <w:t>. Vlastné nákladyobsahujú:</w:t>
      </w:r>
    </w:p>
    <w:p w:rsidR="00EA2468" w:rsidRDefault="001C7585">
      <w:pPr>
        <w:pStyle w:val="Odsekzoznamu"/>
        <w:numPr>
          <w:ilvl w:val="1"/>
          <w:numId w:val="1"/>
        </w:numPr>
        <w:tabs>
          <w:tab w:val="left" w:pos="897"/>
          <w:tab w:val="left" w:pos="899"/>
        </w:tabs>
        <w:spacing w:before="2" w:line="240" w:lineRule="auto"/>
        <w:ind w:hanging="361"/>
      </w:pPr>
      <w:r>
        <w:t>priamenáklady</w:t>
      </w:r>
    </w:p>
    <w:p w:rsidR="00EA2468" w:rsidRDefault="001C7585">
      <w:pPr>
        <w:pStyle w:val="Odsekzoznamu"/>
        <w:numPr>
          <w:ilvl w:val="1"/>
          <w:numId w:val="1"/>
        </w:numPr>
        <w:tabs>
          <w:tab w:val="left" w:pos="897"/>
          <w:tab w:val="left" w:pos="899"/>
        </w:tabs>
        <w:spacing w:before="1"/>
        <w:ind w:hanging="361"/>
      </w:pPr>
      <w:r>
        <w:t>nepriame náklady (výrobná réžia) súvisiace s vytvorením dlhodobého hmotnéhomajetku</w:t>
      </w:r>
    </w:p>
    <w:p w:rsidR="00EA2468" w:rsidRDefault="001C7585">
      <w:pPr>
        <w:pStyle w:val="Odsekzoznamu"/>
        <w:numPr>
          <w:ilvl w:val="1"/>
          <w:numId w:val="1"/>
        </w:numPr>
        <w:tabs>
          <w:tab w:val="left" w:pos="897"/>
          <w:tab w:val="left" w:pos="899"/>
        </w:tabs>
        <w:ind w:hanging="361"/>
      </w:pPr>
      <w:r>
        <w:t>iné</w:t>
      </w:r>
    </w:p>
    <w:p w:rsidR="00EA2468" w:rsidRDefault="00EA2468">
      <w:pPr>
        <w:pStyle w:val="Zkladntext"/>
      </w:pPr>
    </w:p>
    <w:p w:rsidR="00EA2468" w:rsidRDefault="001C7585">
      <w:pPr>
        <w:pStyle w:val="Nadpis2"/>
        <w:numPr>
          <w:ilvl w:val="0"/>
          <w:numId w:val="1"/>
        </w:numPr>
        <w:tabs>
          <w:tab w:val="left" w:pos="541"/>
        </w:tabs>
        <w:spacing w:before="182" w:line="240" w:lineRule="auto"/>
        <w:ind w:hanging="287"/>
        <w:rPr>
          <w:b w:val="0"/>
        </w:rPr>
      </w:pPr>
      <w:r>
        <w:t>Dlhodobý nehmotný majetok a dlhodobý hmotný majetok získaný bezodplatne</w:t>
      </w:r>
      <w:r>
        <w:rPr>
          <w:b w:val="0"/>
          <w:u w:val="single"/>
        </w:rPr>
        <w:t>saoceňuje</w:t>
      </w:r>
    </w:p>
    <w:p w:rsidR="00EA2468" w:rsidRDefault="001C7585">
      <w:pPr>
        <w:pStyle w:val="Zkladntext"/>
        <w:ind w:left="540"/>
      </w:pPr>
      <w:r>
        <w:rPr>
          <w:u w:val="single"/>
        </w:rPr>
        <w:t>reprodukčnou obstarávacou cenou.</w:t>
      </w:r>
    </w:p>
    <w:p w:rsidR="00EA2468" w:rsidRDefault="001C7585">
      <w:pPr>
        <w:pStyle w:val="Zkladntext"/>
        <w:ind w:left="540" w:right="132"/>
        <w:jc w:val="both"/>
      </w:pPr>
      <w:r>
        <w:t>Dlhodobý majetok nadobudnutý bezodplatným prevodom pri splynutí, zlúčení, rozdelení alebo pri prevode správy sa oceňuje cenou, v ktorej sa doteraz viedol v účtovníctve. Ak cenu nie je možné zistiť, oceňuje sa reprodukčnou obstarávacou cenou.</w:t>
      </w:r>
    </w:p>
    <w:p w:rsidR="00EA2468" w:rsidRDefault="00EA2468">
      <w:pPr>
        <w:pStyle w:val="Zkladntext"/>
        <w:rPr>
          <w:sz w:val="26"/>
        </w:rPr>
      </w:pPr>
    </w:p>
    <w:p w:rsidR="00EA2468" w:rsidRDefault="001C7585">
      <w:pPr>
        <w:pStyle w:val="Odsekzoznamu"/>
        <w:numPr>
          <w:ilvl w:val="0"/>
          <w:numId w:val="1"/>
        </w:numPr>
        <w:tabs>
          <w:tab w:val="left" w:pos="541"/>
        </w:tabs>
        <w:spacing w:before="162" w:line="240" w:lineRule="auto"/>
        <w:ind w:hanging="287"/>
        <w:rPr>
          <w:sz w:val="24"/>
        </w:rPr>
      </w:pPr>
      <w:r>
        <w:rPr>
          <w:b/>
          <w:sz w:val="24"/>
        </w:rPr>
        <w:t xml:space="preserve">Dlhodobý finančný majetok </w:t>
      </w:r>
      <w:r>
        <w:rPr>
          <w:sz w:val="24"/>
        </w:rPr>
        <w:t>sa oceňuje</w:t>
      </w:r>
      <w:r>
        <w:rPr>
          <w:sz w:val="24"/>
          <w:u w:val="single"/>
        </w:rPr>
        <w:t xml:space="preserve"> obstarávacoucenou</w:t>
      </w:r>
      <w:r>
        <w:rPr>
          <w:sz w:val="24"/>
        </w:rPr>
        <w:t>.</w:t>
      </w:r>
    </w:p>
    <w:p w:rsidR="00EA2468" w:rsidRDefault="001C7585">
      <w:pPr>
        <w:pStyle w:val="Zkladntext"/>
        <w:ind w:left="540" w:right="130"/>
        <w:jc w:val="both"/>
      </w:pPr>
      <w:r>
        <w:t>Obstarávacia cena zahŕňa cenu, za ktorú sa majetok obstaral a náklady súvisiace s jeho obstaraním.</w:t>
      </w:r>
    </w:p>
    <w:p w:rsidR="00EA2468" w:rsidRDefault="00EA2468">
      <w:pPr>
        <w:pStyle w:val="Zkladntext"/>
        <w:rPr>
          <w:sz w:val="26"/>
        </w:rPr>
      </w:pPr>
    </w:p>
    <w:p w:rsidR="00EA2468" w:rsidRDefault="001C7585">
      <w:pPr>
        <w:pStyle w:val="Nadpis2"/>
        <w:numPr>
          <w:ilvl w:val="0"/>
          <w:numId w:val="1"/>
        </w:numPr>
        <w:tabs>
          <w:tab w:val="left" w:pos="541"/>
        </w:tabs>
        <w:spacing w:before="167"/>
        <w:ind w:hanging="287"/>
      </w:pPr>
      <w:r>
        <w:t>Zásobynakupované</w:t>
      </w:r>
    </w:p>
    <w:p w:rsidR="00EA2468" w:rsidRDefault="001C7585">
      <w:pPr>
        <w:pStyle w:val="Zkladntext"/>
        <w:spacing w:line="274" w:lineRule="exact"/>
        <w:ind w:left="540"/>
      </w:pPr>
      <w:r>
        <w:t>Nakupované zásoby sa oceňujú</w:t>
      </w:r>
      <w:r>
        <w:rPr>
          <w:u w:val="single"/>
        </w:rPr>
        <w:t xml:space="preserve"> obstarávacou cenou</w:t>
      </w:r>
      <w:r>
        <w:t>.</w:t>
      </w:r>
    </w:p>
    <w:p w:rsidR="00EA2468" w:rsidRDefault="001C7585">
      <w:pPr>
        <w:pStyle w:val="Zkladntext"/>
        <w:spacing w:before="2" w:line="237" w:lineRule="auto"/>
        <w:ind w:left="540" w:right="73"/>
      </w:pPr>
      <w:r>
        <w:t>Obstarávacia cena zahŕňa cenu, za ktorú sa zásoby obstarali a náklady súvisiace s ich obstaraním. Vyskytujúce sa náklady súvisiace s obstaraním v účtovnej jednotke:</w:t>
      </w:r>
    </w:p>
    <w:p w:rsidR="00EA2468" w:rsidRDefault="001C7585">
      <w:pPr>
        <w:pStyle w:val="Odsekzoznamu"/>
        <w:numPr>
          <w:ilvl w:val="1"/>
          <w:numId w:val="1"/>
        </w:numPr>
        <w:tabs>
          <w:tab w:val="left" w:pos="897"/>
          <w:tab w:val="left" w:pos="899"/>
        </w:tabs>
        <w:spacing w:before="4" w:line="240" w:lineRule="auto"/>
        <w:ind w:hanging="361"/>
      </w:pPr>
      <w:r>
        <w:t>dopravné</w:t>
      </w:r>
    </w:p>
    <w:p w:rsidR="00EA2468" w:rsidRDefault="001C7585">
      <w:pPr>
        <w:pStyle w:val="Odsekzoznamu"/>
        <w:numPr>
          <w:ilvl w:val="1"/>
          <w:numId w:val="1"/>
        </w:numPr>
        <w:tabs>
          <w:tab w:val="left" w:pos="897"/>
          <w:tab w:val="left" w:pos="899"/>
        </w:tabs>
        <w:spacing w:before="1"/>
        <w:ind w:hanging="361"/>
      </w:pPr>
      <w:r>
        <w:t>provízie</w:t>
      </w:r>
    </w:p>
    <w:p w:rsidR="00EA2468" w:rsidRDefault="001C7585">
      <w:pPr>
        <w:pStyle w:val="Odsekzoznamu"/>
        <w:numPr>
          <w:ilvl w:val="1"/>
          <w:numId w:val="1"/>
        </w:numPr>
        <w:tabs>
          <w:tab w:val="left" w:pos="897"/>
          <w:tab w:val="left" w:pos="899"/>
        </w:tabs>
        <w:ind w:hanging="361"/>
      </w:pPr>
      <w:r>
        <w:t>poistné</w:t>
      </w:r>
    </w:p>
    <w:p w:rsidR="00EA2468" w:rsidRDefault="001C7585">
      <w:pPr>
        <w:pStyle w:val="Odsekzoznamu"/>
        <w:numPr>
          <w:ilvl w:val="1"/>
          <w:numId w:val="1"/>
        </w:numPr>
        <w:tabs>
          <w:tab w:val="left" w:pos="897"/>
          <w:tab w:val="left" w:pos="899"/>
        </w:tabs>
        <w:spacing w:before="2"/>
        <w:ind w:hanging="361"/>
      </w:pPr>
      <w:r>
        <w:t>clo</w:t>
      </w:r>
    </w:p>
    <w:p w:rsidR="00EA2468" w:rsidRDefault="001C7585">
      <w:pPr>
        <w:pStyle w:val="Odsekzoznamu"/>
        <w:numPr>
          <w:ilvl w:val="1"/>
          <w:numId w:val="1"/>
        </w:numPr>
        <w:tabs>
          <w:tab w:val="left" w:pos="897"/>
          <w:tab w:val="left" w:pos="899"/>
        </w:tabs>
        <w:ind w:hanging="361"/>
      </w:pPr>
      <w:r>
        <w:t>iné</w:t>
      </w:r>
    </w:p>
    <w:p w:rsidR="00EA2468" w:rsidRDefault="00EA2468">
      <w:pPr>
        <w:spacing w:line="252" w:lineRule="exact"/>
        <w:sectPr w:rsidR="00EA2468">
          <w:pgSz w:w="11910" w:h="16840"/>
          <w:pgMar w:top="1500" w:right="1000" w:bottom="840" w:left="1020" w:header="0" w:footer="657" w:gutter="0"/>
          <w:cols w:space="708"/>
        </w:sectPr>
      </w:pPr>
    </w:p>
    <w:p w:rsidR="00EA2468" w:rsidRDefault="001C7585">
      <w:pPr>
        <w:pStyle w:val="Odsekzoznamu"/>
        <w:numPr>
          <w:ilvl w:val="0"/>
          <w:numId w:val="1"/>
        </w:numPr>
        <w:tabs>
          <w:tab w:val="left" w:pos="541"/>
        </w:tabs>
        <w:spacing w:before="66" w:line="240" w:lineRule="auto"/>
        <w:ind w:right="2407"/>
        <w:rPr>
          <w:sz w:val="24"/>
        </w:rPr>
      </w:pPr>
      <w:r>
        <w:rPr>
          <w:b/>
          <w:sz w:val="24"/>
        </w:rPr>
        <w:lastRenderedPageBreak/>
        <w:t xml:space="preserve">Zásoby vytvorené vlastnou činnosťou </w:t>
      </w:r>
      <w:r>
        <w:rPr>
          <w:sz w:val="24"/>
        </w:rPr>
        <w:t>sa o</w:t>
      </w:r>
      <w:bookmarkStart w:id="0" w:name="_GoBack"/>
      <w:bookmarkEnd w:id="0"/>
      <w:r>
        <w:rPr>
          <w:sz w:val="24"/>
        </w:rPr>
        <w:t>ceňujú</w:t>
      </w:r>
      <w:r>
        <w:rPr>
          <w:sz w:val="24"/>
          <w:u w:val="single"/>
        </w:rPr>
        <w:t xml:space="preserve"> vlastnými nákladmi</w:t>
      </w:r>
      <w:r>
        <w:rPr>
          <w:sz w:val="24"/>
        </w:rPr>
        <w:t>. Vlastné nákladyobsahujú:</w:t>
      </w:r>
    </w:p>
    <w:p w:rsidR="00EA2468" w:rsidRDefault="001C7585">
      <w:pPr>
        <w:pStyle w:val="Odsekzoznamu"/>
        <w:numPr>
          <w:ilvl w:val="1"/>
          <w:numId w:val="1"/>
        </w:numPr>
        <w:tabs>
          <w:tab w:val="left" w:pos="897"/>
          <w:tab w:val="left" w:pos="899"/>
        </w:tabs>
        <w:spacing w:before="2" w:line="240" w:lineRule="auto"/>
        <w:ind w:hanging="361"/>
      </w:pPr>
      <w:r>
        <w:t>priamenáklady</w:t>
      </w:r>
    </w:p>
    <w:p w:rsidR="00EA2468" w:rsidRDefault="001C7585">
      <w:pPr>
        <w:pStyle w:val="Odsekzoznamu"/>
        <w:numPr>
          <w:ilvl w:val="1"/>
          <w:numId w:val="1"/>
        </w:numPr>
        <w:tabs>
          <w:tab w:val="left" w:pos="953"/>
          <w:tab w:val="left" w:pos="954"/>
        </w:tabs>
        <w:spacing w:before="2" w:line="240" w:lineRule="auto"/>
        <w:ind w:left="953" w:hanging="416"/>
      </w:pPr>
      <w:r>
        <w:t>časť nepriamych nákladov, súvisiaca s ich vytváraním</w:t>
      </w:r>
    </w:p>
    <w:p w:rsidR="00EA2468" w:rsidRDefault="00EA2468">
      <w:pPr>
        <w:pStyle w:val="Zkladntext"/>
      </w:pPr>
    </w:p>
    <w:p w:rsidR="00EA2468" w:rsidRDefault="001C7585">
      <w:pPr>
        <w:pStyle w:val="Odsekzoznamu"/>
        <w:numPr>
          <w:ilvl w:val="0"/>
          <w:numId w:val="1"/>
        </w:numPr>
        <w:tabs>
          <w:tab w:val="left" w:pos="541"/>
        </w:tabs>
        <w:spacing w:before="182" w:line="240" w:lineRule="auto"/>
        <w:ind w:hanging="287"/>
        <w:rPr>
          <w:sz w:val="24"/>
        </w:rPr>
      </w:pPr>
      <w:r>
        <w:rPr>
          <w:b/>
          <w:sz w:val="24"/>
        </w:rPr>
        <w:t xml:space="preserve">Zásoby získané bezodplatne </w:t>
      </w:r>
      <w:r>
        <w:rPr>
          <w:sz w:val="24"/>
        </w:rPr>
        <w:t>sa oceňujú</w:t>
      </w:r>
      <w:r>
        <w:rPr>
          <w:sz w:val="24"/>
          <w:u w:val="single"/>
        </w:rPr>
        <w:t xml:space="preserve"> reprodukčnou obstarávacoucenou.</w:t>
      </w:r>
    </w:p>
    <w:p w:rsidR="00EA2468" w:rsidRDefault="00EA2468">
      <w:pPr>
        <w:pStyle w:val="Zkladntext"/>
        <w:rPr>
          <w:sz w:val="20"/>
        </w:rPr>
      </w:pPr>
    </w:p>
    <w:p w:rsidR="00EA2468" w:rsidRDefault="00EA2468">
      <w:pPr>
        <w:pStyle w:val="Zkladntext"/>
        <w:spacing w:before="5"/>
        <w:rPr>
          <w:sz w:val="20"/>
        </w:rPr>
      </w:pPr>
    </w:p>
    <w:p w:rsidR="00EA2468" w:rsidRDefault="001C7585">
      <w:pPr>
        <w:pStyle w:val="Nadpis2"/>
        <w:numPr>
          <w:ilvl w:val="0"/>
          <w:numId w:val="1"/>
        </w:numPr>
        <w:tabs>
          <w:tab w:val="left" w:pos="541"/>
        </w:tabs>
        <w:ind w:hanging="287"/>
      </w:pPr>
      <w:r>
        <w:t>Pohľadávky</w:t>
      </w:r>
    </w:p>
    <w:p w:rsidR="00EA2468" w:rsidRDefault="001C7585">
      <w:pPr>
        <w:pStyle w:val="Zkladntext"/>
        <w:spacing w:line="274" w:lineRule="exact"/>
        <w:ind w:left="540"/>
      </w:pPr>
      <w:r>
        <w:t>Pohľadávky pri ich vzniku sa oceňujú ich menovitou hodnotou. Toto ocenenie sa znižuje</w:t>
      </w:r>
    </w:p>
    <w:p w:rsidR="00EA2468" w:rsidRDefault="001C7585">
      <w:pPr>
        <w:pStyle w:val="Zkladntext"/>
        <w:ind w:left="540"/>
      </w:pPr>
      <w:r>
        <w:t>o pochybné a nevymožiteľné pohľadávky prostredníctvom opravnej položky.</w:t>
      </w:r>
    </w:p>
    <w:p w:rsidR="00EA2468" w:rsidRDefault="00EA2468">
      <w:pPr>
        <w:pStyle w:val="Zkladntext"/>
        <w:rPr>
          <w:sz w:val="26"/>
        </w:rPr>
      </w:pPr>
    </w:p>
    <w:p w:rsidR="00EA2468" w:rsidRDefault="001C7585">
      <w:pPr>
        <w:pStyle w:val="Nadpis2"/>
        <w:numPr>
          <w:ilvl w:val="0"/>
          <w:numId w:val="1"/>
        </w:numPr>
        <w:tabs>
          <w:tab w:val="left" w:pos="541"/>
        </w:tabs>
        <w:spacing w:before="165"/>
        <w:ind w:hanging="287"/>
      </w:pPr>
      <w:r>
        <w:t>Krátkodobý finančnýmajetok</w:t>
      </w:r>
    </w:p>
    <w:p w:rsidR="00EA2468" w:rsidRDefault="001C7585">
      <w:pPr>
        <w:pStyle w:val="Zkladntext"/>
        <w:ind w:left="540" w:right="137"/>
        <w:jc w:val="both"/>
      </w:pPr>
      <w:r>
        <w:t>Peňažné prostriedky a ceniny sa oceňujú ich menovitou hodnotou. Zníženie ich hodnoty sa vyjadruje opravnou položkou.</w:t>
      </w:r>
    </w:p>
    <w:p w:rsidR="00EA2468" w:rsidRDefault="00EA2468">
      <w:pPr>
        <w:pStyle w:val="Zkladntext"/>
        <w:rPr>
          <w:sz w:val="26"/>
        </w:rPr>
      </w:pPr>
    </w:p>
    <w:p w:rsidR="00EA2468" w:rsidRDefault="001C7585">
      <w:pPr>
        <w:pStyle w:val="Nadpis2"/>
        <w:numPr>
          <w:ilvl w:val="0"/>
          <w:numId w:val="1"/>
        </w:numPr>
        <w:tabs>
          <w:tab w:val="left" w:pos="541"/>
        </w:tabs>
        <w:spacing w:before="165"/>
        <w:ind w:hanging="287"/>
      </w:pPr>
      <w:r>
        <w:t>Časové rozlíšenie na straneaktív</w:t>
      </w:r>
    </w:p>
    <w:p w:rsidR="00EA2468" w:rsidRDefault="001C7585">
      <w:pPr>
        <w:pStyle w:val="Zkladntext"/>
        <w:ind w:left="540" w:right="140"/>
        <w:jc w:val="both"/>
      </w:pPr>
      <w:r>
        <w:t>Náklady budúcich období a príjmy budúcich období sa vykazujú vo výške, ktorá je potrebná na dodržanie zásady vecnej a časovej súvislosti s účtovným obdobím.</w:t>
      </w:r>
    </w:p>
    <w:p w:rsidR="00EA2468" w:rsidRDefault="00EA2468">
      <w:pPr>
        <w:pStyle w:val="Zkladntext"/>
        <w:rPr>
          <w:sz w:val="26"/>
        </w:rPr>
      </w:pPr>
    </w:p>
    <w:p w:rsidR="00EA2468" w:rsidRDefault="001C7585">
      <w:pPr>
        <w:pStyle w:val="Nadpis2"/>
        <w:numPr>
          <w:ilvl w:val="0"/>
          <w:numId w:val="1"/>
        </w:numPr>
        <w:tabs>
          <w:tab w:val="left" w:pos="541"/>
        </w:tabs>
        <w:spacing w:before="161"/>
        <w:ind w:hanging="287"/>
        <w:jc w:val="both"/>
      </w:pPr>
      <w:r>
        <w:t>Záväzky, vrátane rezerv, dlhopisov, pôžičiek aúverov</w:t>
      </w:r>
    </w:p>
    <w:p w:rsidR="00EA2468" w:rsidRDefault="001C7585">
      <w:pPr>
        <w:pStyle w:val="Zkladntext"/>
        <w:ind w:left="540" w:right="135"/>
        <w:jc w:val="both"/>
      </w:pPr>
      <w:r>
        <w:rPr>
          <w:u w:val="single"/>
        </w:rPr>
        <w:t>Záväzky</w:t>
      </w:r>
      <w:r>
        <w:t xml:space="preserve"> pri ich vzniku sa oceňujú </w:t>
      </w:r>
      <w:r>
        <w:rPr>
          <w:u w:val="single"/>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rPr>
        <w:t>Rezervy</w:t>
      </w:r>
      <w:r>
        <w:t xml:space="preserve"> sú záväzky s neurčitým časovým vymedzením alebo výškou; tvoria sa na krytie známych rizík alebo strát z podnikania. Oceňujú sa v očakávanej výškezáväzku.</w:t>
      </w:r>
    </w:p>
    <w:p w:rsidR="00EA2468" w:rsidRDefault="00EA2468">
      <w:pPr>
        <w:pStyle w:val="Zkladntext"/>
        <w:rPr>
          <w:sz w:val="26"/>
        </w:rPr>
      </w:pPr>
    </w:p>
    <w:p w:rsidR="00EA2468" w:rsidRDefault="001C7585">
      <w:pPr>
        <w:pStyle w:val="Nadpis2"/>
        <w:numPr>
          <w:ilvl w:val="0"/>
          <w:numId w:val="1"/>
        </w:numPr>
        <w:tabs>
          <w:tab w:val="left" w:pos="541"/>
        </w:tabs>
        <w:spacing w:before="165"/>
        <w:ind w:hanging="287"/>
      </w:pPr>
      <w:r>
        <w:t>Časové rozlíšenie na stranepasív</w:t>
      </w:r>
    </w:p>
    <w:p w:rsidR="00EA2468" w:rsidRDefault="001C7585">
      <w:pPr>
        <w:pStyle w:val="Zkladntext"/>
        <w:ind w:left="540" w:right="131"/>
        <w:jc w:val="both"/>
      </w:pPr>
      <w:r>
        <w:t>Výdavky budúcich období a výnosy budúcich období sa vykazujú vo výške, ktorá je potrebná na dodržanie zásady vecnej a časovej súvislosti s účtovným obdobím.</w:t>
      </w:r>
    </w:p>
    <w:p w:rsidR="00EA2468" w:rsidRDefault="00EA2468">
      <w:pPr>
        <w:pStyle w:val="Zkladntext"/>
        <w:rPr>
          <w:sz w:val="26"/>
        </w:rPr>
      </w:pPr>
    </w:p>
    <w:p w:rsidR="00EA2468" w:rsidRDefault="001C7585">
      <w:pPr>
        <w:pStyle w:val="Nadpis2"/>
        <w:numPr>
          <w:ilvl w:val="0"/>
          <w:numId w:val="1"/>
        </w:numPr>
        <w:tabs>
          <w:tab w:val="left" w:pos="541"/>
        </w:tabs>
        <w:spacing w:before="164"/>
        <w:ind w:hanging="287"/>
      </w:pPr>
      <w:r>
        <w:t>Deriváty</w:t>
      </w:r>
    </w:p>
    <w:p w:rsidR="00EA2468" w:rsidRDefault="001C7585">
      <w:pPr>
        <w:pStyle w:val="Zkladntext"/>
        <w:spacing w:line="274" w:lineRule="exact"/>
        <w:ind w:left="540"/>
      </w:pPr>
      <w:r>
        <w:t>Deriváty sa oceňujú</w:t>
      </w:r>
      <w:r>
        <w:rPr>
          <w:u w:val="single"/>
        </w:rPr>
        <w:t xml:space="preserve"> reálnou hodnotou</w:t>
      </w:r>
      <w:r>
        <w:t>.</w:t>
      </w:r>
    </w:p>
    <w:p w:rsidR="00EA2468" w:rsidRDefault="00EA2468">
      <w:pPr>
        <w:pStyle w:val="Zkladntext"/>
        <w:rPr>
          <w:sz w:val="20"/>
        </w:rPr>
      </w:pPr>
    </w:p>
    <w:p w:rsidR="00EA2468" w:rsidRDefault="00EA2468">
      <w:pPr>
        <w:pStyle w:val="Zkladntext"/>
        <w:spacing w:before="4"/>
        <w:rPr>
          <w:sz w:val="20"/>
        </w:rPr>
      </w:pPr>
    </w:p>
    <w:p w:rsidR="00EA2468" w:rsidRDefault="001C7585">
      <w:pPr>
        <w:pStyle w:val="Nadpis2"/>
        <w:numPr>
          <w:ilvl w:val="0"/>
          <w:numId w:val="1"/>
        </w:numPr>
        <w:tabs>
          <w:tab w:val="left" w:pos="541"/>
        </w:tabs>
        <w:ind w:hanging="287"/>
        <w:jc w:val="both"/>
      </w:pPr>
      <w:r>
        <w:t>Majetok a záväzky zabezpečenéderivátmi</w:t>
      </w:r>
    </w:p>
    <w:p w:rsidR="00EA2468" w:rsidRDefault="001C7585">
      <w:pPr>
        <w:pStyle w:val="Zkladntext"/>
        <w:ind w:left="540" w:right="133"/>
        <w:jc w:val="both"/>
      </w:pPr>
      <w:r>
        <w:t>Majetok a záväzky zabezpečené derivátmi sa oceňujú</w:t>
      </w:r>
      <w:r>
        <w:rPr>
          <w:u w:val="single"/>
        </w:rPr>
        <w:t xml:space="preserve"> reálnou hodnotou</w:t>
      </w:r>
      <w:r>
        <w:t>. Zmeny reálnych hodnôt majetku a záväzkov zabezpečených derivátmi sa účtujú bez vplyvu na výsledok hospodárenia, priamo do vlastného imania.</w:t>
      </w:r>
    </w:p>
    <w:p w:rsidR="00EA2468" w:rsidRDefault="00EA2468">
      <w:pPr>
        <w:pStyle w:val="Zkladntext"/>
        <w:rPr>
          <w:sz w:val="26"/>
        </w:rPr>
      </w:pPr>
    </w:p>
    <w:p w:rsidR="00EA2468" w:rsidRDefault="005A6F34">
      <w:pPr>
        <w:pStyle w:val="Odsekzoznamu"/>
        <w:numPr>
          <w:ilvl w:val="0"/>
          <w:numId w:val="1"/>
        </w:numPr>
        <w:tabs>
          <w:tab w:val="left" w:pos="541"/>
        </w:tabs>
        <w:spacing w:before="160" w:line="240" w:lineRule="auto"/>
        <w:ind w:hanging="287"/>
        <w:jc w:val="both"/>
        <w:rPr>
          <w:sz w:val="24"/>
        </w:rPr>
      </w:pPr>
      <w:r w:rsidRPr="005A6F34">
        <w:pict>
          <v:rect id="_x0000_s1026" style="position:absolute;left:0;text-align:left;margin-left:293.55pt;margin-top:20.5pt;width:101.2pt;height:.6pt;z-index:15728640;mso-position-horizontal-relative:page" fillcolor="black" stroked="f">
            <w10:wrap anchorx="page"/>
          </v:rect>
        </w:pict>
      </w:r>
      <w:r w:rsidR="001C7585">
        <w:rPr>
          <w:b/>
          <w:sz w:val="24"/>
        </w:rPr>
        <w:t xml:space="preserve">Majetok obstaraný z transferov </w:t>
      </w:r>
      <w:r w:rsidR="001C7585">
        <w:rPr>
          <w:sz w:val="24"/>
        </w:rPr>
        <w:t>sa oceňuje obstarávacoucenou.</w:t>
      </w:r>
    </w:p>
    <w:p w:rsidR="00EA2468" w:rsidRDefault="00EA2468">
      <w:pPr>
        <w:pStyle w:val="Zkladntext"/>
        <w:rPr>
          <w:sz w:val="20"/>
        </w:rPr>
      </w:pPr>
    </w:p>
    <w:p w:rsidR="00EA2468" w:rsidRDefault="001C7585">
      <w:pPr>
        <w:pStyle w:val="Odsekzoznamu"/>
        <w:numPr>
          <w:ilvl w:val="0"/>
          <w:numId w:val="1"/>
        </w:numPr>
        <w:tabs>
          <w:tab w:val="left" w:pos="541"/>
        </w:tabs>
        <w:spacing w:before="231" w:line="240" w:lineRule="auto"/>
        <w:ind w:hanging="287"/>
        <w:jc w:val="both"/>
        <w:rPr>
          <w:sz w:val="24"/>
        </w:rPr>
      </w:pPr>
      <w:r>
        <w:rPr>
          <w:b/>
          <w:sz w:val="24"/>
        </w:rPr>
        <w:t xml:space="preserve">Finančný prenájom </w:t>
      </w:r>
      <w:r>
        <w:rPr>
          <w:sz w:val="24"/>
        </w:rPr>
        <w:t>sa oceňuje</w:t>
      </w:r>
      <w:r>
        <w:rPr>
          <w:sz w:val="24"/>
          <w:u w:val="single"/>
        </w:rPr>
        <w:t xml:space="preserve"> obstarávacoucenou.</w:t>
      </w:r>
    </w:p>
    <w:p w:rsidR="00EA2468" w:rsidRDefault="001C7585">
      <w:pPr>
        <w:pStyle w:val="Zkladntext"/>
        <w:ind w:left="540" w:right="130"/>
        <w:jc w:val="both"/>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nievlastník.</w:t>
      </w:r>
    </w:p>
    <w:p w:rsidR="00EA2468" w:rsidRDefault="00EA2468">
      <w:pPr>
        <w:jc w:val="both"/>
        <w:sectPr w:rsidR="00EA2468">
          <w:pgSz w:w="11910" w:h="16840"/>
          <w:pgMar w:top="1040" w:right="1000" w:bottom="840" w:left="1020" w:header="0" w:footer="657" w:gutter="0"/>
          <w:cols w:space="708"/>
        </w:sectPr>
      </w:pPr>
    </w:p>
    <w:p w:rsidR="00EA2468" w:rsidRDefault="001C7585">
      <w:pPr>
        <w:pStyle w:val="Nadpis2"/>
        <w:numPr>
          <w:ilvl w:val="0"/>
          <w:numId w:val="2"/>
        </w:numPr>
        <w:tabs>
          <w:tab w:val="left" w:pos="416"/>
        </w:tabs>
        <w:spacing w:before="71" w:line="240" w:lineRule="auto"/>
        <w:ind w:left="112" w:right="138" w:firstLine="0"/>
        <w:jc w:val="left"/>
      </w:pPr>
      <w:r>
        <w:lastRenderedPageBreak/>
        <w:t>Spôsob zostavenia odpisového plánu pre dlhodobý majetok, doba odpisovania, sadzby odpisov a odpisové metódy pri stanovení účtovnýchodpisov.</w:t>
      </w:r>
    </w:p>
    <w:p w:rsidR="00EA2468" w:rsidRDefault="00EA2468">
      <w:pPr>
        <w:pStyle w:val="Zkladntext"/>
        <w:rPr>
          <w:b/>
          <w:sz w:val="26"/>
        </w:rPr>
      </w:pPr>
    </w:p>
    <w:p w:rsidR="00EA2468" w:rsidRDefault="001C7585">
      <w:pPr>
        <w:spacing w:before="162" w:line="274" w:lineRule="exact"/>
        <w:ind w:left="112"/>
        <w:jc w:val="both"/>
        <w:rPr>
          <w:b/>
          <w:sz w:val="24"/>
        </w:rPr>
      </w:pPr>
      <w:r>
        <w:rPr>
          <w:b/>
          <w:sz w:val="24"/>
        </w:rPr>
        <w:t>Podstata odpisovania dlhodobého nehmotného a dlhodobého hmotného majetku</w:t>
      </w:r>
    </w:p>
    <w:p w:rsidR="00EA2468" w:rsidRDefault="001C7585">
      <w:pPr>
        <w:pStyle w:val="Zkladntext"/>
        <w:ind w:left="112" w:right="132"/>
        <w:jc w:val="both"/>
      </w:pPr>
      <w:r>
        <w:t>Odpisy dlhodobého nehmotného majetku a dlhodobého hmotného majetku sú stanovené tak, že sa vychádza z predpokladanej doby jeho užívania a predpokladaného priebehu jeho opotrebenia. Odpisovať sa začína:</w:t>
      </w:r>
    </w:p>
    <w:p w:rsidR="00EA2468" w:rsidRDefault="001C7585">
      <w:pPr>
        <w:pStyle w:val="Zkladntext"/>
        <w:ind w:left="538"/>
        <w:jc w:val="both"/>
      </w:pPr>
      <w:r>
        <w:t xml:space="preserve">- </w:t>
      </w:r>
      <w:r>
        <w:rPr>
          <w:sz w:val="22"/>
        </w:rPr>
        <w:t xml:space="preserve">odo </w:t>
      </w:r>
      <w:r>
        <w:t>dňa jeho zaradenia do používania</w:t>
      </w:r>
    </w:p>
    <w:p w:rsidR="00EA2468" w:rsidRDefault="001C7585">
      <w:pPr>
        <w:pStyle w:val="Zkladntext"/>
        <w:ind w:left="112" w:right="136"/>
        <w:jc w:val="both"/>
      </w:pPr>
      <w:r>
        <w:t>Účtovné odpisy sa zaokrúhľujú na celé eurá nahor. Metóda odpisovania sa používa lineárna. Predpokladaná doba užívania a odpisové sadzby sú stanovené takto:</w:t>
      </w:r>
    </w:p>
    <w:p w:rsidR="00EA2468" w:rsidRDefault="00EA2468">
      <w:pPr>
        <w:pStyle w:val="Zkladntext"/>
        <w:rPr>
          <w:sz w:val="20"/>
        </w:rPr>
      </w:pPr>
    </w:p>
    <w:p w:rsidR="00EA2468" w:rsidRDefault="00EA2468">
      <w:pPr>
        <w:pStyle w:val="Zkladntext"/>
        <w:spacing w:before="7"/>
        <w:rPr>
          <w:sz w:val="2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963"/>
        <w:gridCol w:w="3073"/>
        <w:gridCol w:w="3616"/>
      </w:tblGrid>
      <w:tr w:rsidR="00EA2468">
        <w:trPr>
          <w:trHeight w:val="551"/>
        </w:trPr>
        <w:tc>
          <w:tcPr>
            <w:tcW w:w="2963" w:type="dxa"/>
          </w:tcPr>
          <w:p w:rsidR="00EA2468" w:rsidRDefault="001C7585">
            <w:pPr>
              <w:pStyle w:val="TableParagraph"/>
              <w:spacing w:line="273" w:lineRule="exact"/>
              <w:ind w:left="537" w:right="527"/>
              <w:jc w:val="center"/>
              <w:rPr>
                <w:b/>
                <w:sz w:val="24"/>
              </w:rPr>
            </w:pPr>
            <w:r>
              <w:rPr>
                <w:b/>
                <w:sz w:val="24"/>
              </w:rPr>
              <w:t>Odpisová skupina</w:t>
            </w:r>
          </w:p>
        </w:tc>
        <w:tc>
          <w:tcPr>
            <w:tcW w:w="3073" w:type="dxa"/>
          </w:tcPr>
          <w:p w:rsidR="00EA2468" w:rsidRDefault="001C7585">
            <w:pPr>
              <w:pStyle w:val="TableParagraph"/>
              <w:spacing w:line="273" w:lineRule="exact"/>
              <w:ind w:left="465"/>
              <w:rPr>
                <w:b/>
                <w:sz w:val="24"/>
              </w:rPr>
            </w:pPr>
            <w:r>
              <w:rPr>
                <w:b/>
                <w:sz w:val="24"/>
              </w:rPr>
              <w:t>Predpokladanádoba</w:t>
            </w:r>
          </w:p>
          <w:p w:rsidR="00EA2468" w:rsidRDefault="001C7585">
            <w:pPr>
              <w:pStyle w:val="TableParagraph"/>
              <w:spacing w:line="259" w:lineRule="exact"/>
              <w:ind w:left="496"/>
              <w:rPr>
                <w:b/>
                <w:sz w:val="24"/>
              </w:rPr>
            </w:pPr>
            <w:r>
              <w:rPr>
                <w:b/>
                <w:sz w:val="24"/>
              </w:rPr>
              <w:t>používania vrokoch</w:t>
            </w:r>
          </w:p>
        </w:tc>
        <w:tc>
          <w:tcPr>
            <w:tcW w:w="3616" w:type="dxa"/>
          </w:tcPr>
          <w:p w:rsidR="00EA2468" w:rsidRDefault="001C7585">
            <w:pPr>
              <w:pStyle w:val="TableParagraph"/>
              <w:spacing w:line="273" w:lineRule="exact"/>
              <w:ind w:left="593" w:right="584"/>
              <w:jc w:val="center"/>
              <w:rPr>
                <w:b/>
                <w:sz w:val="24"/>
              </w:rPr>
            </w:pPr>
            <w:r>
              <w:rPr>
                <w:b/>
                <w:sz w:val="24"/>
              </w:rPr>
              <w:t>Ročná odpisová sadzba</w:t>
            </w:r>
          </w:p>
        </w:tc>
      </w:tr>
      <w:tr w:rsidR="00EA2468">
        <w:trPr>
          <w:trHeight w:val="275"/>
        </w:trPr>
        <w:tc>
          <w:tcPr>
            <w:tcW w:w="2963" w:type="dxa"/>
          </w:tcPr>
          <w:p w:rsidR="00EA2468" w:rsidRDefault="001C7585">
            <w:pPr>
              <w:pStyle w:val="TableParagraph"/>
              <w:ind w:left="9"/>
              <w:jc w:val="center"/>
              <w:rPr>
                <w:sz w:val="24"/>
              </w:rPr>
            </w:pPr>
            <w:r>
              <w:rPr>
                <w:sz w:val="24"/>
              </w:rPr>
              <w:t>1</w:t>
            </w:r>
          </w:p>
        </w:tc>
        <w:tc>
          <w:tcPr>
            <w:tcW w:w="3073" w:type="dxa"/>
          </w:tcPr>
          <w:p w:rsidR="00EA2468" w:rsidRDefault="001C7585">
            <w:pPr>
              <w:pStyle w:val="TableParagraph"/>
              <w:ind w:left="0" w:right="1463"/>
              <w:jc w:val="right"/>
              <w:rPr>
                <w:sz w:val="24"/>
              </w:rPr>
            </w:pPr>
            <w:r>
              <w:rPr>
                <w:sz w:val="24"/>
              </w:rPr>
              <w:t>4</w:t>
            </w:r>
          </w:p>
        </w:tc>
        <w:tc>
          <w:tcPr>
            <w:tcW w:w="3616" w:type="dxa"/>
          </w:tcPr>
          <w:p w:rsidR="00EA2468" w:rsidRDefault="001C7585">
            <w:pPr>
              <w:pStyle w:val="TableParagraph"/>
              <w:ind w:left="589" w:right="584"/>
              <w:jc w:val="center"/>
              <w:rPr>
                <w:sz w:val="24"/>
              </w:rPr>
            </w:pPr>
            <w:r>
              <w:rPr>
                <w:sz w:val="24"/>
              </w:rPr>
              <w:t>1 / 4</w:t>
            </w:r>
          </w:p>
        </w:tc>
      </w:tr>
      <w:tr w:rsidR="00EA2468">
        <w:trPr>
          <w:trHeight w:val="276"/>
        </w:trPr>
        <w:tc>
          <w:tcPr>
            <w:tcW w:w="2963" w:type="dxa"/>
          </w:tcPr>
          <w:p w:rsidR="00EA2468" w:rsidRDefault="001C7585">
            <w:pPr>
              <w:pStyle w:val="TableParagraph"/>
              <w:ind w:left="9"/>
              <w:jc w:val="center"/>
              <w:rPr>
                <w:sz w:val="24"/>
              </w:rPr>
            </w:pPr>
            <w:r>
              <w:rPr>
                <w:sz w:val="24"/>
              </w:rPr>
              <w:t>2</w:t>
            </w:r>
          </w:p>
        </w:tc>
        <w:tc>
          <w:tcPr>
            <w:tcW w:w="3073" w:type="dxa"/>
          </w:tcPr>
          <w:p w:rsidR="00EA2468" w:rsidRDefault="001C7585">
            <w:pPr>
              <w:pStyle w:val="TableParagraph"/>
              <w:ind w:left="0" w:right="1463"/>
              <w:jc w:val="right"/>
              <w:rPr>
                <w:sz w:val="24"/>
              </w:rPr>
            </w:pPr>
            <w:r>
              <w:rPr>
                <w:sz w:val="24"/>
              </w:rPr>
              <w:t>6</w:t>
            </w:r>
          </w:p>
        </w:tc>
        <w:tc>
          <w:tcPr>
            <w:tcW w:w="3616" w:type="dxa"/>
          </w:tcPr>
          <w:p w:rsidR="00EA2468" w:rsidRDefault="001C7585">
            <w:pPr>
              <w:pStyle w:val="TableParagraph"/>
              <w:ind w:left="589" w:right="584"/>
              <w:jc w:val="center"/>
              <w:rPr>
                <w:sz w:val="24"/>
              </w:rPr>
            </w:pPr>
            <w:r>
              <w:rPr>
                <w:sz w:val="24"/>
              </w:rPr>
              <w:t>1 / 6</w:t>
            </w:r>
          </w:p>
        </w:tc>
      </w:tr>
      <w:tr w:rsidR="00EA2468">
        <w:trPr>
          <w:trHeight w:val="275"/>
        </w:trPr>
        <w:tc>
          <w:tcPr>
            <w:tcW w:w="2963" w:type="dxa"/>
          </w:tcPr>
          <w:p w:rsidR="00EA2468" w:rsidRDefault="001C7585">
            <w:pPr>
              <w:pStyle w:val="TableParagraph"/>
              <w:ind w:left="9"/>
              <w:jc w:val="center"/>
              <w:rPr>
                <w:sz w:val="24"/>
              </w:rPr>
            </w:pPr>
            <w:r>
              <w:rPr>
                <w:sz w:val="24"/>
              </w:rPr>
              <w:t>3</w:t>
            </w:r>
          </w:p>
        </w:tc>
        <w:tc>
          <w:tcPr>
            <w:tcW w:w="3073" w:type="dxa"/>
          </w:tcPr>
          <w:p w:rsidR="00EA2468" w:rsidRDefault="001C7585">
            <w:pPr>
              <w:pStyle w:val="TableParagraph"/>
              <w:ind w:left="0" w:right="1403"/>
              <w:jc w:val="right"/>
              <w:rPr>
                <w:sz w:val="24"/>
              </w:rPr>
            </w:pPr>
            <w:r>
              <w:rPr>
                <w:sz w:val="24"/>
              </w:rPr>
              <w:t>12</w:t>
            </w:r>
          </w:p>
        </w:tc>
        <w:tc>
          <w:tcPr>
            <w:tcW w:w="3616" w:type="dxa"/>
          </w:tcPr>
          <w:p w:rsidR="00EA2468" w:rsidRDefault="001C7585">
            <w:pPr>
              <w:pStyle w:val="TableParagraph"/>
              <w:ind w:left="589" w:right="584"/>
              <w:jc w:val="center"/>
              <w:rPr>
                <w:sz w:val="24"/>
              </w:rPr>
            </w:pPr>
            <w:r>
              <w:rPr>
                <w:sz w:val="24"/>
              </w:rPr>
              <w:t>1 / 12</w:t>
            </w:r>
          </w:p>
        </w:tc>
      </w:tr>
      <w:tr w:rsidR="00EA2468">
        <w:trPr>
          <w:trHeight w:val="277"/>
        </w:trPr>
        <w:tc>
          <w:tcPr>
            <w:tcW w:w="2963" w:type="dxa"/>
          </w:tcPr>
          <w:p w:rsidR="00EA2468" w:rsidRDefault="001C7585">
            <w:pPr>
              <w:pStyle w:val="TableParagraph"/>
              <w:spacing w:line="258" w:lineRule="exact"/>
              <w:ind w:left="9"/>
              <w:jc w:val="center"/>
              <w:rPr>
                <w:sz w:val="24"/>
              </w:rPr>
            </w:pPr>
            <w:r>
              <w:rPr>
                <w:sz w:val="24"/>
              </w:rPr>
              <w:t>4</w:t>
            </w:r>
          </w:p>
        </w:tc>
        <w:tc>
          <w:tcPr>
            <w:tcW w:w="3073" w:type="dxa"/>
          </w:tcPr>
          <w:p w:rsidR="00EA2468" w:rsidRDefault="001C7585">
            <w:pPr>
              <w:pStyle w:val="TableParagraph"/>
              <w:spacing w:line="258" w:lineRule="exact"/>
              <w:ind w:left="0" w:right="1403"/>
              <w:jc w:val="right"/>
              <w:rPr>
                <w:sz w:val="24"/>
              </w:rPr>
            </w:pPr>
            <w:r>
              <w:rPr>
                <w:sz w:val="24"/>
              </w:rPr>
              <w:t>20</w:t>
            </w:r>
          </w:p>
        </w:tc>
        <w:tc>
          <w:tcPr>
            <w:tcW w:w="3616" w:type="dxa"/>
          </w:tcPr>
          <w:p w:rsidR="00EA2468" w:rsidRDefault="001C7585">
            <w:pPr>
              <w:pStyle w:val="TableParagraph"/>
              <w:spacing w:line="258" w:lineRule="exact"/>
              <w:ind w:left="589" w:right="584"/>
              <w:jc w:val="center"/>
              <w:rPr>
                <w:sz w:val="24"/>
              </w:rPr>
            </w:pPr>
            <w:r>
              <w:rPr>
                <w:sz w:val="24"/>
              </w:rPr>
              <w:t>1 / 20</w:t>
            </w:r>
          </w:p>
        </w:tc>
      </w:tr>
    </w:tbl>
    <w:p w:rsidR="00EA2468" w:rsidRDefault="00EA2468">
      <w:pPr>
        <w:pStyle w:val="Zkladntext"/>
        <w:rPr>
          <w:sz w:val="20"/>
        </w:rPr>
      </w:pPr>
    </w:p>
    <w:p w:rsidR="00EA2468" w:rsidRDefault="001C7585">
      <w:pPr>
        <w:pStyle w:val="Zkladntext"/>
        <w:spacing w:before="220"/>
        <w:ind w:left="112" w:right="133"/>
        <w:jc w:val="both"/>
      </w:pPr>
      <w:r>
        <w:t>Drobný nehmotný majetok od 0,00 € do1 699,00 €, ktorý podľa rozhodnutia účtovnej jednotky nie je dlhodobým nehmotným majetkom sa účtuje pri obstaraní do nákladov na účet 518 - Ostatné služby.</w:t>
      </w:r>
    </w:p>
    <w:p w:rsidR="00EA2468" w:rsidRDefault="001C7585">
      <w:pPr>
        <w:pStyle w:val="Zkladntext"/>
        <w:ind w:left="112" w:right="135"/>
        <w:jc w:val="both"/>
      </w:pPr>
      <w:r>
        <w:t>Drobný hmotný majetok od 0,00 € do1 699,00 €, ktorý podľa rozhodnutia účtovnej jednotky nie je dlhodobým hmotným majetkom sa účtuje ako zásoby.</w:t>
      </w:r>
    </w:p>
    <w:p w:rsidR="00EA2468" w:rsidRDefault="00EA2468">
      <w:pPr>
        <w:pStyle w:val="Zkladntext"/>
        <w:rPr>
          <w:sz w:val="26"/>
        </w:rPr>
      </w:pPr>
    </w:p>
    <w:p w:rsidR="00EA2468" w:rsidRDefault="001C7585">
      <w:pPr>
        <w:pStyle w:val="Nadpis2"/>
        <w:numPr>
          <w:ilvl w:val="0"/>
          <w:numId w:val="2"/>
        </w:numPr>
        <w:tabs>
          <w:tab w:val="left" w:pos="354"/>
        </w:tabs>
        <w:spacing w:before="167"/>
        <w:ind w:left="353" w:hanging="242"/>
        <w:jc w:val="both"/>
      </w:pPr>
      <w:r>
        <w:t>Zásady pre zohľadnenie zníženia hodnotymajetku.</w:t>
      </w:r>
    </w:p>
    <w:p w:rsidR="00EA2468" w:rsidRDefault="001C7585">
      <w:pPr>
        <w:pStyle w:val="Zkladntext"/>
        <w:spacing w:line="274" w:lineRule="exact"/>
        <w:ind w:left="112"/>
        <w:jc w:val="both"/>
      </w:pPr>
      <w:r>
        <w:t>Prechodné zníženie hodnoty majetku sa vyjadruje</w:t>
      </w:r>
      <w:r>
        <w:rPr>
          <w:u w:val="single"/>
        </w:rPr>
        <w:t xml:space="preserve"> opravnou položkou</w:t>
      </w:r>
      <w:r>
        <w:t>.</w:t>
      </w:r>
    </w:p>
    <w:p w:rsidR="00EA2468" w:rsidRDefault="001C7585">
      <w:pPr>
        <w:pStyle w:val="Zkladntext"/>
        <w:ind w:left="112" w:right="134"/>
        <w:jc w:val="both"/>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tohtomajetku.</w:t>
      </w:r>
    </w:p>
    <w:p w:rsidR="00EA2468" w:rsidRDefault="001C7585">
      <w:pPr>
        <w:pStyle w:val="Zkladntext"/>
        <w:ind w:left="112" w:right="137"/>
        <w:jc w:val="both"/>
      </w:pPr>
      <w:r>
        <w:t>Ak došlo k trvalému zníženiu hodnoty majetku, zníženie sa účtuje na ťarchu nákladov, napríklad odpis pohľadávky na základe súdneho rozhodnutia o jej vyrovnaní, mimoriadny odpis dlhodobého majetku.</w:t>
      </w:r>
    </w:p>
    <w:p w:rsidR="00EA2468" w:rsidRDefault="001C7585">
      <w:pPr>
        <w:pStyle w:val="Zkladntext"/>
        <w:spacing w:before="120"/>
        <w:ind w:left="112" w:right="131"/>
        <w:jc w:val="both"/>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EA2468" w:rsidRDefault="001C7585">
      <w:pPr>
        <w:pStyle w:val="Zkladntext"/>
        <w:spacing w:before="121"/>
        <w:ind w:left="112" w:right="133"/>
        <w:jc w:val="both"/>
      </w:pPr>
      <w:r>
        <w:t>Opravné položky k</w:t>
      </w:r>
      <w:r>
        <w:rPr>
          <w:u w:val="single"/>
        </w:rPr>
        <w:t xml:space="preserve"> 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rsidR="00EA2468" w:rsidRDefault="001C7585">
      <w:pPr>
        <w:pStyle w:val="Zkladntext"/>
        <w:spacing w:before="120"/>
        <w:ind w:left="112" w:right="130"/>
        <w:jc w:val="both"/>
      </w:pPr>
      <w:r>
        <w:t>Opravné položky k</w:t>
      </w:r>
      <w:r>
        <w:rPr>
          <w:u w:val="single"/>
        </w:rPr>
        <w:t xml:space="preserve"> pohľadávkam</w:t>
      </w:r>
      <w:r>
        <w:t xml:space="preserve"> sa tvoria najmä k pohľadávkam, pri ktorých je opodstatnené predpokladať, že ich dlžník úplne alebo čiastočne nezaplatí, k sporným pohľadávkam voči dlžníkom, s ktorými sa vedie spor o ich uznanie.</w:t>
      </w:r>
    </w:p>
    <w:p w:rsidR="00EA2468" w:rsidRDefault="00EA2468">
      <w:pPr>
        <w:jc w:val="both"/>
        <w:sectPr w:rsidR="00EA2468">
          <w:pgSz w:w="11910" w:h="16840"/>
          <w:pgMar w:top="1040" w:right="1000" w:bottom="840" w:left="1020" w:header="0" w:footer="657" w:gutter="0"/>
          <w:cols w:space="708"/>
        </w:sectPr>
      </w:pPr>
    </w:p>
    <w:p w:rsidR="00EA2468" w:rsidRDefault="001C7585">
      <w:pPr>
        <w:pStyle w:val="Zkladntext"/>
        <w:spacing w:before="66"/>
        <w:ind w:left="112" w:right="131"/>
        <w:jc w:val="both"/>
      </w:pPr>
      <w:r>
        <w:rPr>
          <w:u w:val="single"/>
        </w:rPr>
        <w:lastRenderedPageBreak/>
        <w:t>Tvorba opravných položiek v rámci hlavnej činnosti</w:t>
      </w:r>
      <w:r>
        <w:t xml:space="preserve"> - k pohľadávkam, pri ktorých je riziko, že ich dlžník úplne alebo čiastočne nezaplatí, ak od splatnosti pohľadávky uplynula doba dlhšia ako:</w:t>
      </w:r>
    </w:p>
    <w:p w:rsidR="00EA2468" w:rsidRDefault="00EA2468">
      <w:pPr>
        <w:pStyle w:val="Zkladntext"/>
        <w:spacing w:before="1" w:after="1"/>
        <w:rPr>
          <w:sz w:val="11"/>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40"/>
        <w:gridCol w:w="8209"/>
      </w:tblGrid>
      <w:tr w:rsidR="00EA2468">
        <w:trPr>
          <w:trHeight w:val="278"/>
        </w:trPr>
        <w:tc>
          <w:tcPr>
            <w:tcW w:w="1440" w:type="dxa"/>
          </w:tcPr>
          <w:p w:rsidR="00EA2468" w:rsidRDefault="001C7585">
            <w:pPr>
              <w:pStyle w:val="TableParagraph"/>
              <w:spacing w:line="258" w:lineRule="exact"/>
              <w:rPr>
                <w:sz w:val="24"/>
              </w:rPr>
            </w:pPr>
            <w:r>
              <w:rPr>
                <w:sz w:val="24"/>
              </w:rPr>
              <w:t>365 dní</w:t>
            </w:r>
          </w:p>
        </w:tc>
        <w:tc>
          <w:tcPr>
            <w:tcW w:w="8209" w:type="dxa"/>
          </w:tcPr>
          <w:p w:rsidR="00EA2468" w:rsidRDefault="001C7585">
            <w:pPr>
              <w:pStyle w:val="TableParagraph"/>
              <w:spacing w:line="258" w:lineRule="exact"/>
              <w:ind w:left="108"/>
              <w:rPr>
                <w:sz w:val="24"/>
              </w:rPr>
            </w:pPr>
            <w:r>
              <w:rPr>
                <w:sz w:val="24"/>
              </w:rPr>
              <w:t>najviac do výšky 25% menovitej hodnoty pohľadávky bez príslušenstva</w:t>
            </w:r>
          </w:p>
        </w:tc>
      </w:tr>
      <w:tr w:rsidR="00EA2468">
        <w:trPr>
          <w:trHeight w:val="275"/>
        </w:trPr>
        <w:tc>
          <w:tcPr>
            <w:tcW w:w="1440" w:type="dxa"/>
          </w:tcPr>
          <w:p w:rsidR="00EA2468" w:rsidRDefault="001C7585">
            <w:pPr>
              <w:pStyle w:val="TableParagraph"/>
              <w:rPr>
                <w:sz w:val="24"/>
              </w:rPr>
            </w:pPr>
            <w:r>
              <w:rPr>
                <w:sz w:val="24"/>
              </w:rPr>
              <w:t>720 dní</w:t>
            </w:r>
          </w:p>
        </w:tc>
        <w:tc>
          <w:tcPr>
            <w:tcW w:w="8209" w:type="dxa"/>
          </w:tcPr>
          <w:p w:rsidR="00EA2468" w:rsidRDefault="001C7585">
            <w:pPr>
              <w:pStyle w:val="TableParagraph"/>
              <w:ind w:left="108"/>
              <w:rPr>
                <w:sz w:val="24"/>
              </w:rPr>
            </w:pPr>
            <w:r>
              <w:rPr>
                <w:sz w:val="24"/>
              </w:rPr>
              <w:t>najviac do výšky 50% menovitej hodnoty pohľadávky bez príslušenstva</w:t>
            </w:r>
          </w:p>
        </w:tc>
      </w:tr>
      <w:tr w:rsidR="00EA2468">
        <w:trPr>
          <w:trHeight w:val="275"/>
        </w:trPr>
        <w:tc>
          <w:tcPr>
            <w:tcW w:w="1440" w:type="dxa"/>
          </w:tcPr>
          <w:p w:rsidR="00EA2468" w:rsidRDefault="001C7585">
            <w:pPr>
              <w:pStyle w:val="TableParagraph"/>
              <w:rPr>
                <w:sz w:val="24"/>
              </w:rPr>
            </w:pPr>
            <w:r>
              <w:rPr>
                <w:sz w:val="24"/>
              </w:rPr>
              <w:t>1 080 dní</w:t>
            </w:r>
          </w:p>
        </w:tc>
        <w:tc>
          <w:tcPr>
            <w:tcW w:w="8209" w:type="dxa"/>
          </w:tcPr>
          <w:p w:rsidR="00EA2468" w:rsidRDefault="001C7585">
            <w:pPr>
              <w:pStyle w:val="TableParagraph"/>
              <w:ind w:left="108"/>
              <w:rPr>
                <w:sz w:val="24"/>
              </w:rPr>
            </w:pPr>
            <w:r>
              <w:rPr>
                <w:sz w:val="24"/>
              </w:rPr>
              <w:t>najviac do výšky 100% menovitej hodnoty pohľadávky bez príslušenstva</w:t>
            </w:r>
          </w:p>
        </w:tc>
      </w:tr>
    </w:tbl>
    <w:p w:rsidR="00EA2468" w:rsidRDefault="00EA2468">
      <w:pPr>
        <w:pStyle w:val="Zkladntext"/>
        <w:spacing w:before="8"/>
        <w:rPr>
          <w:sz w:val="29"/>
        </w:rPr>
      </w:pPr>
    </w:p>
    <w:p w:rsidR="00EA2468" w:rsidRDefault="001C7585">
      <w:pPr>
        <w:pStyle w:val="Zkladntext"/>
        <w:spacing w:before="1"/>
        <w:ind w:left="112" w:right="136"/>
        <w:jc w:val="both"/>
      </w:pPr>
      <w:r>
        <w:rPr>
          <w:u w:val="single"/>
        </w:rPr>
        <w:t>Tvorba</w:t>
      </w:r>
      <w:r>
        <w:t xml:space="preserve"> opravnej položky sa účtuje na ťarchu nákladov v prospech príslušného účtu opravných položiek.</w:t>
      </w:r>
    </w:p>
    <w:p w:rsidR="00EA2468" w:rsidRDefault="001C7585">
      <w:pPr>
        <w:pStyle w:val="Zkladntext"/>
        <w:spacing w:before="120"/>
        <w:ind w:left="112" w:right="137"/>
        <w:jc w:val="both"/>
      </w:pPr>
      <w:r>
        <w:t>Opravné položky sa</w:t>
      </w:r>
      <w:r>
        <w:rPr>
          <w:u w:val="single"/>
        </w:rPr>
        <w:t xml:space="preserve"> 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EA2468" w:rsidRDefault="00EA2468">
      <w:pPr>
        <w:pStyle w:val="Zkladntext"/>
        <w:rPr>
          <w:sz w:val="26"/>
        </w:rPr>
      </w:pPr>
    </w:p>
    <w:p w:rsidR="00EA2468" w:rsidRDefault="001C7585">
      <w:pPr>
        <w:pStyle w:val="Nadpis2"/>
        <w:numPr>
          <w:ilvl w:val="0"/>
          <w:numId w:val="2"/>
        </w:numPr>
        <w:tabs>
          <w:tab w:val="left" w:pos="354"/>
        </w:tabs>
        <w:spacing w:before="222"/>
        <w:ind w:left="353" w:hanging="242"/>
        <w:jc w:val="both"/>
      </w:pPr>
      <w:r>
        <w:t>Zásady pre vykazovanietransferov.</w:t>
      </w:r>
    </w:p>
    <w:p w:rsidR="00EA2468" w:rsidRDefault="001C7585">
      <w:pPr>
        <w:pStyle w:val="Zkladntext"/>
        <w:ind w:left="112" w:right="133"/>
        <w:jc w:val="both"/>
      </w:pPr>
      <w:r>
        <w:t>O nároku na dotácie zo štátneho rozpočtu sa účtuje, ak je takmer isté, že sa splnia všetky  podmienky súvisiace s dotáciou a súčasne, že sa dotáciaposkytne.</w:t>
      </w:r>
    </w:p>
    <w:p w:rsidR="00EA2468" w:rsidRDefault="001C7585">
      <w:pPr>
        <w:pStyle w:val="Zkladntext"/>
        <w:ind w:left="112" w:right="132"/>
        <w:jc w:val="both"/>
      </w:pPr>
      <w:r>
        <w:rPr>
          <w:b/>
        </w:rPr>
        <w:t xml:space="preserve">Bežný transfer </w:t>
      </w:r>
      <w:r>
        <w:t>od</w:t>
      </w:r>
      <w:r>
        <w:rPr>
          <w:u w:val="single"/>
        </w:rPr>
        <w:t xml:space="preserve"> cudzích subjektov</w:t>
      </w:r>
      <w:r>
        <w:t xml:space="preserve"> - sa   zúčtuje do výnosov   vo vecnej a časovej  súvislosti       s nákladmi.</w:t>
      </w:r>
    </w:p>
    <w:p w:rsidR="00EA2468" w:rsidRDefault="001C7585">
      <w:pPr>
        <w:pStyle w:val="Zkladntext"/>
        <w:ind w:left="112" w:right="137"/>
        <w:jc w:val="both"/>
      </w:pPr>
      <w:r>
        <w:rPr>
          <w:b/>
        </w:rPr>
        <w:t xml:space="preserve">Bežný  transfer  </w:t>
      </w:r>
      <w:r>
        <w:t xml:space="preserve">od </w:t>
      </w:r>
      <w:r>
        <w:rPr>
          <w:u w:val="single"/>
        </w:rPr>
        <w:t xml:space="preserve"> zriaďovateľa</w:t>
      </w:r>
      <w:r>
        <w:t xml:space="preserve">  -  sa    zúčtuje  do  výnosov     vo  vecnej  a  časovej  súvislosti   svýdavkami.</w:t>
      </w:r>
    </w:p>
    <w:p w:rsidR="00EA2468" w:rsidRDefault="001C7585">
      <w:pPr>
        <w:ind w:left="112"/>
        <w:jc w:val="both"/>
        <w:rPr>
          <w:sz w:val="24"/>
        </w:rPr>
      </w:pPr>
      <w:r>
        <w:rPr>
          <w:b/>
          <w:sz w:val="24"/>
        </w:rPr>
        <w:t xml:space="preserve">Kapitálový transfer </w:t>
      </w:r>
      <w:r>
        <w:rPr>
          <w:sz w:val="24"/>
        </w:rPr>
        <w:t>od</w:t>
      </w:r>
      <w:r>
        <w:rPr>
          <w:sz w:val="24"/>
          <w:u w:val="single"/>
        </w:rPr>
        <w:t xml:space="preserve"> cudzích subjektov</w:t>
      </w:r>
      <w:r>
        <w:rPr>
          <w:sz w:val="24"/>
        </w:rPr>
        <w:t xml:space="preserve"> - sa zúčtuje do výnosov vo vecnej a časovej súvislosti</w:t>
      </w:r>
    </w:p>
    <w:p w:rsidR="00EA2468" w:rsidRDefault="001C7585">
      <w:pPr>
        <w:pStyle w:val="Zkladntext"/>
        <w:ind w:left="112" w:right="135"/>
        <w:jc w:val="both"/>
      </w:pPr>
      <w:r>
        <w:t>s nákladmi (napr. s odpismi, s opravnou položkou, so zostatkovou hodnotou vyradeného dlhodobéhomajetku).</w:t>
      </w:r>
    </w:p>
    <w:p w:rsidR="00EA2468" w:rsidRDefault="001C7585">
      <w:pPr>
        <w:pStyle w:val="Zkladntext"/>
        <w:ind w:left="112" w:right="131"/>
        <w:jc w:val="both"/>
      </w:pPr>
      <w:r>
        <w:rPr>
          <w:b/>
        </w:rPr>
        <w:t xml:space="preserve">Kapitálový transfer </w:t>
      </w:r>
      <w:r>
        <w:t>od</w:t>
      </w:r>
      <w:r>
        <w:rPr>
          <w:u w:val="single"/>
        </w:rPr>
        <w:t xml:space="preserve"> zriaďovateľa</w:t>
      </w:r>
      <w:r>
        <w:t xml:space="preserve"> - sa zúčtuje do výnosov vo vecnej a časovej súvislosti s nákladmi (napr. s odpismi, s opravnou položkou, so zostatkovou hodnotou vyradeného dlhodobého majetku).</w:t>
      </w:r>
    </w:p>
    <w:p w:rsidR="00EA2468" w:rsidRDefault="00EA2468">
      <w:pPr>
        <w:pStyle w:val="Zkladntext"/>
        <w:spacing w:before="2"/>
      </w:pPr>
    </w:p>
    <w:p w:rsidR="00EA2468" w:rsidRDefault="001C7585">
      <w:pPr>
        <w:pStyle w:val="Nadpis2"/>
        <w:numPr>
          <w:ilvl w:val="0"/>
          <w:numId w:val="2"/>
        </w:numPr>
        <w:tabs>
          <w:tab w:val="left" w:pos="354"/>
        </w:tabs>
        <w:spacing w:before="1"/>
        <w:ind w:left="353" w:hanging="242"/>
        <w:jc w:val="both"/>
      </w:pPr>
      <w:r>
        <w:t>Spôsob prepočtu údajov v cudzích menách na menueuro.</w:t>
      </w:r>
    </w:p>
    <w:p w:rsidR="00EA2468" w:rsidRDefault="001C7585">
      <w:pPr>
        <w:pStyle w:val="Zkladntext"/>
        <w:ind w:left="112" w:right="132"/>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EA2468" w:rsidRDefault="001C7585">
      <w:pPr>
        <w:pStyle w:val="Zkladntext"/>
        <w:ind w:left="112" w:right="139"/>
        <w:jc w:val="both"/>
      </w:pPr>
      <w:r>
        <w:t>Na ocenenie prírastku cudzej meny nakúpenej za euro sa použije kurz, za ktorý bola táto cudzia mena nakúpená.</w:t>
      </w:r>
    </w:p>
    <w:p w:rsidR="00EA2468" w:rsidRDefault="001C7585">
      <w:pPr>
        <w:pStyle w:val="Zkladntext"/>
        <w:ind w:left="112" w:right="131"/>
        <w:jc w:val="both"/>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účtovnéhoprípadu.</w:t>
      </w:r>
    </w:p>
    <w:p w:rsidR="00EA2468" w:rsidRDefault="001C7585">
      <w:pPr>
        <w:pStyle w:val="Zkladntext"/>
        <w:ind w:left="112" w:right="133"/>
        <w:jc w:val="both"/>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EA2468" w:rsidRDefault="001C7585">
      <w:pPr>
        <w:pStyle w:val="Zkladntext"/>
        <w:ind w:left="112" w:right="132"/>
        <w:jc w:val="both"/>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užneprepočítavajú.</w:t>
      </w:r>
    </w:p>
    <w:p w:rsidR="00EA2468" w:rsidRDefault="001C7585">
      <w:pPr>
        <w:pStyle w:val="Zkladntext"/>
        <w:ind w:left="112" w:right="131"/>
        <w:jc w:val="both"/>
      </w:pPr>
      <w:r>
        <w:t>Prijaté  a poskytnuté  preddavky  v cudzej  mene  na  účet  zriadený  v eurách  a z účtu  zriadeného  v eurách sa prepočítavajú na menu euro kurzom, za ktorý boli tieto hodnoty nakúpené alebo predané.</w:t>
      </w:r>
    </w:p>
    <w:sectPr w:rsidR="00EA2468" w:rsidSect="005A6F34">
      <w:pgSz w:w="11910" w:h="16840"/>
      <w:pgMar w:top="1040" w:right="1000" w:bottom="840" w:left="1020" w:header="0" w:footer="657"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0095" w:rsidRDefault="007B0095">
      <w:r>
        <w:separator/>
      </w:r>
    </w:p>
  </w:endnote>
  <w:endnote w:type="continuationSeparator" w:id="1">
    <w:p w:rsidR="007B0095" w:rsidRDefault="007B00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2468" w:rsidRDefault="005A6F34">
    <w:pPr>
      <w:pStyle w:val="Zkladntext"/>
      <w:spacing w:line="14" w:lineRule="auto"/>
      <w:rPr>
        <w:sz w:val="20"/>
      </w:rPr>
    </w:pPr>
    <w:r w:rsidRPr="005A6F34">
      <w:pict>
        <v:shapetype id="_x0000_t202" coordsize="21600,21600" o:spt="202" path="m,l,21600r21600,l21600,xe">
          <v:stroke joinstyle="miter"/>
          <v:path gradientshapeok="t" o:connecttype="rect"/>
        </v:shapetype>
        <v:shape id="_x0000_s2049" type="#_x0000_t202" style="position:absolute;margin-left:557.85pt;margin-top:798.05pt;width:11pt;height:13.05pt;z-index:-251658752;mso-position-horizontal-relative:page;mso-position-vertical-relative:page" filled="f" stroked="f">
          <v:textbox inset="0,0,0,0">
            <w:txbxContent>
              <w:p w:rsidR="00EA2468" w:rsidRDefault="005A6F34">
                <w:pPr>
                  <w:spacing w:before="10"/>
                  <w:ind w:left="60"/>
                  <w:rPr>
                    <w:sz w:val="20"/>
                  </w:rPr>
                </w:pPr>
                <w:r>
                  <w:fldChar w:fldCharType="begin"/>
                </w:r>
                <w:r w:rsidR="001C7585">
                  <w:rPr>
                    <w:w w:val="99"/>
                    <w:sz w:val="20"/>
                  </w:rPr>
                  <w:instrText xml:space="preserve"> PAGE </w:instrText>
                </w:r>
                <w:r>
                  <w:fldChar w:fldCharType="separate"/>
                </w:r>
                <w:r w:rsidR="00AC7C7F">
                  <w:rPr>
                    <w:noProof/>
                    <w:w w:val="99"/>
                    <w:sz w:val="20"/>
                  </w:rPr>
                  <w:t>1</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0095" w:rsidRDefault="007B0095">
      <w:r>
        <w:separator/>
      </w:r>
    </w:p>
  </w:footnote>
  <w:footnote w:type="continuationSeparator" w:id="1">
    <w:p w:rsidR="007B0095" w:rsidRDefault="007B009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616E89"/>
    <w:multiLevelType w:val="hybridMultilevel"/>
    <w:tmpl w:val="818EAB4A"/>
    <w:lvl w:ilvl="0" w:tplc="E640BCAC">
      <w:start w:val="1"/>
      <w:numFmt w:val="decimal"/>
      <w:lvlText w:val="%1."/>
      <w:lvlJc w:val="left"/>
      <w:pPr>
        <w:ind w:left="494" w:hanging="240"/>
        <w:jc w:val="right"/>
      </w:pPr>
      <w:rPr>
        <w:rFonts w:ascii="Times New Roman" w:eastAsia="Times New Roman" w:hAnsi="Times New Roman" w:cs="Times New Roman" w:hint="default"/>
        <w:b/>
        <w:bCs/>
        <w:spacing w:val="-2"/>
        <w:w w:val="100"/>
        <w:sz w:val="24"/>
        <w:szCs w:val="24"/>
        <w:lang w:val="sk-SK" w:eastAsia="en-US" w:bidi="ar-SA"/>
      </w:rPr>
    </w:lvl>
    <w:lvl w:ilvl="1" w:tplc="CCAC7232">
      <w:numFmt w:val="bullet"/>
      <w:lvlText w:val="•"/>
      <w:lvlJc w:val="left"/>
      <w:pPr>
        <w:ind w:left="900" w:hanging="240"/>
      </w:pPr>
      <w:rPr>
        <w:rFonts w:hint="default"/>
        <w:lang w:val="sk-SK" w:eastAsia="en-US" w:bidi="ar-SA"/>
      </w:rPr>
    </w:lvl>
    <w:lvl w:ilvl="2" w:tplc="66B24C3A">
      <w:numFmt w:val="bullet"/>
      <w:lvlText w:val="•"/>
      <w:lvlJc w:val="left"/>
      <w:pPr>
        <w:ind w:left="1898" w:hanging="240"/>
      </w:pPr>
      <w:rPr>
        <w:rFonts w:hint="default"/>
        <w:lang w:val="sk-SK" w:eastAsia="en-US" w:bidi="ar-SA"/>
      </w:rPr>
    </w:lvl>
    <w:lvl w:ilvl="3" w:tplc="9E3CDF14">
      <w:numFmt w:val="bullet"/>
      <w:lvlText w:val="•"/>
      <w:lvlJc w:val="left"/>
      <w:pPr>
        <w:ind w:left="2896" w:hanging="240"/>
      </w:pPr>
      <w:rPr>
        <w:rFonts w:hint="default"/>
        <w:lang w:val="sk-SK" w:eastAsia="en-US" w:bidi="ar-SA"/>
      </w:rPr>
    </w:lvl>
    <w:lvl w:ilvl="4" w:tplc="A8461DE0">
      <w:numFmt w:val="bullet"/>
      <w:lvlText w:val="•"/>
      <w:lvlJc w:val="left"/>
      <w:pPr>
        <w:ind w:left="3895" w:hanging="240"/>
      </w:pPr>
      <w:rPr>
        <w:rFonts w:hint="default"/>
        <w:lang w:val="sk-SK" w:eastAsia="en-US" w:bidi="ar-SA"/>
      </w:rPr>
    </w:lvl>
    <w:lvl w:ilvl="5" w:tplc="6330A0BA">
      <w:numFmt w:val="bullet"/>
      <w:lvlText w:val="•"/>
      <w:lvlJc w:val="left"/>
      <w:pPr>
        <w:ind w:left="4893" w:hanging="240"/>
      </w:pPr>
      <w:rPr>
        <w:rFonts w:hint="default"/>
        <w:lang w:val="sk-SK" w:eastAsia="en-US" w:bidi="ar-SA"/>
      </w:rPr>
    </w:lvl>
    <w:lvl w:ilvl="6" w:tplc="A7FCD732">
      <w:numFmt w:val="bullet"/>
      <w:lvlText w:val="•"/>
      <w:lvlJc w:val="left"/>
      <w:pPr>
        <w:ind w:left="5892" w:hanging="240"/>
      </w:pPr>
      <w:rPr>
        <w:rFonts w:hint="default"/>
        <w:lang w:val="sk-SK" w:eastAsia="en-US" w:bidi="ar-SA"/>
      </w:rPr>
    </w:lvl>
    <w:lvl w:ilvl="7" w:tplc="4908227A">
      <w:numFmt w:val="bullet"/>
      <w:lvlText w:val="•"/>
      <w:lvlJc w:val="left"/>
      <w:pPr>
        <w:ind w:left="6890" w:hanging="240"/>
      </w:pPr>
      <w:rPr>
        <w:rFonts w:hint="default"/>
        <w:lang w:val="sk-SK" w:eastAsia="en-US" w:bidi="ar-SA"/>
      </w:rPr>
    </w:lvl>
    <w:lvl w:ilvl="8" w:tplc="0DC0BEB8">
      <w:numFmt w:val="bullet"/>
      <w:lvlText w:val="•"/>
      <w:lvlJc w:val="left"/>
      <w:pPr>
        <w:ind w:left="7889" w:hanging="240"/>
      </w:pPr>
      <w:rPr>
        <w:rFonts w:hint="default"/>
        <w:lang w:val="sk-SK" w:eastAsia="en-US" w:bidi="ar-SA"/>
      </w:rPr>
    </w:lvl>
  </w:abstractNum>
  <w:abstractNum w:abstractNumId="1">
    <w:nsid w:val="56EF57FA"/>
    <w:multiLevelType w:val="hybridMultilevel"/>
    <w:tmpl w:val="B854110A"/>
    <w:lvl w:ilvl="0" w:tplc="1FFEC2AA">
      <w:start w:val="1"/>
      <w:numFmt w:val="lowerLetter"/>
      <w:lvlText w:val="%1)"/>
      <w:lvlJc w:val="left"/>
      <w:pPr>
        <w:ind w:left="540" w:hanging="286"/>
        <w:jc w:val="left"/>
      </w:pPr>
      <w:rPr>
        <w:rFonts w:ascii="Times New Roman" w:eastAsia="Times New Roman" w:hAnsi="Times New Roman" w:cs="Times New Roman" w:hint="default"/>
        <w:b/>
        <w:bCs/>
        <w:w w:val="99"/>
        <w:sz w:val="24"/>
        <w:szCs w:val="24"/>
        <w:lang w:val="sk-SK" w:eastAsia="en-US" w:bidi="ar-SA"/>
      </w:rPr>
    </w:lvl>
    <w:lvl w:ilvl="1" w:tplc="66D460C6">
      <w:numFmt w:val="bullet"/>
      <w:lvlText w:val="-"/>
      <w:lvlJc w:val="left"/>
      <w:pPr>
        <w:ind w:left="898" w:hanging="360"/>
      </w:pPr>
      <w:rPr>
        <w:rFonts w:ascii="Times New Roman" w:eastAsia="Times New Roman" w:hAnsi="Times New Roman" w:cs="Times New Roman" w:hint="default"/>
        <w:w w:val="100"/>
        <w:sz w:val="22"/>
        <w:szCs w:val="22"/>
        <w:lang w:val="sk-SK" w:eastAsia="en-US" w:bidi="ar-SA"/>
      </w:rPr>
    </w:lvl>
    <w:lvl w:ilvl="2" w:tplc="F9885EBC">
      <w:numFmt w:val="bullet"/>
      <w:lvlText w:val="•"/>
      <w:lvlJc w:val="left"/>
      <w:pPr>
        <w:ind w:left="1898" w:hanging="360"/>
      </w:pPr>
      <w:rPr>
        <w:rFonts w:hint="default"/>
        <w:lang w:val="sk-SK" w:eastAsia="en-US" w:bidi="ar-SA"/>
      </w:rPr>
    </w:lvl>
    <w:lvl w:ilvl="3" w:tplc="C52E0D46">
      <w:numFmt w:val="bullet"/>
      <w:lvlText w:val="•"/>
      <w:lvlJc w:val="left"/>
      <w:pPr>
        <w:ind w:left="2896" w:hanging="360"/>
      </w:pPr>
      <w:rPr>
        <w:rFonts w:hint="default"/>
        <w:lang w:val="sk-SK" w:eastAsia="en-US" w:bidi="ar-SA"/>
      </w:rPr>
    </w:lvl>
    <w:lvl w:ilvl="4" w:tplc="7A18785C">
      <w:numFmt w:val="bullet"/>
      <w:lvlText w:val="•"/>
      <w:lvlJc w:val="left"/>
      <w:pPr>
        <w:ind w:left="3895" w:hanging="360"/>
      </w:pPr>
      <w:rPr>
        <w:rFonts w:hint="default"/>
        <w:lang w:val="sk-SK" w:eastAsia="en-US" w:bidi="ar-SA"/>
      </w:rPr>
    </w:lvl>
    <w:lvl w:ilvl="5" w:tplc="E946C1BA">
      <w:numFmt w:val="bullet"/>
      <w:lvlText w:val="•"/>
      <w:lvlJc w:val="left"/>
      <w:pPr>
        <w:ind w:left="4893" w:hanging="360"/>
      </w:pPr>
      <w:rPr>
        <w:rFonts w:hint="default"/>
        <w:lang w:val="sk-SK" w:eastAsia="en-US" w:bidi="ar-SA"/>
      </w:rPr>
    </w:lvl>
    <w:lvl w:ilvl="6" w:tplc="7A208212">
      <w:numFmt w:val="bullet"/>
      <w:lvlText w:val="•"/>
      <w:lvlJc w:val="left"/>
      <w:pPr>
        <w:ind w:left="5892" w:hanging="360"/>
      </w:pPr>
      <w:rPr>
        <w:rFonts w:hint="default"/>
        <w:lang w:val="sk-SK" w:eastAsia="en-US" w:bidi="ar-SA"/>
      </w:rPr>
    </w:lvl>
    <w:lvl w:ilvl="7" w:tplc="51FC9244">
      <w:numFmt w:val="bullet"/>
      <w:lvlText w:val="•"/>
      <w:lvlJc w:val="left"/>
      <w:pPr>
        <w:ind w:left="6890" w:hanging="360"/>
      </w:pPr>
      <w:rPr>
        <w:rFonts w:hint="default"/>
        <w:lang w:val="sk-SK" w:eastAsia="en-US" w:bidi="ar-SA"/>
      </w:rPr>
    </w:lvl>
    <w:lvl w:ilvl="8" w:tplc="B2028FBA">
      <w:numFmt w:val="bullet"/>
      <w:lvlText w:val="•"/>
      <w:lvlJc w:val="left"/>
      <w:pPr>
        <w:ind w:left="7889" w:hanging="360"/>
      </w:pPr>
      <w:rPr>
        <w:rFonts w:hint="default"/>
        <w:lang w:val="sk-SK" w:eastAsia="en-US" w:bidi="ar-SA"/>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hyphenationZone w:val="425"/>
  <w:drawingGridHorizontalSpacing w:val="110"/>
  <w:displayHorizontalDrawingGridEvery w:val="2"/>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ulTrailSpace/>
    <w:shapeLayoutLikeWW8/>
  </w:compat>
  <w:rsids>
    <w:rsidRoot w:val="00EA2468"/>
    <w:rsid w:val="000A6ED7"/>
    <w:rsid w:val="001C7585"/>
    <w:rsid w:val="005A6F34"/>
    <w:rsid w:val="00725E6B"/>
    <w:rsid w:val="007B0095"/>
    <w:rsid w:val="0089312C"/>
    <w:rsid w:val="00A95DBD"/>
    <w:rsid w:val="00AC7C7F"/>
    <w:rsid w:val="00EA2468"/>
    <w:rsid w:val="00F44C5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5A6F34"/>
    <w:rPr>
      <w:rFonts w:ascii="Times New Roman" w:eastAsia="Times New Roman" w:hAnsi="Times New Roman" w:cs="Times New Roman"/>
      <w:lang w:val="sk-SK"/>
    </w:rPr>
  </w:style>
  <w:style w:type="paragraph" w:styleId="Nadpis1">
    <w:name w:val="heading 1"/>
    <w:basedOn w:val="Normlny"/>
    <w:uiPriority w:val="1"/>
    <w:qFormat/>
    <w:rsid w:val="005A6F34"/>
    <w:pPr>
      <w:spacing w:before="72"/>
      <w:ind w:right="18"/>
      <w:jc w:val="center"/>
      <w:outlineLvl w:val="0"/>
    </w:pPr>
    <w:rPr>
      <w:b/>
      <w:bCs/>
      <w:sz w:val="28"/>
      <w:szCs w:val="28"/>
      <w:u w:val="single" w:color="000000"/>
    </w:rPr>
  </w:style>
  <w:style w:type="paragraph" w:styleId="Nadpis2">
    <w:name w:val="heading 2"/>
    <w:basedOn w:val="Normlny"/>
    <w:uiPriority w:val="1"/>
    <w:qFormat/>
    <w:rsid w:val="005A6F34"/>
    <w:pPr>
      <w:spacing w:line="274" w:lineRule="exact"/>
      <w:ind w:left="540" w:hanging="287"/>
      <w:jc w:val="both"/>
      <w:outlineLvl w:val="1"/>
    </w:pPr>
    <w:rPr>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5A6F34"/>
    <w:tblPr>
      <w:tblInd w:w="0" w:type="dxa"/>
      <w:tblCellMar>
        <w:top w:w="0" w:type="dxa"/>
        <w:left w:w="0" w:type="dxa"/>
        <w:bottom w:w="0" w:type="dxa"/>
        <w:right w:w="0" w:type="dxa"/>
      </w:tblCellMar>
    </w:tblPr>
  </w:style>
  <w:style w:type="paragraph" w:styleId="Zkladntext">
    <w:name w:val="Body Text"/>
    <w:basedOn w:val="Normlny"/>
    <w:uiPriority w:val="1"/>
    <w:qFormat/>
    <w:rsid w:val="005A6F34"/>
    <w:rPr>
      <w:sz w:val="24"/>
      <w:szCs w:val="24"/>
    </w:rPr>
  </w:style>
  <w:style w:type="paragraph" w:styleId="Odsekzoznamu">
    <w:name w:val="List Paragraph"/>
    <w:basedOn w:val="Normlny"/>
    <w:uiPriority w:val="1"/>
    <w:qFormat/>
    <w:rsid w:val="005A6F34"/>
    <w:pPr>
      <w:spacing w:line="252" w:lineRule="exact"/>
      <w:ind w:left="898" w:hanging="361"/>
    </w:pPr>
  </w:style>
  <w:style w:type="paragraph" w:customStyle="1" w:styleId="TableParagraph">
    <w:name w:val="Table Paragraph"/>
    <w:basedOn w:val="Normlny"/>
    <w:uiPriority w:val="1"/>
    <w:qFormat/>
    <w:rsid w:val="005A6F34"/>
    <w:pPr>
      <w:spacing w:line="256" w:lineRule="exact"/>
      <w:ind w:left="107"/>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1604</Words>
  <Characters>9148</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10731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PCc</cp:lastModifiedBy>
  <cp:revision>2</cp:revision>
  <cp:lastPrinted>2020-01-21T09:54:00Z</cp:lastPrinted>
  <dcterms:created xsi:type="dcterms:W3CDTF">2021-03-10T12:26:00Z</dcterms:created>
  <dcterms:modified xsi:type="dcterms:W3CDTF">2021-03-10T12:26:00Z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2017-03-28T00:00:00Z</vt:filetime>
  </property>
  <property fmtid="{D5CDD505-2E9C-101B-9397-08002B2CF9AE}" pid="3" name="Creator">
    <vt:lpwstr>Microsoft® Word 2010</vt:lpwstr>
  </property>
  <property fmtid="{D5CDD505-2E9C-101B-9397-08002B2CF9AE}" pid="4" name="LastSaved">
    <vt:filetime>2020-01-21T00:00:00Z</vt:filetime>
  </property>
</Properties>
</file>