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2B9" w:rsidRDefault="004E328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84" w:line="259" w:lineRule="auto"/>
        <w:ind w:left="94" w:right="568" w:firstLine="0"/>
        <w:jc w:val="center"/>
      </w:pPr>
      <w:r>
        <w:rPr>
          <w:b/>
          <w:sz w:val="24"/>
        </w:rPr>
        <w:t>P</w:t>
      </w:r>
      <w:r w:rsidR="00D27BA5">
        <w:rPr>
          <w:b/>
          <w:sz w:val="24"/>
        </w:rPr>
        <w:t>OZNÁMKY K ÚČTOVNEJ ZÁVIERKE 2020</w:t>
      </w:r>
      <w:r>
        <w:rPr>
          <w:b/>
          <w:sz w:val="24"/>
        </w:rPr>
        <w:t xml:space="preserve"> </w:t>
      </w:r>
    </w:p>
    <w:p w:rsidR="00B932B9" w:rsidRDefault="004E328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28" w:line="240" w:lineRule="auto"/>
        <w:ind w:left="94" w:right="568" w:firstLine="0"/>
        <w:jc w:val="center"/>
      </w:pPr>
      <w:r>
        <w:t xml:space="preserve">zostavené podľa Opatrenia č.MF/23378/2014-74 (FS č.12/2014), ktorým sa ustanovujú podrobnosti o individuálnej účtovnej závierke a rozsahu údajov určených z individuálnej účtovnej závierky na zverejnenie  </w:t>
      </w:r>
      <w:r>
        <w:rPr>
          <w:b/>
        </w:rPr>
        <w:t>pre malé účtovné jednotky</w:t>
      </w:r>
      <w:r>
        <w:t xml:space="preserve"> 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pStyle w:val="Nadpis1"/>
      </w:pPr>
      <w:r>
        <w:t>Článok I – VŠEOBECNÉ INFORMÁCIE</w:t>
      </w:r>
      <w:r>
        <w:rPr>
          <w:u w:val="none"/>
        </w:rPr>
        <w:t xml:space="preserve">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1"/>
        </w:numPr>
        <w:spacing w:after="0" w:line="259" w:lineRule="auto"/>
        <w:ind w:right="461" w:hanging="211"/>
      </w:pPr>
      <w:r>
        <w:rPr>
          <w:u w:val="single" w:color="000000"/>
        </w:rPr>
        <w:t>Základné informácie o účtovnej jednotke</w:t>
      </w:r>
      <w:r>
        <w:t xml:space="preserve">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636"/>
        <w:gridCol w:w="6971"/>
      </w:tblGrid>
      <w:tr w:rsidR="00B932B9">
        <w:trPr>
          <w:trHeight w:val="26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Obchodné meno: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RICH TRANS, s.r.o. </w:t>
            </w:r>
          </w:p>
        </w:tc>
      </w:tr>
      <w:tr w:rsidR="00B932B9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Sídlo: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Preseľany 511, 956 12 Preseľany </w:t>
            </w:r>
          </w:p>
        </w:tc>
      </w:tr>
      <w:tr w:rsidR="00B932B9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Právna forma: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s ručením obmedzeným </w:t>
            </w:r>
          </w:p>
        </w:tc>
      </w:tr>
      <w:tr w:rsidR="00B932B9">
        <w:trPr>
          <w:trHeight w:val="26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Dátum vzniku: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Zápis do obchodného registra: 19.01.2019 </w:t>
            </w:r>
          </w:p>
        </w:tc>
      </w:tr>
      <w:tr w:rsidR="00B932B9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Hlavný predmet podnikania: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Činnosť sprostredkovateľov </w:t>
            </w:r>
          </w:p>
        </w:tc>
      </w:tr>
      <w:tr w:rsidR="00B932B9">
        <w:trPr>
          <w:trHeight w:val="262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Subjekt verejného záujmu: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Spoločnosť RICH TRANS, s.r.o. nie je subjektom verejného záujmu (§ 2/14 ZoU). </w:t>
            </w:r>
          </w:p>
        </w:tc>
      </w:tr>
      <w:tr w:rsidR="00B932B9">
        <w:trPr>
          <w:trHeight w:val="269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Účtovné obdobie: </w:t>
            </w:r>
          </w:p>
        </w:tc>
        <w:tc>
          <w:tcPr>
            <w:tcW w:w="69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932B9" w:rsidRDefault="00D27BA5">
            <w:pPr>
              <w:spacing w:after="0" w:line="259" w:lineRule="auto"/>
              <w:ind w:left="2" w:right="0" w:firstLine="0"/>
              <w:jc w:val="left"/>
            </w:pPr>
            <w:r>
              <w:t>Kalendárny rok 2020</w:t>
            </w:r>
            <w:r w:rsidR="004E328A">
              <w:t xml:space="preserve"> </w:t>
            </w:r>
          </w:p>
        </w:tc>
      </w:tr>
    </w:tbl>
    <w:p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932B9" w:rsidRDefault="004E328A">
      <w:pPr>
        <w:spacing w:after="0" w:line="259" w:lineRule="auto"/>
        <w:ind w:left="-5" w:right="0"/>
        <w:jc w:val="left"/>
      </w:pPr>
      <w:r>
        <w:rPr>
          <w:u w:val="single" w:color="000000"/>
        </w:rPr>
        <w:t>Test veľkostnej skupiny účtovnej jednotky (2 ZoU)</w:t>
      </w:r>
      <w:r>
        <w:t xml:space="preserve"> </w:t>
      </w:r>
    </w:p>
    <w:p w:rsidR="00B932B9" w:rsidRDefault="004E328A">
      <w:pPr>
        <w:ind w:left="-5" w:right="461"/>
      </w:pPr>
      <w:r>
        <w:t>(Do veľkostnej skupiny mala účtovná jednotka patrí taká, ktorá za dve po sebe idúce účtovné obdobia spĺňa aspoň dve z troch podmienok – suma netto aktív presiahla 350 000 eura, ale nepresiahla 4 000 000 eu</w:t>
      </w:r>
      <w:r>
        <w:t xml:space="preserve">r, čistý obrat presiahol 700 000 eur, ale nepresiahol 8 000 000 eur a priemerný prepočítaný počet zamestnancov počas účtovného obdobia presiahol 10, ale nepresiahol 50).  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571" w:type="dxa"/>
        <w:tblInd w:w="-70" w:type="dxa"/>
        <w:tblCellMar>
          <w:top w:w="48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196"/>
        <w:gridCol w:w="406"/>
        <w:gridCol w:w="2432"/>
        <w:gridCol w:w="3260"/>
        <w:gridCol w:w="1277"/>
      </w:tblGrid>
      <w:tr w:rsidR="00B932B9">
        <w:trPr>
          <w:trHeight w:val="516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14" w:right="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15" w:right="0" w:firstLine="0"/>
              <w:jc w:val="center"/>
            </w:pPr>
            <w:r>
              <w:rPr>
                <w:b/>
              </w:rPr>
              <w:t xml:space="preserve">Áno/Nie </w:t>
            </w:r>
          </w:p>
        </w:tc>
      </w:tr>
      <w:tr w:rsidR="00B932B9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Netto aktíva celkom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B932B9">
        <w:trPr>
          <w:trHeight w:val="2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Čistý obrat celkom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  <w:tr w:rsidR="00B932B9">
        <w:trPr>
          <w:trHeight w:val="26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t xml:space="preserve">Počet zamestnancov </w:t>
            </w:r>
          </w:p>
        </w:tc>
        <w:tc>
          <w:tcPr>
            <w:tcW w:w="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B932B9" w:rsidRDefault="004E328A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2432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Nie </w:t>
            </w:r>
          </w:p>
        </w:tc>
      </w:tr>
    </w:tbl>
    <w:p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932B9" w:rsidRDefault="004E328A">
      <w:pPr>
        <w:ind w:left="-5" w:right="461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č.MF/23378/2014-74).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932B9" w:rsidRDefault="004E328A">
      <w:pPr>
        <w:numPr>
          <w:ilvl w:val="0"/>
          <w:numId w:val="1"/>
        </w:numPr>
        <w:ind w:right="461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 je </w:t>
      </w:r>
      <w:r w:rsidR="00D27BA5">
        <w:t>30.03.2021</w:t>
      </w:r>
      <w:bookmarkStart w:id="0" w:name="_GoBack"/>
      <w:bookmarkEnd w:id="0"/>
      <w:r>
        <w:t xml:space="preserve"> </w:t>
      </w:r>
    </w:p>
    <w:p w:rsidR="00B932B9" w:rsidRDefault="004E328A">
      <w:pPr>
        <w:spacing w:after="98" w:line="259" w:lineRule="auto"/>
        <w:ind w:left="0" w:right="0" w:firstLine="0"/>
        <w:jc w:val="left"/>
      </w:pPr>
      <w:r>
        <w:t xml:space="preserve">  </w:t>
      </w:r>
    </w:p>
    <w:p w:rsidR="00B932B9" w:rsidRDefault="004E328A">
      <w:pPr>
        <w:numPr>
          <w:ilvl w:val="0"/>
          <w:numId w:val="1"/>
        </w:numPr>
        <w:ind w:right="461" w:hanging="211"/>
      </w:pPr>
      <w:r>
        <w:rPr>
          <w:b/>
        </w:rPr>
        <w:t>Právny dôvod</w:t>
      </w:r>
      <w:r>
        <w:t xml:space="preserve"> na zostavenie účtovnej závierky: ukončený kalendárny rok </w:t>
      </w:r>
    </w:p>
    <w:p w:rsidR="00B932B9" w:rsidRDefault="004E328A">
      <w:pPr>
        <w:spacing w:after="99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1"/>
        </w:numPr>
        <w:ind w:right="461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</w:t>
      </w:r>
    </w:p>
    <w:p w:rsidR="00B932B9" w:rsidRDefault="004E328A">
      <w:pPr>
        <w:spacing w:after="0" w:line="259" w:lineRule="auto"/>
        <w:ind w:left="36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2"/>
        </w:numPr>
        <w:ind w:right="461" w:hanging="202"/>
      </w:pPr>
      <w:r>
        <w:lastRenderedPageBreak/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</w:t>
      </w:r>
      <w:r>
        <w:rPr>
          <w:u w:val="single" w:color="000000"/>
        </w:rPr>
        <w:t>u skupinu</w:t>
      </w:r>
      <w:r>
        <w:t xml:space="preserve">, ktorej súčasťou je účtovná jednotka ako dcérska účtovná jednotka (najvyšší stupeň konsolidácie):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2"/>
        </w:numPr>
        <w:ind w:right="46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</w:t>
      </w:r>
      <w:r>
        <w:t xml:space="preserve"> </w:t>
      </w:r>
      <w:r>
        <w:rPr>
          <w:u w:val="single" w:color="000000"/>
        </w:rPr>
        <w:t>skupinu</w:t>
      </w:r>
      <w:r>
        <w:t>, ktorej súčasťou je účtovná jednotka</w:t>
      </w:r>
      <w:r>
        <w:t xml:space="preserve"> ako dcérska účtovná jednotka (bezprostredne vyšší stupeň konsolidácie), a ktorá je tiež začlenená do skupiny účtovných jednotiek na najvyššom stupni konsolidácie: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2"/>
        </w:numPr>
        <w:ind w:right="46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</w:t>
      </w:r>
    </w:p>
    <w:p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2"/>
        </w:numPr>
        <w:ind w:right="46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</w:t>
      </w:r>
    </w:p>
    <w:p w:rsidR="00B932B9" w:rsidRDefault="004E328A">
      <w:pPr>
        <w:numPr>
          <w:ilvl w:val="0"/>
          <w:numId w:val="3"/>
        </w:numPr>
        <w:ind w:right="461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3"/>
        </w:numPr>
        <w:ind w:right="461"/>
      </w:pPr>
      <w:r>
        <w:t>pri oslobodení podľa § 22 ods. 10 a 12 zákona o účtovníctve obchodn</w:t>
      </w:r>
      <w:r>
        <w:t xml:space="preserve">é meno a sídlo dcérskych účtovných jednotiek:   </w:t>
      </w:r>
    </w:p>
    <w:p w:rsidR="00B932B9" w:rsidRDefault="004E328A">
      <w:pPr>
        <w:spacing w:after="101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spacing w:after="0" w:line="259" w:lineRule="auto"/>
        <w:ind w:left="-5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</w:t>
      </w:r>
    </w:p>
    <w:tbl>
      <w:tblPr>
        <w:tblStyle w:val="TableGrid"/>
        <w:tblW w:w="9748" w:type="dxa"/>
        <w:tblInd w:w="-108" w:type="dxa"/>
        <w:tblCellMar>
          <w:top w:w="48" w:type="dxa"/>
          <w:left w:w="108" w:type="dxa"/>
          <w:bottom w:w="0" w:type="dxa"/>
          <w:right w:w="80" w:type="dxa"/>
        </w:tblCellMar>
        <w:tblLook w:val="04A0" w:firstRow="1" w:lastRow="0" w:firstColumn="1" w:lastColumn="0" w:noHBand="0" w:noVBand="1"/>
      </w:tblPr>
      <w:tblGrid>
        <w:gridCol w:w="4858"/>
        <w:gridCol w:w="2523"/>
        <w:gridCol w:w="2367"/>
      </w:tblGrid>
      <w:tr w:rsidR="00B932B9">
        <w:trPr>
          <w:trHeight w:val="766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32B9" w:rsidRDefault="004E328A">
            <w:pPr>
              <w:spacing w:after="0" w:line="259" w:lineRule="auto"/>
              <w:ind w:left="0" w:right="488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32B9" w:rsidRDefault="004E328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B932B9" w:rsidRDefault="004E328A">
            <w:pPr>
              <w:spacing w:after="0" w:line="259" w:lineRule="auto"/>
              <w:ind w:left="0" w:right="26" w:firstLine="0"/>
              <w:jc w:val="center"/>
            </w:pPr>
            <w:r>
              <w:rPr>
                <w:b/>
              </w:rPr>
              <w:t xml:space="preserve">obdobie </w:t>
            </w:r>
          </w:p>
        </w:tc>
      </w:tr>
      <w:tr w:rsidR="00B932B9">
        <w:trPr>
          <w:trHeight w:val="264"/>
        </w:trPr>
        <w:tc>
          <w:tcPr>
            <w:tcW w:w="4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Priemerný prepočítaný počet počas účtovného obdobia 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0</w:t>
            </w:r>
            <w:r>
              <w:t xml:space="preserve"> 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0 </w:t>
            </w:r>
          </w:p>
        </w:tc>
      </w:tr>
    </w:tbl>
    <w:p w:rsidR="00B932B9" w:rsidRDefault="004E328A">
      <w:pPr>
        <w:spacing w:after="0" w:line="239" w:lineRule="auto"/>
        <w:ind w:left="0" w:right="8994" w:firstLine="0"/>
        <w:jc w:val="left"/>
      </w:pPr>
      <w:r>
        <w:t xml:space="preserve">  </w:t>
      </w:r>
    </w:p>
    <w:p w:rsidR="00B932B9" w:rsidRDefault="004E328A">
      <w:pPr>
        <w:pStyle w:val="Nadpis2"/>
      </w:pPr>
      <w:r>
        <w:t xml:space="preserve">Článok II – INFORMÁCIE O ORGÁNOCH SPOLOČNOSTI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ind w:left="-5" w:right="461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</w:t>
      </w:r>
      <w:r>
        <w:t>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</w:t>
      </w:r>
      <w:r>
        <w:t xml:space="preserve">nformácie sa neuvádzajú vtedy, ak by umožnili identifikáciu finančnej situácie konkrétnej fyzickej osoby): </w:t>
      </w:r>
    </w:p>
    <w:tbl>
      <w:tblPr>
        <w:tblStyle w:val="TableGrid"/>
        <w:tblW w:w="9717" w:type="dxa"/>
        <w:tblInd w:w="-108" w:type="dxa"/>
        <w:tblCellMar>
          <w:top w:w="47" w:type="dxa"/>
          <w:left w:w="108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6183"/>
        <w:gridCol w:w="1684"/>
        <w:gridCol w:w="1850"/>
      </w:tblGrid>
      <w:tr w:rsidR="00B932B9">
        <w:trPr>
          <w:trHeight w:val="790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32B9" w:rsidRDefault="004E328A">
            <w:pPr>
              <w:spacing w:after="0" w:line="259" w:lineRule="auto"/>
              <w:ind w:left="0" w:right="29" w:firstLine="0"/>
              <w:jc w:val="center"/>
            </w:pPr>
            <w:r>
              <w:rPr>
                <w:b/>
              </w:rPr>
              <w:t xml:space="preserve">Orgány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B932B9">
        <w:trPr>
          <w:trHeight w:val="276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Štatutárny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>-</w:t>
            </w:r>
            <w:r>
              <w:t xml:space="preserve"> </w:t>
            </w:r>
            <w:r>
              <w:t xml:space="preserve">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Dozorný orgán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>-</w:t>
            </w:r>
            <w:r>
              <w:t xml:space="preserve"> </w:t>
            </w:r>
            <w:r>
              <w:t xml:space="preserve">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>
        <w:trPr>
          <w:trHeight w:val="264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>
        <w:trPr>
          <w:trHeight w:val="262"/>
        </w:trPr>
        <w:tc>
          <w:tcPr>
            <w:tcW w:w="63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360" w:right="0" w:firstLine="0"/>
              <w:jc w:val="left"/>
            </w:pPr>
            <w:r>
              <w:t>-</w:t>
            </w:r>
            <w:r>
              <w:t xml:space="preserve"> </w:t>
            </w:r>
            <w:r>
              <w:t xml:space="preserve">druh príjmu (výhody):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" w:right="0" w:firstLine="0"/>
              <w:jc w:val="left"/>
            </w:pPr>
            <w:r>
              <w:t xml:space="preserve">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pStyle w:val="Nadpis1"/>
        <w:ind w:right="338"/>
      </w:pPr>
      <w:r>
        <w:lastRenderedPageBreak/>
        <w:t>Článok III – INFORMÁCIE O PRIJATÝCH POSTUPOCH</w:t>
      </w:r>
      <w:r>
        <w:rPr>
          <w:u w:val="none"/>
        </w:rPr>
        <w:t xml:space="preserve">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932B9" w:rsidRDefault="004E328A">
      <w:pPr>
        <w:numPr>
          <w:ilvl w:val="0"/>
          <w:numId w:val="4"/>
        </w:numPr>
        <w:ind w:right="330" w:hanging="211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závierkovom dni v zmysle § 7 ods. 4 zákona o účtovníctve. Ak by tento predpoklad nebol splnený</w:t>
      </w:r>
      <w:r>
        <w:t xml:space="preserve">, uvedie sa aj dopad do účtovnej závierky (napr. zrušenie dlhodobých rezerv): 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4"/>
        </w:numPr>
        <w:ind w:right="330" w:hanging="211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</w:t>
      </w:r>
      <w:r>
        <w:rPr>
          <w:b/>
        </w:rPr>
        <w:t>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 hodnotu</w:t>
      </w:r>
      <w:r>
        <w:t xml:space="preserve"> majetku, záväzkov, vlastného imania a výsledku hospodárenia. Ak v dôsledku zmeny účtovných zásad a účtovných metód nie sú hodnoty za bezprostredne pr</w:t>
      </w:r>
      <w:r>
        <w:t xml:space="preserve">edchádzajúce účtovné obdobie v jednotlivých súčastiach účtovnej závierky porovnateľné, uvádza sa vysvetlenie v neporovnateľných hodnotách: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4"/>
        </w:numPr>
        <w:ind w:right="330" w:hanging="211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>, pričom sa uvádza finančný vplyv týchto t</w:t>
      </w:r>
      <w:r>
        <w:t xml:space="preserve">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</w:t>
      </w:r>
      <w:r>
        <w:t xml:space="preserve">icencie a oprávnenia, podnikové kombinácie, záväzky investovať, dopad legislatívy, celkový pokles v hospodárskom segmente):    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4"/>
        </w:numPr>
        <w:ind w:right="330" w:hanging="211"/>
      </w:pPr>
      <w:r>
        <w:rPr>
          <w:b/>
        </w:rPr>
        <w:t>Spôsob a určenie oceňovania</w:t>
      </w:r>
      <w:r>
        <w:t xml:space="preserve"> majetku a záväzkov (vrátane rozhodujúcich odhadov): </w:t>
      </w:r>
    </w:p>
    <w:p w:rsidR="00B932B9" w:rsidRDefault="004E328A">
      <w:pPr>
        <w:numPr>
          <w:ilvl w:val="0"/>
          <w:numId w:val="5"/>
        </w:numPr>
        <w:ind w:right="461" w:hanging="211"/>
      </w:pPr>
      <w:r>
        <w:t xml:space="preserve">Spôsob oceňovania majetku a </w:t>
      </w:r>
      <w:r>
        <w:t xml:space="preserve">záväzkov (§ 25 ZoU):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bottom w:w="0" w:type="dxa"/>
          <w:right w:w="64" w:type="dxa"/>
        </w:tblCellMar>
        <w:tblLook w:val="04A0" w:firstRow="1" w:lastRow="0" w:firstColumn="1" w:lastColumn="0" w:noHBand="0" w:noVBand="1"/>
      </w:tblPr>
      <w:tblGrid>
        <w:gridCol w:w="706"/>
        <w:gridCol w:w="5302"/>
        <w:gridCol w:w="3601"/>
      </w:tblGrid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Č.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Spôsob oceňovania </w:t>
            </w:r>
          </w:p>
        </w:tc>
      </w:tr>
      <w:tr w:rsidR="00B932B9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externe kúpený: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2.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hmotný majetok interne vytvorený: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nehmotný majetok obstaraný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Dlhodobý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kúpou: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vytvorené vlastnou činnosťou: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Zásoby obstarané inak (darom):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Reprodukčná obstarávacia cena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ZV a zákazková výstavba nehnuteľnosti určenej na predaj: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12.1.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Vlastné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12.2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Kúpené pohľadávky: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13.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Krátkodobý finančný majetok: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14.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aktív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15.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Záväzky, vrátane rezerv, dlhopisov, pôžičiek a úverov: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16.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Časové rozlíšenie na strane pasív súvahy: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>
        <w:trPr>
          <w:trHeight w:val="264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17.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Deriváty: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18.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Majetok a záväzky zabezpečené derivátmi: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  <w:tr w:rsidR="00B932B9">
        <w:trPr>
          <w:trHeight w:val="516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19.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</w:pPr>
            <w:r>
              <w:t xml:space="preserve">Prenajatý majetok a majetok obstaraný na základe zmluvy o kúpe prenajatej veci: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</w:t>
            </w:r>
          </w:p>
        </w:tc>
      </w:tr>
      <w:tr w:rsidR="00B932B9">
        <w:trPr>
          <w:trHeight w:val="26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20. </w:t>
            </w:r>
          </w:p>
        </w:tc>
        <w:tc>
          <w:tcPr>
            <w:tcW w:w="5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Splatná daň z príjmov a odložená daň z príjmov: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</w:t>
            </w:r>
          </w:p>
        </w:tc>
      </w:tr>
    </w:tbl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5"/>
        </w:numPr>
        <w:spacing w:after="113"/>
        <w:ind w:right="461" w:hanging="211"/>
      </w:pPr>
      <w:r>
        <w:t xml:space="preserve">Trvalé zníženie hodnoty majetku nebolo účtované. Prechodné zníženie hodnoty majetku je zaúčtované formou opravnej položky stanovené odborným odhadom bonity klienta.  </w:t>
      </w:r>
    </w:p>
    <w:p w:rsidR="00B932B9" w:rsidRDefault="004E328A">
      <w:pPr>
        <w:numPr>
          <w:ilvl w:val="0"/>
          <w:numId w:val="5"/>
        </w:numPr>
        <w:spacing w:after="111"/>
        <w:ind w:right="461" w:hanging="211"/>
      </w:pPr>
      <w:r>
        <w:t>Záväzky účtovná jednotka ocenila menovitou hodnotou záväzkov. Rezervy účtovná jednotka oc</w:t>
      </w:r>
      <w:r>
        <w:t xml:space="preserve">enila odborným odhadom budúcej menovitej hodnoty potrebnej na ich úhradu.  </w:t>
      </w:r>
    </w:p>
    <w:p w:rsidR="00B932B9" w:rsidRDefault="004E328A">
      <w:pPr>
        <w:numPr>
          <w:ilvl w:val="0"/>
          <w:numId w:val="5"/>
        </w:numPr>
        <w:spacing w:after="111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</w:t>
      </w:r>
    </w:p>
    <w:p w:rsidR="00B932B9" w:rsidRDefault="004E328A">
      <w:pPr>
        <w:numPr>
          <w:ilvl w:val="0"/>
          <w:numId w:val="5"/>
        </w:numPr>
        <w:spacing w:after="110"/>
        <w:ind w:right="46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</w:t>
      </w:r>
      <w:r>
        <w:t xml:space="preserve">cou cenou alebo vlastnými nákladmi: </w:t>
      </w:r>
    </w:p>
    <w:p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</w:t>
      </w:r>
    </w:p>
    <w:p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Finančné nástroje</w:t>
      </w:r>
      <w:r>
        <w:t xml:space="preserve"> definuje § 5 zákona č.566/2001 Z.z. o cenných papieroch v znení neskorších predpisov – sú to napr. cenné papiere (akcie, dlhopisy, dočasné listy), deriváty (</w:t>
      </w:r>
      <w:r>
        <w:t xml:space="preserve">opcie, futures, swapy, forwardy), nástroje peňažného trhu (pokladničné poukážky, vkladové listy). </w:t>
      </w:r>
    </w:p>
    <w:p w:rsidR="00B932B9" w:rsidRDefault="004E328A">
      <w:pPr>
        <w:numPr>
          <w:ilvl w:val="0"/>
          <w:numId w:val="6"/>
        </w:numPr>
        <w:spacing w:after="152"/>
        <w:ind w:right="461" w:hanging="226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</w:t>
      </w:r>
    </w:p>
    <w:p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 xml:space="preserve">Opravnú položku k </w:t>
      </w:r>
      <w:r>
        <w:rPr>
          <w:u w:val="single" w:color="000000"/>
        </w:rPr>
        <w:t>dlhodobej pohľadávke</w:t>
      </w:r>
      <w:r>
        <w:t xml:space="preserve"> a opravnú položku k dlhodobej pôžičke UJ stanovila </w:t>
      </w:r>
      <w:r>
        <w:rPr>
          <w:u w:val="single" w:color="000000"/>
        </w:rPr>
        <w:t>metódu odúročenia</w:t>
      </w:r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</w:t>
      </w:r>
    </w:p>
    <w:p w:rsidR="00B932B9" w:rsidRDefault="004E328A">
      <w:pPr>
        <w:numPr>
          <w:ilvl w:val="0"/>
          <w:numId w:val="6"/>
        </w:numPr>
        <w:spacing w:after="149"/>
        <w:ind w:right="461" w:hanging="226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</w:t>
      </w:r>
    </w:p>
    <w:p w:rsidR="00B932B9" w:rsidRDefault="004E328A">
      <w:pPr>
        <w:numPr>
          <w:ilvl w:val="0"/>
          <w:numId w:val="6"/>
        </w:numPr>
        <w:spacing w:after="149"/>
        <w:ind w:right="461" w:hanging="226"/>
      </w:pPr>
      <w:r>
        <w:t>UJ poč</w:t>
      </w:r>
      <w:r>
        <w:t xml:space="preserve">as účtovného obdobia (§ 25 ZoU), ani k závierkovému dňu (§ 27 ZoU) nepoužila ocenenie </w:t>
      </w:r>
      <w:r>
        <w:rPr>
          <w:u w:val="single" w:color="000000"/>
        </w:rPr>
        <w:t>reálnou hodnotou</w:t>
      </w:r>
      <w:r>
        <w:t xml:space="preserve"> – lebo nemala k tomu vecnú náplň. </w:t>
      </w:r>
    </w:p>
    <w:p w:rsidR="00B932B9" w:rsidRDefault="004E328A">
      <w:pPr>
        <w:numPr>
          <w:ilvl w:val="0"/>
          <w:numId w:val="6"/>
        </w:numPr>
        <w:spacing w:after="150"/>
        <w:ind w:right="461" w:hanging="226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 aritmetický priemer</w:t>
      </w:r>
      <w:r>
        <w:t xml:space="preserve"> (§ 25/5 ZoU; § 2</w:t>
      </w:r>
      <w:r>
        <w:t xml:space="preserve">2/1 PU). </w:t>
      </w:r>
    </w:p>
    <w:p w:rsidR="00B932B9" w:rsidRDefault="004E328A">
      <w:pPr>
        <w:numPr>
          <w:ilvl w:val="0"/>
          <w:numId w:val="6"/>
        </w:numPr>
        <w:ind w:right="461" w:hanging="226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ZoU). </w:t>
      </w:r>
    </w:p>
    <w:p w:rsidR="00B932B9" w:rsidRDefault="004E328A">
      <w:pPr>
        <w:numPr>
          <w:ilvl w:val="0"/>
          <w:numId w:val="6"/>
        </w:numPr>
        <w:spacing w:after="110"/>
        <w:ind w:right="461" w:hanging="226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 pravidlo</w:t>
      </w:r>
      <w:r>
        <w:t xml:space="preserve"> (D-</w:t>
      </w:r>
      <w:r>
        <w:t>1), teda kurz zo dňa predchádzajúceho dňu účtovného prípadu (§ 24/2/a; § 24/6 ZoU).</w:t>
      </w:r>
      <w:r>
        <w:rPr>
          <w:b/>
        </w:rPr>
        <w:t xml:space="preserve">  </w:t>
      </w:r>
    </w:p>
    <w:p w:rsidR="00B932B9" w:rsidRDefault="004E328A">
      <w:pPr>
        <w:numPr>
          <w:ilvl w:val="0"/>
          <w:numId w:val="7"/>
        </w:numPr>
        <w:spacing w:after="120"/>
        <w:ind w:right="461" w:hanging="161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 imania</w:t>
      </w:r>
      <w:r>
        <w:t xml:space="preserve"> (§ 27/9 ZoU).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B932B9" w:rsidRDefault="004E328A">
      <w:pPr>
        <w:numPr>
          <w:ilvl w:val="0"/>
          <w:numId w:val="7"/>
        </w:numPr>
        <w:ind w:right="461" w:hanging="161"/>
      </w:pPr>
      <w:r>
        <w:rPr>
          <w:b/>
        </w:rPr>
        <w:t>Tvorba odpisového plánu</w:t>
      </w:r>
      <w:r>
        <w:t xml:space="preserve"> pre dlhodobý majetok, pričom sa uvá</w:t>
      </w:r>
      <w:r>
        <w:t xml:space="preserve">dza doba odpisovania, sadzby odpisov a odpisové metódy pre účtovné odpisy: </w:t>
      </w:r>
    </w:p>
    <w:tbl>
      <w:tblPr>
        <w:tblStyle w:val="TableGrid"/>
        <w:tblW w:w="9609" w:type="dxa"/>
        <w:tblInd w:w="-108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1013"/>
        <w:gridCol w:w="2108"/>
        <w:gridCol w:w="2268"/>
      </w:tblGrid>
      <w:tr w:rsidR="00B932B9">
        <w:trPr>
          <w:trHeight w:val="516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00" w:right="143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8" w:right="0" w:firstLine="0"/>
              <w:jc w:val="center"/>
            </w:pPr>
            <w:r>
              <w:rPr>
                <w:b/>
              </w:rPr>
              <w:t xml:space="preserve">číslo </w:t>
            </w:r>
          </w:p>
          <w:p w:rsidR="00B932B9" w:rsidRDefault="004E328A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</w:rPr>
              <w:t xml:space="preserve">účtu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doba odpisovania (počet rokov)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157" w:right="52" w:firstLine="0"/>
              <w:jc w:val="center"/>
            </w:pPr>
            <w:r>
              <w:rPr>
                <w:b/>
              </w:rPr>
              <w:t xml:space="preserve">odpisová sadzba  (%) </w:t>
            </w:r>
          </w:p>
        </w:tc>
      </w:tr>
      <w:tr w:rsidR="00B932B9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Software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013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932B9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019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25 </w:t>
            </w:r>
          </w:p>
        </w:tc>
      </w:tr>
      <w:tr w:rsidR="00B932B9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Stavby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021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>25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4 </w:t>
            </w:r>
          </w:p>
        </w:tc>
      </w:tr>
      <w:tr w:rsidR="00B932B9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Počítače s príslušenstvom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  <w:tr w:rsidR="00B932B9">
        <w:trPr>
          <w:trHeight w:val="264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023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B932B9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Ostatné stroje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right="0" w:firstLine="0"/>
              <w:jc w:val="center"/>
            </w:pPr>
            <w:r>
              <w:t xml:space="preserve">022.A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7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14,3 </w:t>
            </w:r>
          </w:p>
        </w:tc>
      </w:tr>
      <w:tr w:rsidR="00B932B9">
        <w:trPr>
          <w:trHeight w:val="262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Ostatný dlhodobý hmotný majetok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7" w:right="0" w:firstLine="0"/>
              <w:jc w:val="center"/>
            </w:pPr>
            <w:r>
              <w:t xml:space="preserve">029 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6" w:right="0" w:firstLine="0"/>
              <w:jc w:val="center"/>
            </w:pPr>
            <w:r>
              <w:t xml:space="preserve">5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4" w:right="0" w:firstLine="0"/>
              <w:jc w:val="center"/>
            </w:pPr>
            <w:r>
              <w:t xml:space="preserve">20 </w:t>
            </w:r>
          </w:p>
        </w:tc>
      </w:tr>
    </w:tbl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 </w:t>
      </w:r>
    </w:p>
    <w:p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Komentár k odpisovému plánu</w:t>
      </w:r>
      <w:r>
        <w:t xml:space="preserve">:  </w:t>
      </w:r>
    </w:p>
    <w:p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používania majetku. Dlhodobý nehmotný majetok sa odpisuje počas 4 rokov od jeho obstarania. </w:t>
      </w:r>
    </w:p>
    <w:p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</w:t>
      </w:r>
      <w:r>
        <w:t xml:space="preserve">o hmotného majetku a dlhodobého nehmotného majetku. Podrobný účtovný odpisový plán po položkách sa vedie v podsystéme Majetok s podporou softvéru Money (taktiež daňové odpisy podľa zákona o dani z príjmov). </w:t>
      </w:r>
    </w:p>
    <w:p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odpisuje jednotlivé veci alebo relevantné </w:t>
      </w:r>
      <w:r>
        <w:rPr>
          <w:u w:val="single" w:color="000000"/>
        </w:rPr>
        <w:t>súb</w:t>
      </w:r>
      <w:r>
        <w:rPr>
          <w:u w:val="single" w:color="000000"/>
        </w:rPr>
        <w:t>ory hnuteľných vecí</w:t>
      </w:r>
      <w:r>
        <w:t xml:space="preserve"> (napr. počítačová sieť, nábytková zostava). UJ nepoužíva komponentné odpisovanie (odpisovanie častí majetku - komponentov). </w:t>
      </w:r>
    </w:p>
    <w:p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>dlhodobého majetku z dôvodu jednorazového trvalého zníženia hodnoty majetku (§ 2</w:t>
      </w:r>
      <w:r>
        <w:t xml:space="preserve">1/5 PU). </w:t>
      </w:r>
    </w:p>
    <w:p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kategóriu drobného dlhodobého nehmotného majetku</w:t>
      </w:r>
      <w:r>
        <w:t xml:space="preserve"> - položky pod 2 400 eur jednotkovej ceny so životnosťou nad jeden rok (§ 13/2 PU). </w:t>
      </w:r>
    </w:p>
    <w:p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kategóriu drobného dlhodobého hmotného majetku</w:t>
      </w:r>
      <w:r>
        <w:t xml:space="preserve"> - položky pod 1 700 eur jednotkovej ceny</w:t>
      </w:r>
      <w:r>
        <w:t xml:space="preserve"> so životnosťou nad jeden rok (§ 13/6 PU). </w:t>
      </w:r>
    </w:p>
    <w:p w:rsidR="00B932B9" w:rsidRDefault="004E328A">
      <w:pPr>
        <w:numPr>
          <w:ilvl w:val="0"/>
          <w:numId w:val="8"/>
        </w:numPr>
        <w:spacing w:after="149"/>
        <w:ind w:right="461" w:hanging="226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</w:t>
      </w:r>
    </w:p>
    <w:p w:rsidR="00B932B9" w:rsidRDefault="004E328A">
      <w:pPr>
        <w:numPr>
          <w:ilvl w:val="0"/>
          <w:numId w:val="8"/>
        </w:numPr>
        <w:spacing w:after="110"/>
        <w:ind w:right="461" w:hanging="226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</w:t>
      </w:r>
    </w:p>
    <w:p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spacing w:after="110"/>
        <w:ind w:left="-5" w:right="461"/>
      </w:pPr>
      <w:r>
        <w:t xml:space="preserve">h) Informácia </w:t>
      </w:r>
      <w:r>
        <w:rPr>
          <w:b/>
        </w:rPr>
        <w:t>o poskytnutých dotáciách</w:t>
      </w:r>
      <w:r>
        <w:t xml:space="preserve"> a pri dotáciách na obstaranie majetku sa uvedú z</w:t>
      </w:r>
      <w:r>
        <w:t xml:space="preserve">ložky majetku a ich ocenenie:  </w:t>
      </w:r>
    </w:p>
    <w:p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ind w:left="-5" w:right="461"/>
      </w:pPr>
      <w:r>
        <w:t xml:space="preserve">5) </w:t>
      </w:r>
      <w:r>
        <w:rPr>
          <w:b/>
        </w:rPr>
        <w:t xml:space="preserve">Informácie o oprave </w:t>
      </w:r>
      <w:r>
        <w:rPr>
          <w:b/>
          <w:u w:val="single" w:color="000000"/>
        </w:rPr>
        <w:t>významných chýb</w:t>
      </w:r>
      <w:r>
        <w:t xml:space="preserve"> minulých účtovných období účtovaných v bežnom účtovnom období </w:t>
      </w:r>
      <w:r>
        <w:rPr>
          <w:u w:val="single" w:color="000000"/>
        </w:rPr>
        <w:t>s uvedením sumy vplyvu</w:t>
      </w:r>
      <w:r>
        <w:t xml:space="preserve"> na nerozdelený zisk minulých rokov alebo na neuhradenú stratu minulých rokov. Účtovná jednotka môž</w:t>
      </w:r>
      <w:r>
        <w:t xml:space="preserve">e uviesť aj informácie o oprave </w:t>
      </w:r>
      <w:r>
        <w:rPr>
          <w:u w:val="single" w:color="000000"/>
        </w:rPr>
        <w:t>nevýznamných chýb</w:t>
      </w:r>
      <w:r>
        <w:t xml:space="preserve"> minulých účtovných období účtovaných v bežnom účtovnom období s uvedením sumy vplyvu na výsledok hospodárenia bežného účtovného obdobia: </w:t>
      </w:r>
      <w:r>
        <w:rPr>
          <w:b/>
        </w:rPr>
        <w:t xml:space="preserve"> </w:t>
      </w:r>
    </w:p>
    <w:tbl>
      <w:tblPr>
        <w:tblStyle w:val="TableGrid"/>
        <w:tblW w:w="9602" w:type="dxa"/>
        <w:tblInd w:w="-108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058"/>
        <w:gridCol w:w="1040"/>
        <w:gridCol w:w="1079"/>
        <w:gridCol w:w="1921"/>
        <w:gridCol w:w="2504"/>
      </w:tblGrid>
      <w:tr w:rsidR="00B932B9">
        <w:trPr>
          <w:trHeight w:val="382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 xml:space="preserve">Vplyv na vlastné imanie </w:t>
            </w:r>
          </w:p>
        </w:tc>
      </w:tr>
      <w:tr w:rsidR="00B932B9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>
        <w:trPr>
          <w:trHeight w:val="384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5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spacing w:after="137" w:line="259" w:lineRule="auto"/>
        <w:ind w:left="-5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</w:t>
      </w:r>
    </w:p>
    <w:p w:rsidR="00B932B9" w:rsidRDefault="004E328A">
      <w:pPr>
        <w:numPr>
          <w:ilvl w:val="0"/>
          <w:numId w:val="9"/>
        </w:numPr>
        <w:spacing w:after="152"/>
        <w:ind w:right="461" w:hanging="226"/>
      </w:pPr>
      <w:r>
        <w:lastRenderedPageBreak/>
        <w:t xml:space="preserve">Po schválení účtovnej závierky na valnom zhromaždení už nemožno otvárať účtovné knihy minulých účtovných období a prípadné opravy sa vykonajú v </w:t>
      </w:r>
      <w:r>
        <w:t xml:space="preserve">bežnom účtovnom období (§ 16/10,11 ZoU). </w:t>
      </w:r>
    </w:p>
    <w:p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 xml:space="preserve">Opravy nevýznamných nákladov a nevýznamných výnosov minulých účtovných období sa účtujú ako výsledkové účtovné prípady bežného účtovného obdobia (§ 5/1 PU).   </w:t>
      </w:r>
    </w:p>
    <w:p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>Významné opravy chýb minulých účtovných období sa účtu</w:t>
      </w:r>
      <w:r>
        <w:t xml:space="preserve">jú (§ 59/13 PU) - voči minulým výsledkom hospodárenia (voči vlastnému imaniu na účet 428 alebo 429).  </w:t>
      </w:r>
    </w:p>
    <w:p w:rsidR="00B932B9" w:rsidRDefault="004E328A">
      <w:pPr>
        <w:numPr>
          <w:ilvl w:val="0"/>
          <w:numId w:val="9"/>
        </w:numPr>
        <w:spacing w:after="150"/>
        <w:ind w:right="461" w:hanging="226"/>
      </w:pPr>
      <w:r>
        <w:t xml:space="preserve">Hranicu významnosti si UJ stanoví individuálne v internej účtovnej smernici (napr. 1 tisícina z brutto aktív). </w:t>
      </w:r>
    </w:p>
    <w:p w:rsidR="00B932B9" w:rsidRDefault="004E328A">
      <w:pPr>
        <w:numPr>
          <w:ilvl w:val="0"/>
          <w:numId w:val="9"/>
        </w:numPr>
        <w:spacing w:after="149"/>
        <w:ind w:right="461" w:hanging="226"/>
      </w:pPr>
      <w:r>
        <w:t>Pri ukladaní pokuty za nesprávnosti v účt</w:t>
      </w:r>
      <w:r>
        <w:t xml:space="preserve">ovníctve prihliadne daňový úrad aj na to, či UJ písomne ohlásila obsah a sumu vykonanej opravy chýb minulých účtovných období (§ 38/5 ZoU). </w:t>
      </w:r>
    </w:p>
    <w:p w:rsidR="00B932B9" w:rsidRDefault="004E328A">
      <w:pPr>
        <w:numPr>
          <w:ilvl w:val="0"/>
          <w:numId w:val="9"/>
        </w:numPr>
        <w:spacing w:after="111"/>
        <w:ind w:right="461" w:hanging="226"/>
      </w:pPr>
      <w:r>
        <w:t xml:space="preserve">Opravy chýb minulých účtovných období sa daňovo vysporiadajú podľa pravidiel v zákone o dani z príjmov (§ 17/15,29 </w:t>
      </w:r>
      <w:r>
        <w:t xml:space="preserve">ZDP) a pravidiel v daňovom poriadku (§ 16). 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spacing w:after="0" w:line="259" w:lineRule="auto"/>
        <w:ind w:left="703" w:right="0" w:firstLine="0"/>
        <w:jc w:val="left"/>
      </w:pPr>
      <w:r>
        <w:rPr>
          <w:b/>
          <w:u w:val="single" w:color="000000"/>
        </w:rPr>
        <w:t>Článok IV – INFORMÁCIE, KTORÉ VYSVETĽUJÚ A DOPĹŇAJÚ SÚVAHU A VÝKAZ ZISKOV A STRÁT</w:t>
      </w:r>
      <w:r>
        <w:t xml:space="preserve">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ind w:left="-5" w:right="461"/>
      </w:pPr>
      <w:r>
        <w:t xml:space="preserve">a) Dlhodobý nehmotný majetok, ktorým je </w:t>
      </w:r>
      <w:r>
        <w:rPr>
          <w:u w:val="single" w:color="000000"/>
        </w:rPr>
        <w:t>goodwill alebo záporný goodwill</w:t>
      </w:r>
      <w:r>
        <w:rPr>
          <w:b/>
        </w:rPr>
        <w:t xml:space="preserve"> - </w:t>
      </w:r>
      <w:r>
        <w:t>dôvod jeho vzniku, spôsob výpočtu a prehodnotenie</w:t>
      </w:r>
      <w:r>
        <w:t xml:space="preserve"> opodstatnenosti jeho výšky a odpisu jeho hodnoty: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ind w:left="-5" w:right="461"/>
      </w:pPr>
      <w:r>
        <w:t>[Vysvetlivky: Záporný goodwill sa účtovne odpíše do výnosov (075/551) jednorázovo v roku jeho vzniku (§ 37 PU). Daňovo sa goodwill z podnikových kombinácií spravidla odpisuje najdlhšie počas 7 rokov pod</w:t>
      </w:r>
      <w:r>
        <w:t xml:space="preserve">ľa pravidiel v zákone o dani z príjmov (§ 17/11; § 17a - 17e ZDP)] </w:t>
      </w:r>
    </w:p>
    <w:p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932B9" w:rsidRDefault="004E328A">
      <w:pPr>
        <w:spacing w:after="98" w:line="259" w:lineRule="auto"/>
        <w:ind w:left="-5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 16 PU):</w:t>
      </w:r>
      <w:r>
        <w:t xml:space="preserve">  </w:t>
      </w:r>
    </w:p>
    <w:p w:rsidR="00B932B9" w:rsidRDefault="004E328A">
      <w:pPr>
        <w:spacing w:after="101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ind w:left="-5" w:right="461"/>
      </w:pPr>
      <w:r>
        <w:t xml:space="preserve">Pritom sa uvádza forma tohto zabezpečenia a uvádza sa zmena reálnej hodnoty v </w:t>
      </w:r>
      <w:r>
        <w:t xml:space="preserve">priebehu účtovného obdobia (§ 27 ZoU).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</w:t>
      </w:r>
      <w:r>
        <w:t xml:space="preserve">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</w:p>
    <w:tbl>
      <w:tblPr>
        <w:tblStyle w:val="TableGrid"/>
        <w:tblW w:w="9607" w:type="dxa"/>
        <w:tblInd w:w="-108" w:type="dxa"/>
        <w:tblCellMar>
          <w:top w:w="48" w:type="dxa"/>
          <w:left w:w="10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56"/>
        <w:gridCol w:w="1136"/>
        <w:gridCol w:w="1135"/>
        <w:gridCol w:w="1844"/>
        <w:gridCol w:w="1836"/>
      </w:tblGrid>
      <w:tr w:rsidR="00B932B9">
        <w:trPr>
          <w:trHeight w:val="384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 Suma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MD/DAL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Vplyv na výsledok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 Vplyv na imanie </w:t>
            </w:r>
          </w:p>
        </w:tc>
      </w:tr>
      <w:tr w:rsidR="00B932B9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>
        <w:trPr>
          <w:trHeight w:val="382"/>
        </w:trPr>
        <w:tc>
          <w:tcPr>
            <w:tcW w:w="36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B932B9" w:rsidRDefault="004E328A">
      <w:pPr>
        <w:spacing w:after="110"/>
        <w:ind w:left="-5" w:right="461"/>
      </w:pPr>
      <w:r>
        <w:rPr>
          <w:u w:val="single" w:color="000000"/>
        </w:rPr>
        <w:t>Komentár</w:t>
      </w:r>
      <w:r>
        <w:t xml:space="preserve">: Prvotné ocenenie reálnou hodnotou (§ 25 ZoU) počas účtovného obdobia – bez náplne. </w:t>
      </w:r>
    </w:p>
    <w:p w:rsidR="00B932B9" w:rsidRDefault="004E328A">
      <w:pPr>
        <w:spacing w:after="111"/>
        <w:ind w:left="-5" w:right="461"/>
      </w:pPr>
      <w:r>
        <w:t>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závierkovému dňu oceňujú, okrem iného, aj deriváty a majetok a záväzky zabezpečené derivátmi (§ 27/1 ZoU); precenenie na reálnu hodn</w:t>
      </w:r>
      <w:r>
        <w:t xml:space="preserve">otu k závierkovému dňu sa účtuje (§ 16 PU) - výsledkovo (účty 56x, 66x) alebo súvahovo (účet 414)]. </w:t>
      </w:r>
    </w:p>
    <w:p w:rsidR="00B932B9" w:rsidRDefault="004E328A">
      <w:pPr>
        <w:spacing w:after="98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spacing w:after="0" w:line="259" w:lineRule="auto"/>
        <w:ind w:left="-5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</w:t>
      </w:r>
    </w:p>
    <w:tbl>
      <w:tblPr>
        <w:tblStyle w:val="TableGrid"/>
        <w:tblW w:w="9717" w:type="dxa"/>
        <w:tblInd w:w="-108" w:type="dxa"/>
        <w:tblCellMar>
          <w:top w:w="48" w:type="dxa"/>
          <w:left w:w="108" w:type="dxa"/>
          <w:bottom w:w="0" w:type="dxa"/>
          <w:right w:w="85" w:type="dxa"/>
        </w:tblCellMar>
        <w:tblLook w:val="04A0" w:firstRow="1" w:lastRow="0" w:firstColumn="1" w:lastColumn="0" w:noHBand="0" w:noVBand="1"/>
      </w:tblPr>
      <w:tblGrid>
        <w:gridCol w:w="4787"/>
        <w:gridCol w:w="2554"/>
        <w:gridCol w:w="2376"/>
      </w:tblGrid>
      <w:tr w:rsidR="00B932B9">
        <w:trPr>
          <w:trHeight w:val="766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32B9" w:rsidRDefault="004E328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32B9" w:rsidRDefault="004E328A">
            <w:pPr>
              <w:spacing w:after="0" w:line="259" w:lineRule="auto"/>
              <w:ind w:left="0" w:right="22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3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B932B9" w:rsidRDefault="004E328A">
            <w:pPr>
              <w:spacing w:after="0" w:line="259" w:lineRule="auto"/>
              <w:ind w:left="0" w:right="21" w:firstLine="0"/>
              <w:jc w:val="center"/>
            </w:pPr>
            <w:r>
              <w:rPr>
                <w:b/>
              </w:rPr>
              <w:lastRenderedPageBreak/>
              <w:t xml:space="preserve">obdobie </w:t>
            </w:r>
          </w:p>
        </w:tc>
      </w:tr>
      <w:tr w:rsidR="00B932B9">
        <w:trPr>
          <w:trHeight w:val="264"/>
        </w:trPr>
        <w:tc>
          <w:tcPr>
            <w:tcW w:w="4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Záväzky so zostatkovou dobou splatnosti nad 5 rokov </w:t>
            </w:r>
          </w:p>
        </w:tc>
        <w:tc>
          <w:tcPr>
            <w:tcW w:w="2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</w:tbl>
    <w:p w:rsidR="00B932B9" w:rsidRDefault="004E328A">
      <w:pPr>
        <w:ind w:left="-5" w:right="0"/>
      </w:pPr>
      <w:r>
        <w:t xml:space="preserve">[Vysvetlivky: Zostatková doba splatnosti záväzku alebo jeho časti – je rozdiel medzi dohodnutou dobou splatnosti záväzkov a </w:t>
      </w:r>
      <w:r>
        <w:t xml:space="preserve">závierkovým dňom (§ 12 PU).]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ind w:left="-5" w:right="461"/>
      </w:pPr>
      <w:r>
        <w:t xml:space="preserve">3b) Celková suma </w:t>
      </w:r>
      <w:r>
        <w:rPr>
          <w:u w:val="single" w:color="000000"/>
        </w:rPr>
        <w:t>zabezpečených záväzkov</w:t>
      </w:r>
      <w:r>
        <w:t xml:space="preserve"> – opis a spôsob zabezpečenia záväzkov:  </w:t>
      </w:r>
    </w:p>
    <w:tbl>
      <w:tblPr>
        <w:tblStyle w:val="TableGrid"/>
        <w:tblW w:w="9640" w:type="dxa"/>
        <w:tblInd w:w="-70" w:type="dxa"/>
        <w:tblCellMar>
          <w:top w:w="46" w:type="dxa"/>
          <w:left w:w="7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97"/>
        <w:gridCol w:w="2830"/>
        <w:gridCol w:w="2413"/>
      </w:tblGrid>
      <w:tr w:rsidR="00B932B9">
        <w:trPr>
          <w:trHeight w:val="262"/>
        </w:trPr>
        <w:tc>
          <w:tcPr>
            <w:tcW w:w="43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32B9" w:rsidRDefault="004E328A">
            <w:pPr>
              <w:spacing w:after="0" w:line="259" w:lineRule="auto"/>
              <w:ind w:left="45" w:right="0" w:firstLine="0"/>
              <w:jc w:val="center"/>
            </w:pPr>
            <w:r>
              <w:rPr>
                <w:b/>
              </w:rPr>
              <w:t xml:space="preserve">Zabezpečené záväzky </w:t>
            </w:r>
          </w:p>
        </w:tc>
        <w:tc>
          <w:tcPr>
            <w:tcW w:w="524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47" w:right="0" w:firstLine="0"/>
              <w:jc w:val="center"/>
            </w:pPr>
            <w:r>
              <w:rPr>
                <w:b/>
              </w:rPr>
              <w:t xml:space="preserve">Bežné účtovné obdobie </w:t>
            </w:r>
          </w:p>
        </w:tc>
      </w:tr>
      <w:tr w:rsidR="00B932B9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B932B9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430" w:right="287" w:firstLine="0"/>
              <w:jc w:val="center"/>
            </w:pPr>
            <w:r>
              <w:rPr>
                <w:b/>
              </w:rPr>
              <w:t xml:space="preserve">Spôsob  zabezpečenia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32B9" w:rsidRDefault="004E328A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 xml:space="preserve">Hodnota záväzkov </w:t>
            </w:r>
          </w:p>
        </w:tc>
      </w:tr>
      <w:tr w:rsidR="00B932B9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záložným právom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44" w:right="0" w:firstLine="0"/>
              <w:jc w:val="center"/>
            </w:pPr>
            <w:r>
              <w:t xml:space="preserve">záložné právo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Záväzky zabezpečené iným spôsobom 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93" w:right="0" w:firstLine="0"/>
              <w:jc w:val="center"/>
            </w:pPr>
            <w:r>
              <w:t xml:space="preserve">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  <w:tr w:rsidR="00B932B9">
        <w:trPr>
          <w:trHeight w:val="389"/>
        </w:trPr>
        <w:tc>
          <w:tcPr>
            <w:tcW w:w="4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42" w:right="0" w:firstLine="0"/>
              <w:jc w:val="center"/>
            </w:pPr>
            <w:r>
              <w:t xml:space="preserve">x </w:t>
            </w:r>
          </w:p>
        </w:tc>
        <w:tc>
          <w:tcPr>
            <w:tcW w:w="2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spacing w:after="98" w:line="259" w:lineRule="auto"/>
        <w:ind w:left="-5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</w:t>
      </w:r>
    </w:p>
    <w:p w:rsidR="00B932B9" w:rsidRDefault="004E328A">
      <w:pPr>
        <w:spacing w:after="108"/>
        <w:ind w:left="-5" w:right="461"/>
      </w:pPr>
      <w:r>
        <w:t xml:space="preserve">a) dôvod nadobudnutia vlastných akcií počas účtovného obdobia: </w:t>
      </w:r>
    </w:p>
    <w:p w:rsidR="00B932B9" w:rsidRDefault="004E328A">
      <w:pPr>
        <w:spacing w:after="110"/>
        <w:ind w:left="-5" w:right="461"/>
      </w:pPr>
      <w:r>
        <w:t xml:space="preserve">b1) počet a </w:t>
      </w:r>
      <w:r>
        <w:t xml:space="preserve">menovitá hodnota nadobudnutých vlastných akcií počas účtovného obdobia a počet a menovitá hodnota prevedených vlastných akcií počas účtovného obdobia, pričom sa uvádza percentuálna hodnota týchto vlastných akcií na upísanom základnom imaní: </w:t>
      </w:r>
    </w:p>
    <w:p w:rsidR="00B932B9" w:rsidRDefault="004E328A">
      <w:pPr>
        <w:spacing w:after="111"/>
        <w:ind w:left="-5" w:right="461"/>
      </w:pPr>
      <w:r>
        <w:t>b2) počet a pr</w:t>
      </w:r>
      <w:r>
        <w:t xml:space="preserve">otihodnota, za ktorú sa vlastné akcie počas účtovného obdobia nadobudli a počet a protihodnota, za ktorú sa vlastné akcie počas účtovného obdobia previedli na inú osobu: </w:t>
      </w:r>
    </w:p>
    <w:p w:rsidR="00B932B9" w:rsidRDefault="004E328A">
      <w:pPr>
        <w:spacing w:after="113"/>
        <w:ind w:left="-5" w:right="0"/>
      </w:pPr>
      <w:r>
        <w:t>c) počet, menovitá hodnota a protihodnota, za ktorú sa vlastné akcie nadobudli a ktor</w:t>
      </w:r>
      <w:r>
        <w:t xml:space="preserve">é účtovná jednotka má v držbe k poslednému dňu účtovného obdobia; uvádza sa aj ich percentuálny podiel na upísanom základnom imaní: </w:t>
      </w:r>
    </w:p>
    <w:p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932B9" w:rsidRDefault="004E328A">
      <w:pPr>
        <w:ind w:left="-5" w:right="461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</w:t>
      </w:r>
      <w:r>
        <w:t xml:space="preserve"> </w:t>
      </w:r>
      <w:r>
        <w:rPr>
          <w:u w:val="single" w:color="000000"/>
        </w:rPr>
        <w:t>rozsah alebo vý</w:t>
      </w:r>
      <w:r>
        <w:rPr>
          <w:u w:val="single" w:color="000000"/>
        </w:rPr>
        <w:t>skyt</w:t>
      </w:r>
      <w:r>
        <w:t xml:space="preserve"> (napr. výnosy z predaja podniku alebo jeho časti, náklady z dôvodu predaja podniku alebo jeho časti, škody z dôvodu živelných pohrôm): </w:t>
      </w:r>
    </w:p>
    <w:p w:rsidR="00B932B9" w:rsidRDefault="004E328A">
      <w:pPr>
        <w:spacing w:after="98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932B9" w:rsidRDefault="004E328A">
      <w:pPr>
        <w:pStyle w:val="Nadpis2"/>
        <w:spacing w:after="101"/>
        <w:ind w:right="3"/>
      </w:pPr>
      <w:r>
        <w:t xml:space="preserve">Článok V – INFORMÁCIE O INÝCH AKTÍVACH A INÝCH PASÍVACH </w:t>
      </w:r>
    </w:p>
    <w:p w:rsidR="00B932B9" w:rsidRDefault="004E328A">
      <w:pPr>
        <w:ind w:left="-5" w:right="461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</w:t>
      </w:r>
      <w:r>
        <w:t>majetku, ktorým sa rozumie možný majetok, ktorý vznikol v dôsledku minulých udalostí a ktorého existencia alebo vlastníctvo závisí od toho, či nastane alebo nenastane jeden alebo viac neistých udalostí v budúcnosti, ktorých vznik nezávisí od účtovnej jedno</w:t>
      </w:r>
      <w:r>
        <w:t xml:space="preserve">tky; týmto majetkom sú – napr. práva zo servisných zmlúv, poistných zmlúv, koncesionárskych zmlúv, licenčných zmlúv: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spacing w:after="149"/>
        <w:ind w:left="-5" w:right="46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</w:t>
      </w:r>
      <w:r>
        <w:t xml:space="preserve">cne záväzných právnych predpisov, z ručenia podľa jednotlivých druhov ručenia; takými podmienenými záväzkami sú: </w:t>
      </w:r>
    </w:p>
    <w:p w:rsidR="00B932B9" w:rsidRDefault="004E328A">
      <w:pPr>
        <w:numPr>
          <w:ilvl w:val="0"/>
          <w:numId w:val="10"/>
        </w:numPr>
        <w:spacing w:after="149"/>
        <w:ind w:right="461" w:hanging="226"/>
      </w:pPr>
      <w:r>
        <w:t xml:space="preserve">možná povinnosť, ktorá vznikla ako dôsledok minulej udalosti a </w:t>
      </w:r>
      <w:r>
        <w:t xml:space="preserve">ktorej existencia závisí od toho, či nastane lebo nenastane jedna alebo viac neistých udalostí v budúcnosti, ktorých vznik nezávisí od účtovnej jednotky: </w:t>
      </w:r>
    </w:p>
    <w:p w:rsidR="00B932B9" w:rsidRDefault="004E328A">
      <w:pPr>
        <w:numPr>
          <w:ilvl w:val="0"/>
          <w:numId w:val="10"/>
        </w:numPr>
        <w:ind w:right="461" w:hanging="226"/>
      </w:pPr>
      <w:r>
        <w:lastRenderedPageBreak/>
        <w:t>povinnosť, ktorá vznikla ako dôsledok minulej udalosti, ale ktorá sa nevykazuje v súvahe, pretože nie</w:t>
      </w:r>
      <w:r>
        <w:t xml:space="preserve"> je pravdepodobné, že na splnenie tejto povinnosti bude potrebný úbytok ekonomických úžitkov, alebo výška tejto povinnosti sa nedá spoľahlivo oceniť: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Ostatné finančné povinnosti</w:t>
      </w:r>
      <w:r>
        <w:t>, ktoré sa nevykazujú v účtovných výkazoch - napríklad zákonná povinnosť ale</w:t>
      </w:r>
      <w:r>
        <w:t xml:space="preserve">bo zmluvná povinnosť odobrať určité množstvo produktu, uskutočniť investície a veľké opravy: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11"/>
        </w:numPr>
        <w:ind w:right="461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</w:t>
      </w:r>
    </w:p>
    <w:tbl>
      <w:tblPr>
        <w:tblStyle w:val="TableGrid"/>
        <w:tblW w:w="9609" w:type="dxa"/>
        <w:tblInd w:w="-55" w:type="dxa"/>
        <w:tblCellMar>
          <w:top w:w="48" w:type="dxa"/>
          <w:left w:w="108" w:type="dxa"/>
          <w:bottom w:w="0" w:type="dxa"/>
          <w:right w:w="65" w:type="dxa"/>
        </w:tblCellMar>
        <w:tblLook w:val="04A0" w:firstRow="1" w:lastRow="0" w:firstColumn="1" w:lastColumn="0" w:noHBand="0" w:noVBand="1"/>
      </w:tblPr>
      <w:tblGrid>
        <w:gridCol w:w="6103"/>
        <w:gridCol w:w="1670"/>
        <w:gridCol w:w="1836"/>
      </w:tblGrid>
      <w:tr w:rsidR="00B932B9">
        <w:trPr>
          <w:trHeight w:val="1020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32B9" w:rsidRDefault="004E328A">
            <w:pPr>
              <w:spacing w:after="0" w:line="259" w:lineRule="auto"/>
              <w:ind w:left="0" w:right="46" w:firstLine="0"/>
              <w:jc w:val="center"/>
            </w:pPr>
            <w:r>
              <w:rPr>
                <w:b/>
              </w:rPr>
              <w:t xml:space="preserve">Názov podsúvahovej položky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Bežné účtovné obdob</w:t>
            </w:r>
            <w:r>
              <w:rPr>
                <w:b/>
              </w:rPr>
              <w:t xml:space="preserve">ie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B932B9">
        <w:trPr>
          <w:trHeight w:val="279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>
        <w:trPr>
          <w:trHeight w:val="264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B932B9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>
        <w:trPr>
          <w:trHeight w:val="262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  <w:tr w:rsidR="00B932B9">
        <w:trPr>
          <w:trHeight w:val="264"/>
        </w:trPr>
        <w:tc>
          <w:tcPr>
            <w:tcW w:w="6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  <w:tc>
          <w:tcPr>
            <w:tcW w:w="15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932B9" w:rsidRDefault="004E328A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</w:tr>
    </w:tbl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B932B9" w:rsidRDefault="004E328A">
      <w:pPr>
        <w:spacing w:after="0" w:line="259" w:lineRule="auto"/>
        <w:ind w:left="2194" w:right="0" w:firstLine="0"/>
        <w:jc w:val="left"/>
      </w:pPr>
      <w:r>
        <w:rPr>
          <w:b/>
        </w:rPr>
        <w:t xml:space="preserve">Článok VI – </w:t>
      </w:r>
      <w:r>
        <w:rPr>
          <w:b/>
        </w:rPr>
        <w:t xml:space="preserve">UDALOSTI, KTORÉ NASTALI PO ZÁVIERKOVOM DNI </w:t>
      </w:r>
    </w:p>
    <w:p w:rsidR="00B932B9" w:rsidRDefault="004E328A">
      <w:pPr>
        <w:pStyle w:val="Nadpis2"/>
      </w:pPr>
      <w:r>
        <w:t xml:space="preserve">(Následné udalosti) </w:t>
      </w:r>
    </w:p>
    <w:p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B932B9" w:rsidRDefault="004E328A">
      <w:pPr>
        <w:spacing w:after="111"/>
        <w:ind w:left="-5" w:right="461"/>
      </w:pPr>
      <w:r>
        <w:t>Uvádzajú sa informácie o charaktere a finančnom vplyve významných udalostí, ktoré nastali v čase po závierkovom dni - do dňa zostavenia účtovnej závierky (t.j. do dňa podpísania výkazov pod</w:t>
      </w:r>
      <w:r>
        <w:t xml:space="preserve">ľa § 17/5 ZoU) a ktoré nie sú zohľadnené v súvahe alebo vo výkaze ziskov a strát, napríklad: </w:t>
      </w:r>
    </w:p>
    <w:p w:rsidR="00B932B9" w:rsidRDefault="004E328A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</w:t>
      </w:r>
      <w:r>
        <w:t xml:space="preserve">vnej závierky s uvedením dôvodu týchto zmien: 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12"/>
        </w:numPr>
        <w:ind w:right="461" w:hanging="211"/>
      </w:pPr>
      <w:r>
        <w:rPr>
          <w:u w:val="single" w:color="000000"/>
        </w:rPr>
        <w:t>Dôvody pre zmenu výšky rezerv a opravných položiek</w:t>
      </w:r>
      <w:r>
        <w:t xml:space="preserve">, ktoré nastali v dôsledku udalostí po dni, ku ktorému sa zostavuje účtovná závierka do dňa zostavenia účtovnej závierky: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12"/>
        </w:numPr>
        <w:ind w:right="461" w:hanging="211"/>
      </w:pPr>
      <w:r>
        <w:t xml:space="preserve">Zmena spoločníkov účtovnej jednotky: 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12"/>
        </w:numPr>
        <w:ind w:right="461" w:hanging="211"/>
      </w:pPr>
      <w:r>
        <w:t xml:space="preserve">Prijaté rozhodnutia o predaji účtovnej jednotky alebo jej časti: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12"/>
        </w:numPr>
        <w:ind w:right="461" w:hanging="211"/>
      </w:pPr>
      <w:r>
        <w:t xml:space="preserve">Zmeny významných položiek dlhodobého finančného majetku: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12"/>
        </w:numPr>
        <w:ind w:right="461" w:hanging="211"/>
      </w:pPr>
      <w:r>
        <w:t xml:space="preserve">Začatie alebo ukončenie činnosti časti účtovnej jednotky, napríklad odštepného závodu, organizačnej zložky, prevádzkarne: 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12"/>
        </w:numPr>
        <w:ind w:right="461" w:hanging="211"/>
      </w:pPr>
      <w:r>
        <w:t xml:space="preserve">Vydané dlhopisy a iné cenné papiere: 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12"/>
        </w:numPr>
        <w:ind w:right="461" w:hanging="211"/>
      </w:pPr>
      <w:r>
        <w:t xml:space="preserve">Zlúčenie, splynutie, rozdelenie a zmena právnej formy účtovnej jednotky: 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numPr>
          <w:ilvl w:val="0"/>
          <w:numId w:val="12"/>
        </w:numPr>
        <w:ind w:right="461" w:hanging="211"/>
      </w:pPr>
      <w:r>
        <w:t>Mimoriadne u</w:t>
      </w:r>
      <w:r>
        <w:t xml:space="preserve">dalosti, ak majú vplyv na hospodárenie účtovnej jednotky, napr. živelná pohroma: 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lastRenderedPageBreak/>
        <w:t xml:space="preserve"> </w:t>
      </w:r>
    </w:p>
    <w:p w:rsidR="00B932B9" w:rsidRDefault="004E328A">
      <w:pPr>
        <w:numPr>
          <w:ilvl w:val="0"/>
          <w:numId w:val="12"/>
        </w:numPr>
        <w:ind w:right="461" w:hanging="211"/>
      </w:pPr>
      <w:r>
        <w:t xml:space="preserve">Získanie alebo odobratie licencií alebo iných povolení významných pre činnosť účtovnej jednotky: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t xml:space="preserve"> </w:t>
      </w:r>
    </w:p>
    <w:p w:rsidR="00B932B9" w:rsidRDefault="004E328A">
      <w:pPr>
        <w:ind w:left="-5" w:right="461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zá</w:t>
      </w:r>
      <w:r>
        <w:t xml:space="preserve">vierkovom dni do dňa podpísania výkazov – uvádza sa v poznámkach. </w:t>
      </w:r>
      <w:r>
        <w:rPr>
          <w:u w:val="single" w:color="000000"/>
        </w:rPr>
        <w:t>Upravujúci závierkový účtovný prípad</w:t>
      </w:r>
      <w:r>
        <w:t xml:space="preserve"> – stal sa do závierkového dňa, len bol zistený do dňa podpísania výkazov – riadne sa účtuje do hlavnej knihy a riadne sa vykazuje vo výkazoch (§ 17/8 ZoU</w:t>
      </w:r>
      <w:r>
        <w:t xml:space="preserve">; § 2a; § 18/9; § 19/6; § 48/3; § 50/6 PU).] </w:t>
      </w:r>
    </w:p>
    <w:p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B932B9" w:rsidRDefault="004E328A">
      <w:pPr>
        <w:spacing w:after="0" w:line="259" w:lineRule="auto"/>
        <w:ind w:left="44" w:right="0" w:firstLine="0"/>
        <w:jc w:val="center"/>
      </w:pPr>
      <w:r>
        <w:rPr>
          <w:b/>
        </w:rPr>
        <w:t xml:space="preserve"> </w:t>
      </w:r>
    </w:p>
    <w:p w:rsidR="00B932B9" w:rsidRDefault="004E328A">
      <w:pPr>
        <w:pStyle w:val="Nadpis2"/>
        <w:ind w:right="9"/>
      </w:pPr>
      <w:r>
        <w:t xml:space="preserve">Článok VII – OSTATNÉ INFORMÁCIE </w:t>
      </w:r>
    </w:p>
    <w:p w:rsidR="00B932B9" w:rsidRDefault="004E328A">
      <w:pPr>
        <w:spacing w:after="0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B932B9" w:rsidRDefault="004E328A">
      <w:pPr>
        <w:numPr>
          <w:ilvl w:val="0"/>
          <w:numId w:val="13"/>
        </w:numPr>
        <w:spacing w:after="108"/>
        <w:ind w:right="461" w:hanging="211"/>
      </w:pPr>
      <w:r>
        <w:t xml:space="preserve">Informácie o výlučnom práve poskytovať služby vo verejnom záujme: </w:t>
      </w:r>
    </w:p>
    <w:p w:rsidR="00B932B9" w:rsidRDefault="004E328A">
      <w:pPr>
        <w:numPr>
          <w:ilvl w:val="0"/>
          <w:numId w:val="13"/>
        </w:numPr>
        <w:spacing w:after="108"/>
        <w:ind w:right="461" w:hanging="211"/>
      </w:pPr>
      <w:r>
        <w:t xml:space="preserve">Informácie o osobitnej kategórii priemyselnej výroby (§ 23d/6 ZoU): </w:t>
      </w:r>
    </w:p>
    <w:p w:rsidR="00B932B9" w:rsidRDefault="004E328A">
      <w:pPr>
        <w:numPr>
          <w:ilvl w:val="0"/>
          <w:numId w:val="13"/>
        </w:numPr>
        <w:ind w:right="461" w:hanging="211"/>
      </w:pPr>
      <w:r>
        <w:t xml:space="preserve">Informácie o finančných vzťahoch s </w:t>
      </w:r>
      <w:r>
        <w:t xml:space="preserve">orgánmi verejnej moci (§ 23d/6 ZoU): </w:t>
      </w:r>
    </w:p>
    <w:sectPr w:rsidR="00B932B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1" w:right="517" w:bottom="1454" w:left="1416" w:header="566" w:footer="575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328A" w:rsidRDefault="004E328A">
      <w:pPr>
        <w:spacing w:after="0" w:line="240" w:lineRule="auto"/>
      </w:pPr>
      <w:r>
        <w:separator/>
      </w:r>
    </w:p>
  </w:endnote>
  <w:endnote w:type="continuationSeparator" w:id="0">
    <w:p w:rsidR="004E328A" w:rsidRDefault="004E32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27BA5" w:rsidRPr="00D27BA5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932B9" w:rsidRDefault="004E328A">
    <w:pPr>
      <w:spacing w:after="0" w:line="259" w:lineRule="auto"/>
      <w:ind w:left="0" w:right="474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  <w:p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328A" w:rsidRDefault="004E328A">
      <w:pPr>
        <w:spacing w:after="0" w:line="240" w:lineRule="auto"/>
      </w:pPr>
      <w:r>
        <w:separator/>
      </w:r>
    </w:p>
  </w:footnote>
  <w:footnote w:type="continuationSeparator" w:id="0">
    <w:p w:rsidR="004E328A" w:rsidRDefault="004E32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875"/>
      <w:gridCol w:w="72"/>
      <w:gridCol w:w="541"/>
      <w:gridCol w:w="1269"/>
    </w:tblGrid>
    <w:tr w:rsidR="00B932B9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867"/>
      <w:gridCol w:w="71"/>
      <w:gridCol w:w="540"/>
      <w:gridCol w:w="1279"/>
    </w:tblGrid>
    <w:tr w:rsidR="00B932B9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 xml:space="preserve">Poznámky Úč </w:t>
    </w:r>
    <w:r>
      <w:rPr>
        <w:bdr w:val="single" w:sz="8" w:space="0" w:color="000000"/>
      </w:rPr>
      <w:t>POD 3 – 01</w:t>
    </w:r>
    <w:r>
      <w:t xml:space="preserve">                           </w:t>
    </w:r>
  </w:p>
  <w:p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6196" w:tblpY="571"/>
      <w:tblOverlap w:val="never"/>
      <w:tblW w:w="3757" w:type="dxa"/>
      <w:tblInd w:w="0" w:type="dxa"/>
      <w:tblCellMar>
        <w:top w:w="9" w:type="dxa"/>
        <w:left w:w="5" w:type="dxa"/>
        <w:bottom w:w="0" w:type="dxa"/>
        <w:right w:w="0" w:type="dxa"/>
      </w:tblCellMar>
      <w:tblLook w:val="04A0" w:firstRow="1" w:lastRow="0" w:firstColumn="1" w:lastColumn="0" w:noHBand="0" w:noVBand="1"/>
    </w:tblPr>
    <w:tblGrid>
      <w:gridCol w:w="1875"/>
      <w:gridCol w:w="72"/>
      <w:gridCol w:w="541"/>
      <w:gridCol w:w="1269"/>
    </w:tblGrid>
    <w:tr w:rsidR="00B932B9">
      <w:trPr>
        <w:trHeight w:val="262"/>
      </w:trPr>
      <w:tc>
        <w:tcPr>
          <w:tcW w:w="1875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B932B9" w:rsidRDefault="004E328A">
          <w:pPr>
            <w:spacing w:after="0" w:line="259" w:lineRule="auto"/>
            <w:ind w:left="0" w:right="0" w:firstLine="0"/>
          </w:pPr>
          <w:r>
            <w:t xml:space="preserve"> IČO: 52146146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B932B9" w:rsidRDefault="004E328A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5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double" w:sz="4" w:space="0" w:color="000000"/>
          </w:tcBorders>
        </w:tcPr>
        <w:p w:rsidR="00B932B9" w:rsidRDefault="004E328A">
          <w:pPr>
            <w:spacing w:after="0" w:line="259" w:lineRule="auto"/>
            <w:ind w:left="0" w:right="0" w:firstLine="0"/>
          </w:pPr>
          <w:r>
            <w:t xml:space="preserve"> DIČ:</w:t>
          </w:r>
          <w:r>
            <w:rPr>
              <w:rFonts w:ascii="Times New Roman" w:eastAsia="Times New Roman" w:hAnsi="Times New Roman" w:cs="Times New Roman"/>
              <w:sz w:val="24"/>
            </w:rPr>
            <w:t xml:space="preserve"> </w:t>
          </w:r>
        </w:p>
      </w:tc>
      <w:tc>
        <w:tcPr>
          <w:tcW w:w="1269" w:type="dxa"/>
          <w:tcBorders>
            <w:top w:val="single" w:sz="4" w:space="0" w:color="000000"/>
            <w:left w:val="double" w:sz="4" w:space="0" w:color="000000"/>
            <w:bottom w:val="single" w:sz="4" w:space="0" w:color="000000"/>
            <w:right w:val="single" w:sz="4" w:space="0" w:color="000000"/>
          </w:tcBorders>
        </w:tcPr>
        <w:p w:rsidR="00B932B9" w:rsidRDefault="004E328A">
          <w:pPr>
            <w:spacing w:after="0" w:line="259" w:lineRule="auto"/>
            <w:ind w:left="35" w:right="0" w:firstLine="0"/>
          </w:pPr>
          <w:r>
            <w:t>2120913894</w:t>
          </w:r>
        </w:p>
      </w:tc>
    </w:tr>
  </w:tbl>
  <w:p w:rsidR="00B932B9" w:rsidRDefault="004E328A">
    <w:pPr>
      <w:spacing w:after="3" w:line="259" w:lineRule="auto"/>
      <w:ind w:left="571" w:right="1437" w:firstLine="0"/>
      <w:jc w:val="left"/>
    </w:pPr>
    <w:r>
      <w:rPr>
        <w:bdr w:val="single" w:sz="8" w:space="0" w:color="000000"/>
      </w:rPr>
      <w:t>Poznámky Úč POD 3 – 01</w:t>
    </w:r>
    <w:r>
      <w:t xml:space="preserve">                           </w:t>
    </w:r>
  </w:p>
  <w:p w:rsidR="00B932B9" w:rsidRDefault="004E328A">
    <w:pPr>
      <w:spacing w:after="0" w:line="259" w:lineRule="auto"/>
      <w:ind w:left="0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03586F"/>
    <w:multiLevelType w:val="hybridMultilevel"/>
    <w:tmpl w:val="C978B148"/>
    <w:lvl w:ilvl="0" w:tplc="9AF67A40">
      <w:start w:val="1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49CE26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6EE9E2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28B5D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C4EE5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6F69CD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6CC0AA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9DA0FB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4A818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AB20D43"/>
    <w:multiLevelType w:val="hybridMultilevel"/>
    <w:tmpl w:val="EFCE4DC8"/>
    <w:lvl w:ilvl="0" w:tplc="5A4EC594">
      <w:start w:val="2"/>
      <w:numFmt w:val="decimal"/>
      <w:lvlText w:val="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80930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40C0FA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E41A5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C70593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33EF94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4F4EA8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0F421D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AC6B03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ED91527"/>
    <w:multiLevelType w:val="hybridMultilevel"/>
    <w:tmpl w:val="3DECEA00"/>
    <w:lvl w:ilvl="0" w:tplc="B39602DC">
      <w:start w:val="1"/>
      <w:numFmt w:val="lowerLetter"/>
      <w:lvlText w:val="%1)"/>
      <w:lvlJc w:val="left"/>
      <w:pPr>
        <w:ind w:left="2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EC6A29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4A08B7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9CE9D6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CC177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232D8D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C6632E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9A2D14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636CC1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E843BF"/>
    <w:multiLevelType w:val="hybridMultilevel"/>
    <w:tmpl w:val="5FA4A944"/>
    <w:lvl w:ilvl="0" w:tplc="17A2258E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A0CBC4E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2298A8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2FA5C8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66543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72F7AA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FA0532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2AEAFE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48C38A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8D52F62"/>
    <w:multiLevelType w:val="hybridMultilevel"/>
    <w:tmpl w:val="E6EEE264"/>
    <w:lvl w:ilvl="0" w:tplc="C3484720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55ECD7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2286F62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B42B93A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98DF12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6686714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208E30A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CBEA0CA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DE604A0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9763442"/>
    <w:multiLevelType w:val="hybridMultilevel"/>
    <w:tmpl w:val="FFF02DDA"/>
    <w:lvl w:ilvl="0" w:tplc="8F5A09EC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B50B70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4D45DF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0C7B5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68764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E2788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2C8667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00D4F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41C0CF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F2231E5"/>
    <w:multiLevelType w:val="hybridMultilevel"/>
    <w:tmpl w:val="D49A8F4C"/>
    <w:lvl w:ilvl="0" w:tplc="D9064838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98E8AD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54C42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E63C1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386699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8A40A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88EAF3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A62B6C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5122AA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4FAF3B96"/>
    <w:multiLevelType w:val="hybridMultilevel"/>
    <w:tmpl w:val="71982CA0"/>
    <w:lvl w:ilvl="0" w:tplc="62106A2E">
      <w:start w:val="1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E46AE6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878513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23A981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D2871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F1A3EF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894878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3A55A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A166F4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47A21ED"/>
    <w:multiLevelType w:val="hybridMultilevel"/>
    <w:tmpl w:val="7F6CC902"/>
    <w:lvl w:ilvl="0" w:tplc="C6DA4E52">
      <w:start w:val="1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9CEE9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CC84BD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9A03D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64DA7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738713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D688E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6B41F1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D54373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66602F8E"/>
    <w:multiLevelType w:val="hybridMultilevel"/>
    <w:tmpl w:val="4E1E67E6"/>
    <w:lvl w:ilvl="0" w:tplc="63DC4A4A">
      <w:start w:val="1"/>
      <w:numFmt w:val="decimal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FB2984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FD8FD4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CCDB7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BE7A7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270FF8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DC325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472C9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7E86A8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B155499"/>
    <w:multiLevelType w:val="hybridMultilevel"/>
    <w:tmpl w:val="7304D020"/>
    <w:lvl w:ilvl="0" w:tplc="D1AA1E82">
      <w:start w:val="6"/>
      <w:numFmt w:val="lowerLetter"/>
      <w:lvlText w:val="%1)"/>
      <w:lvlJc w:val="left"/>
      <w:pPr>
        <w:ind w:left="1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3CBD1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366EBD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AD8784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652AC9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BC5CA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45011D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DC48D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A3C92D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6DD5D10"/>
    <w:multiLevelType w:val="hybridMultilevel"/>
    <w:tmpl w:val="018CBE00"/>
    <w:lvl w:ilvl="0" w:tplc="9962C6F8">
      <w:start w:val="1"/>
      <w:numFmt w:val="decimal"/>
      <w:lvlText w:val="%1."/>
      <w:lvlJc w:val="left"/>
      <w:pPr>
        <w:ind w:left="226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286633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CA2149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CD838C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68422B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BE8788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6221B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CC49F3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4CC02F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E7515D2"/>
    <w:multiLevelType w:val="hybridMultilevel"/>
    <w:tmpl w:val="A6546720"/>
    <w:lvl w:ilvl="0" w:tplc="D16CC946">
      <w:start w:val="1"/>
      <w:numFmt w:val="bullet"/>
      <w:lvlText w:val=""/>
      <w:lvlJc w:val="left"/>
      <w:pPr>
        <w:ind w:left="226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04429C">
      <w:start w:val="1"/>
      <w:numFmt w:val="bullet"/>
      <w:lvlText w:val="o"/>
      <w:lvlJc w:val="left"/>
      <w:pPr>
        <w:ind w:left="10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6881D8C">
      <w:start w:val="1"/>
      <w:numFmt w:val="bullet"/>
      <w:lvlText w:val="▪"/>
      <w:lvlJc w:val="left"/>
      <w:pPr>
        <w:ind w:left="18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98485B0">
      <w:start w:val="1"/>
      <w:numFmt w:val="bullet"/>
      <w:lvlText w:val="•"/>
      <w:lvlJc w:val="left"/>
      <w:pPr>
        <w:ind w:left="25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182061A">
      <w:start w:val="1"/>
      <w:numFmt w:val="bullet"/>
      <w:lvlText w:val="o"/>
      <w:lvlJc w:val="left"/>
      <w:pPr>
        <w:ind w:left="32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78C6F0">
      <w:start w:val="1"/>
      <w:numFmt w:val="bullet"/>
      <w:lvlText w:val="▪"/>
      <w:lvlJc w:val="left"/>
      <w:pPr>
        <w:ind w:left="39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069BDE">
      <w:start w:val="1"/>
      <w:numFmt w:val="bullet"/>
      <w:lvlText w:val="•"/>
      <w:lvlJc w:val="left"/>
      <w:pPr>
        <w:ind w:left="46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016480C">
      <w:start w:val="1"/>
      <w:numFmt w:val="bullet"/>
      <w:lvlText w:val="o"/>
      <w:lvlJc w:val="left"/>
      <w:pPr>
        <w:ind w:left="54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35AF154">
      <w:start w:val="1"/>
      <w:numFmt w:val="bullet"/>
      <w:lvlText w:val="▪"/>
      <w:lvlJc w:val="left"/>
      <w:pPr>
        <w:ind w:left="61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9"/>
  </w:num>
  <w:num w:numId="2">
    <w:abstractNumId w:val="2"/>
  </w:num>
  <w:num w:numId="3">
    <w:abstractNumId w:val="0"/>
  </w:num>
  <w:num w:numId="4">
    <w:abstractNumId w:val="5"/>
  </w:num>
  <w:num w:numId="5">
    <w:abstractNumId w:val="7"/>
  </w:num>
  <w:num w:numId="6">
    <w:abstractNumId w:val="4"/>
  </w:num>
  <w:num w:numId="7">
    <w:abstractNumId w:val="10"/>
  </w:num>
  <w:num w:numId="8">
    <w:abstractNumId w:val="3"/>
  </w:num>
  <w:num w:numId="9">
    <w:abstractNumId w:val="12"/>
  </w:num>
  <w:num w:numId="10">
    <w:abstractNumId w:val="11"/>
  </w:num>
  <w:num w:numId="11">
    <w:abstractNumId w:val="1"/>
  </w:num>
  <w:num w:numId="12">
    <w:abstractNumId w:val="8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32B9"/>
    <w:rsid w:val="004E328A"/>
    <w:rsid w:val="00B932B9"/>
    <w:rsid w:val="00D27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B0D7B0"/>
  <w15:docId w15:val="{641E30DB-DC12-43EF-9B20-75F4AD399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49" w:lineRule="auto"/>
      <w:ind w:left="10" w:right="475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0"/>
      <w:ind w:left="10" w:right="475" w:hanging="10"/>
      <w:jc w:val="center"/>
      <w:outlineLvl w:val="0"/>
    </w:pPr>
    <w:rPr>
      <w:rFonts w:ascii="Arial CE" w:eastAsia="Arial CE" w:hAnsi="Arial CE" w:cs="Arial CE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" w:right="6" w:hanging="10"/>
      <w:jc w:val="center"/>
      <w:outlineLvl w:val="1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2953</Words>
  <Characters>16837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Administrator</cp:lastModifiedBy>
  <cp:revision>2</cp:revision>
  <dcterms:created xsi:type="dcterms:W3CDTF">2021-03-30T21:29:00Z</dcterms:created>
  <dcterms:modified xsi:type="dcterms:W3CDTF">2021-03-30T21:29:00Z</dcterms:modified>
</cp:coreProperties>
</file>