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center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  <w:u w:val="single"/>
        </w:rPr>
        <w:t>A. Informácie o účtovnej jednotke</w:t>
      </w:r>
    </w:p>
    <w:p>
      <w:pPr>
        <w:pStyle w:val="Normal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numPr>
          <w:ilvl w:val="0"/>
          <w:numId w:val="6"/>
        </w:numPr>
        <w:rPr>
          <w:rFonts w:ascii="Book Antiqua" w:hAnsi="Book Antiqua" w:cs="Book Antiqua"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</w:t>
      </w:r>
      <w:r>
        <w:rPr>
          <w:rFonts w:cs="Book Antiqua" w:ascii="Book Antiqua" w:hAnsi="Book Antiqua"/>
          <w:b/>
          <w:sz w:val="18"/>
          <w:szCs w:val="18"/>
        </w:rPr>
        <w:t>Obchodné meno a sídlo účtovnej jednotky, dátum jej založenia a dátum jej vzniku</w:t>
      </w:r>
    </w:p>
    <w:p>
      <w:pPr>
        <w:pStyle w:val="Normal"/>
        <w:ind w:left="360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ind w:left="360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>Obchodné meno účtovnej jednotky:</w:t>
        <w:tab/>
        <w:tab/>
        <w:t>Mountain s.r.o.</w:t>
      </w:r>
    </w:p>
    <w:p>
      <w:pPr>
        <w:pStyle w:val="Normal"/>
        <w:ind w:left="360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>Sídlo:</w:t>
        <w:tab/>
        <w:tab/>
        <w:tab/>
        <w:tab/>
        <w:tab/>
      </w:r>
      <w:r>
        <w:rPr>
          <w:rFonts w:cs="Book Antiqua" w:ascii="Book Antiqua" w:hAnsi="Book Antiqua"/>
        </w:rPr>
        <w:t>Komenského 14483/10B, 974 01 Banská Bystrica</w:t>
      </w:r>
    </w:p>
    <w:p>
      <w:pPr>
        <w:pStyle w:val="Normal"/>
        <w:ind w:left="360" w:hanging="0"/>
        <w:rPr/>
      </w:pPr>
      <w:r>
        <w:rPr>
          <w:rFonts w:cs="Book Antiqua" w:ascii="Book Antiqua" w:hAnsi="Book Antiqua"/>
          <w:sz w:val="18"/>
          <w:szCs w:val="18"/>
        </w:rPr>
        <w:t xml:space="preserve">Dátum založenia spoločnosti:                              </w:t>
        <w:tab/>
        <w:t xml:space="preserve">21.07.2020 </w:t>
      </w:r>
    </w:p>
    <w:p>
      <w:pPr>
        <w:pStyle w:val="Normal"/>
        <w:ind w:left="360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 xml:space="preserve">Dátum zapísania do  Obchodného registra:     </w:t>
        <w:tab/>
        <w:t>06.08.2020</w:t>
      </w:r>
    </w:p>
    <w:p>
      <w:pPr>
        <w:pStyle w:val="Normal"/>
        <w:spacing w:lineRule="auto" w:line="480"/>
        <w:ind w:left="360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 xml:space="preserve">Identifikačné číslo spoločnosti (IČO):             </w:t>
        <w:tab/>
        <w:t>53203402</w:t>
      </w:r>
    </w:p>
    <w:p>
      <w:pPr>
        <w:pStyle w:val="Normal"/>
        <w:rPr>
          <w:rFonts w:ascii="Book Antiqua" w:hAnsi="Book Antiqua" w:cs="Book Antiqua"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     </w:t>
      </w:r>
      <w:r>
        <w:rPr>
          <w:rFonts w:cs="Book Antiqua" w:ascii="Book Antiqua" w:hAnsi="Book Antiqua"/>
          <w:b/>
          <w:sz w:val="18"/>
          <w:szCs w:val="18"/>
        </w:rPr>
        <w:t>Predmet činnosti spoločnosti (podľa výpisu z Obchodného registra)</w:t>
      </w:r>
    </w:p>
    <w:p>
      <w:pPr>
        <w:pStyle w:val="Normal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ind w:left="3900" w:hanging="3180"/>
        <w:rPr>
          <w:rFonts w:ascii="Book Antiqua" w:hAnsi="Book Antiqua" w:cs="Book Antiqua"/>
        </w:rPr>
      </w:pPr>
      <w:r>
        <w:rPr>
          <w:rFonts w:cs="Book Antiqua" w:ascii="Book Antiqua" w:hAnsi="Book Antiqua"/>
          <w:sz w:val="18"/>
          <w:szCs w:val="18"/>
        </w:rPr>
        <w:t xml:space="preserve">Hlavné činnosti spoločnosti sú:               - </w:t>
      </w:r>
      <w:r>
        <w:rPr>
          <w:rFonts w:cs="Book Antiqua" w:ascii="Book Antiqua" w:hAnsi="Book Antiqua"/>
        </w:rPr>
        <w:t>Investičné služby a investičné činnosti - obchodovanie na vlastný účet v zmysle § 6 ods. 1 písm. c) zák. č. 566/2001 Z.z. o cenných papieroch v znení neskorších predpisov, na vykonávanie ktorých sa nevyžaduje povolenie NBS podľa § 54 ods. 3 písm. d) zák. č. 566/2001 o cenných papieroch v znení neskorších predpisov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Odborné poradenské služby pre uchádzačov a záujemcov o zamestnanie okrem činnosti športového agenta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Činnosť podnikateľských, organizačných a ekonomických poradcov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>- Vykonávanie mimoškolskej vzdelávacej činnosti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Vykonávanie vzdelávacích programov v oblasti sociálnych služieb zameraných na vykonávanie vybraných pracovných činností a na ďalšie vzdelávanie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Prevádzkovanie kultúrnych, spoločenských a zábavných zariadení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Organizovanie športových, kultúrnych a iných spoločenských podujatí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Kúpa tovaru na účely jeho predaja konečnému spotrebiteľovi (maloobchod) alebo iným prevádzkovateľom živnosti (veľkoobchod)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Sprostredkovateľská činnosť v oblasti obchodu, služieb, výroby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Služby súvisiace s produkciou filmov, videozáznamov a zvukových nahrávok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Počítačové služby a služby súvisiace s počítačovým spracovaním údajov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>- Oprava osobných potrieb a potrieb pre domácnosť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Dokončovacie stavebné práce pri realizácii exteriérov a interiérov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Dizajnérske činnosti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Uskutočňovanie stavieb a ich zmien Strana 1 / 3Zakladateľská listina spoločnosti Mountain s. r. o.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Čistiace a upratovacie služby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Vedenie účtovníctva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Reklamné a marketingové služby, prieskum trhu a verejnej mienky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 xml:space="preserve">- Kuriérske služby 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  <w:t>- Nákladná cestná doprava vykonávaná vozidlami s celkovou hmotnosťou do 3,5 t vrátane prípojného vozidla</w:t>
      </w:r>
    </w:p>
    <w:p>
      <w:pPr>
        <w:pStyle w:val="Normal"/>
        <w:ind w:left="3900" w:hanging="0"/>
        <w:rPr>
          <w:rFonts w:ascii="Book Antiqua" w:hAnsi="Book Antiqua" w:cs="Book Antiqua"/>
        </w:rPr>
      </w:pPr>
      <w:r>
        <w:rPr>
          <w:rFonts w:cs="Book Antiqua" w:ascii="Book Antiqua" w:hAnsi="Book Antiqua"/>
        </w:rPr>
      </w:r>
    </w:p>
    <w:p>
      <w:pPr>
        <w:pStyle w:val="Normal"/>
        <w:ind w:left="3900" w:hanging="0"/>
        <w:rPr>
          <w:rFonts w:ascii="Book Antiqua" w:hAnsi="Book Antiqua" w:cs="Book Antiqua"/>
          <w:color w:val="000000"/>
          <w:sz w:val="18"/>
          <w:szCs w:val="18"/>
        </w:rPr>
      </w:pPr>
      <w:r>
        <w:rPr>
          <w:rFonts w:cs="Book Antiqua" w:ascii="Book Antiqua" w:hAnsi="Book Antiqua"/>
          <w:b/>
          <w:color w:val="000000"/>
          <w:sz w:val="18"/>
          <w:szCs w:val="18"/>
        </w:rPr>
        <w:t>Údaje o konsolidovanom celku</w:t>
      </w:r>
    </w:p>
    <w:p>
      <w:pPr>
        <w:pStyle w:val="Normal"/>
        <w:ind w:left="720" w:hanging="720"/>
        <w:rPr>
          <w:rFonts w:ascii="Book Antiqua" w:hAnsi="Book Antiqua" w:cs="Book Antiqua"/>
          <w:color w:val="000000"/>
          <w:sz w:val="18"/>
          <w:szCs w:val="18"/>
        </w:rPr>
      </w:pPr>
      <w:r>
        <w:rPr>
          <w:rFonts w:cs="Book Antiqua" w:ascii="Book Antiqua" w:hAnsi="Book Antiqua"/>
          <w:color w:val="000000"/>
          <w:sz w:val="18"/>
          <w:szCs w:val="18"/>
        </w:rPr>
      </w:r>
    </w:p>
    <w:p>
      <w:pPr>
        <w:pStyle w:val="Normal"/>
        <w:ind w:left="426" w:hanging="0"/>
        <w:jc w:val="both"/>
        <w:rPr>
          <w:rFonts w:ascii="Book Antiqua" w:hAnsi="Book Antiqua" w:cs="Book Antiqua"/>
          <w:sz w:val="18"/>
          <w:szCs w:val="18"/>
        </w:rPr>
      </w:pPr>
      <w:r>
        <w:rPr>
          <w:rFonts w:eastAsia="Book Antiqua" w:cs="Book Antiqua" w:ascii="Book Antiqua" w:hAnsi="Book Antiqua"/>
          <w:b/>
          <w:sz w:val="18"/>
          <w:szCs w:val="18"/>
        </w:rPr>
        <w:t xml:space="preserve"> </w:t>
      </w:r>
      <w:r>
        <w:rPr>
          <w:rFonts w:cs="Book Antiqua" w:ascii="Book Antiqua" w:hAnsi="Book Antiqua"/>
          <w:b/>
          <w:sz w:val="18"/>
          <w:szCs w:val="18"/>
        </w:rPr>
        <w:t xml:space="preserve">a) </w:t>
      </w:r>
      <w:r>
        <w:rPr>
          <w:rFonts w:cs="Book Antiqua" w:ascii="Book Antiqua" w:hAnsi="Book Antiqua"/>
          <w:sz w:val="18"/>
          <w:szCs w:val="18"/>
        </w:rPr>
        <w:tab/>
      </w:r>
      <w:r>
        <w:rPr>
          <w:rFonts w:cs="Book Antiqua" w:ascii="Book Antiqua" w:hAnsi="Book Antiqua"/>
          <w:b/>
          <w:sz w:val="18"/>
          <w:szCs w:val="18"/>
        </w:rPr>
        <w:t>Obchodné meno a sídlo konsolidujúcej účtovnej jednotky, ktorá zostavuje konsolidovanú účtovnú  závierku  za  všetky  skupiny  účtovných  jednotiek  konsolidovaného celku, pre ktorú je spoločnosť konsolidovanou spoločnosťou</w:t>
      </w:r>
    </w:p>
    <w:p>
      <w:pPr>
        <w:pStyle w:val="Normal"/>
        <w:rPr>
          <w:rFonts w:ascii="Book Antiqua" w:hAnsi="Book Antiqua" w:cs="Book Antiqua"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       </w:t>
      </w:r>
      <w:r>
        <w:rPr>
          <w:rFonts w:cs="Book Antiqua" w:ascii="Book Antiqua" w:hAnsi="Book Antiqua"/>
          <w:sz w:val="18"/>
          <w:szCs w:val="18"/>
        </w:rPr>
        <w:t>Spoločnosť nie je súčasťou konsolidovaného celku.</w:t>
      </w:r>
    </w:p>
    <w:p>
      <w:pPr>
        <w:pStyle w:val="Normal"/>
        <w:ind w:left="284" w:hanging="284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 </w:t>
      </w:r>
      <w:r>
        <w:rPr>
          <w:rFonts w:cs="Book Antiqua" w:ascii="Book Antiqua" w:hAnsi="Book Antiqua"/>
          <w:sz w:val="18"/>
          <w:szCs w:val="18"/>
        </w:rPr>
        <w:tab/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720" w:leader="none"/>
        </w:tabs>
        <w:ind w:left="426" w:hanging="0"/>
        <w:jc w:val="both"/>
        <w:rPr>
          <w:rFonts w:ascii="Book Antiqua" w:hAnsi="Book Antiqua" w:cs="Book Antiqua"/>
          <w:color w:val="000000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 xml:space="preserve">Spoločnosť nie je materskou účtovnou jednotkou, nemá povinnosť zostavenia konsolidovanej účtovnej závierky. </w:t>
      </w:r>
    </w:p>
    <w:p>
      <w:pPr>
        <w:pStyle w:val="Normal"/>
        <w:ind w:left="720" w:hanging="0"/>
        <w:rPr>
          <w:rFonts w:ascii="Book Antiqua" w:hAnsi="Book Antiqua" w:cs="Book Antiqua"/>
          <w:color w:val="000000"/>
          <w:sz w:val="18"/>
          <w:szCs w:val="18"/>
        </w:rPr>
      </w:pPr>
      <w:r>
        <w:rPr>
          <w:rFonts w:cs="Book Antiqua" w:ascii="Book Antiqua" w:hAnsi="Book Antiqua"/>
          <w:color w:val="000000"/>
          <w:sz w:val="18"/>
          <w:szCs w:val="18"/>
        </w:rPr>
      </w:r>
    </w:p>
    <w:p>
      <w:pPr>
        <w:pStyle w:val="Normal"/>
        <w:numPr>
          <w:ilvl w:val="0"/>
          <w:numId w:val="6"/>
        </w:numPr>
        <w:tabs>
          <w:tab w:val="clear" w:pos="709"/>
          <w:tab w:val="left" w:pos="284" w:leader="none"/>
        </w:tabs>
        <w:ind w:left="360" w:hanging="76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Počet pracovníkov</w:t>
      </w:r>
    </w:p>
    <w:p>
      <w:pPr>
        <w:pStyle w:val="Normal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tbl>
      <w:tblPr>
        <w:tblW w:w="8755" w:type="dxa"/>
        <w:jc w:val="left"/>
        <w:tblInd w:w="537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2"/>
        <w:gridCol w:w="2552"/>
        <w:gridCol w:w="2801"/>
      </w:tblGrid>
      <w:tr>
        <w:trPr>
          <w:trHeight w:val="238" w:hRule="atLeast"/>
        </w:trPr>
        <w:tc>
          <w:tcPr>
            <w:tcW w:w="340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>
            <w:pPr>
              <w:pStyle w:val="TopHeader"/>
              <w:snapToGrid w:val="false"/>
              <w:rPr>
                <w:rFonts w:ascii="Book Antiqua" w:hAnsi="Book Antiqua" w:cs="Times New Roman"/>
                <w:b w:val="false"/>
                <w:b w:val="false"/>
                <w:bCs w:val="false"/>
                <w:sz w:val="18"/>
                <w:szCs w:val="18"/>
              </w:rPr>
            </w:pPr>
            <w:r>
              <w:rPr>
                <w:rFonts w:cs="Times New Roman" w:ascii="Book Antiqua" w:hAnsi="Book Antiqua"/>
                <w:b w:val="false"/>
                <w:bCs w:val="false"/>
                <w:sz w:val="18"/>
                <w:szCs w:val="18"/>
              </w:rPr>
              <w:t>Názov položky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>
            <w:pPr>
              <w:pStyle w:val="TopHeader"/>
              <w:snapToGrid w:val="false"/>
              <w:rPr/>
            </w:pPr>
            <w:r>
              <w:rPr>
                <w:rFonts w:cs="Times New Roman" w:ascii="Book Antiqua" w:hAnsi="Book Antiqua"/>
                <w:b w:val="false"/>
                <w:bCs w:val="false"/>
                <w:sz w:val="18"/>
                <w:szCs w:val="18"/>
              </w:rPr>
              <w:t>Bežné účtovné obdobie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TopHeader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Times New Roman" w:ascii="Book Antiqua" w:hAnsi="Book Antiqua"/>
                <w:b w:val="false"/>
                <w:bCs w:val="false"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238" w:hRule="atLeast"/>
        </w:trPr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1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Počet vedúcich zamestnancov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</w:tbl>
    <w:p>
      <w:pPr>
        <w:pStyle w:val="Normal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jc w:val="center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Čl. II</w:t>
      </w:r>
    </w:p>
    <w:p>
      <w:pPr>
        <w:pStyle w:val="Normal"/>
        <w:jc w:val="center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jc w:val="center"/>
        <w:rPr/>
      </w:pPr>
      <w:r>
        <w:rPr>
          <w:rFonts w:cs="Book Antiqua" w:ascii="Book Antiqua" w:hAnsi="Book Antiqua"/>
          <w:b/>
          <w:sz w:val="18"/>
          <w:szCs w:val="18"/>
          <w:u w:val="single"/>
        </w:rPr>
        <w:t>Informácie o prijatých postupoch</w:t>
      </w:r>
    </w:p>
    <w:p>
      <w:pPr>
        <w:pStyle w:val="Endnote"/>
        <w:ind w:left="426" w:hanging="0"/>
        <w:rPr>
          <w:rFonts w:ascii="Book Antiqua" w:hAnsi="Book Antiqua" w:cs="Book Antiqua"/>
          <w:b/>
          <w:b/>
          <w:sz w:val="18"/>
          <w:szCs w:val="18"/>
          <w:u w:val="single"/>
          <w:lang w:val="sk-SK"/>
        </w:rPr>
      </w:pPr>
      <w:r>
        <w:rPr>
          <w:rFonts w:cs="Book Antiqua" w:ascii="Book Antiqua" w:hAnsi="Book Antiqua"/>
          <w:b/>
          <w:sz w:val="18"/>
          <w:szCs w:val="18"/>
          <w:u w:val="single"/>
          <w:lang w:val="sk-SK"/>
        </w:rPr>
      </w:r>
    </w:p>
    <w:p>
      <w:pPr>
        <w:pStyle w:val="Normal"/>
        <w:numPr>
          <w:ilvl w:val="1"/>
          <w:numId w:val="3"/>
        </w:numPr>
        <w:tabs>
          <w:tab w:val="clear" w:pos="709"/>
          <w:tab w:val="left" w:pos="567" w:leader="none"/>
        </w:tabs>
        <w:ind w:left="567" w:hanging="283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>Účtovná závierka spoločnosti za rok 2020 je zostavená za predpokladu nepretržitého pokračovania svojej činnosti</w:t>
      </w:r>
    </w:p>
    <w:p>
      <w:pPr>
        <w:pStyle w:val="Normal"/>
        <w:ind w:left="426" w:hanging="0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numPr>
          <w:ilvl w:val="1"/>
          <w:numId w:val="3"/>
        </w:numPr>
        <w:tabs>
          <w:tab w:val="clear" w:pos="709"/>
          <w:tab w:val="left" w:pos="567" w:leader="none"/>
        </w:tabs>
        <w:ind w:left="1364" w:hanging="1080"/>
        <w:rPr/>
      </w:pPr>
      <w:r>
        <w:rPr>
          <w:rFonts w:eastAsia="Book Antiqua" w:cs="Book Antiqua" w:ascii="Book Antiqua" w:hAnsi="Book Antiqua"/>
          <w:sz w:val="18"/>
          <w:szCs w:val="18"/>
        </w:rPr>
        <w:t xml:space="preserve"> </w:t>
      </w:r>
      <w:r>
        <w:rPr>
          <w:rFonts w:cs="Book Antiqua" w:ascii="Book Antiqua" w:hAnsi="Book Antiqua"/>
          <w:sz w:val="18"/>
          <w:szCs w:val="18"/>
        </w:rPr>
        <w:t>Spôsob oceňovania jednotlivých položiek majetku a záväzkov</w:t>
      </w:r>
    </w:p>
    <w:p>
      <w:pPr>
        <w:pStyle w:val="Normal"/>
        <w:ind w:firstLine="142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</w:t>
      </w:r>
    </w:p>
    <w:p>
      <w:pPr>
        <w:pStyle w:val="Normal"/>
        <w:numPr>
          <w:ilvl w:val="0"/>
          <w:numId w:val="5"/>
        </w:numPr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Dlhodobý hmotný a nehmotný majetok</w:t>
      </w:r>
    </w:p>
    <w:p>
      <w:pPr>
        <w:pStyle w:val="Normal"/>
        <w:ind w:left="720" w:hanging="0"/>
        <w:jc w:val="both"/>
        <w:rPr/>
      </w:pPr>
      <w:r>
        <w:rPr>
          <w:rFonts w:cs="Book Antiqua" w:ascii="Book Antiqua" w:hAnsi="Book Antiqua"/>
          <w:sz w:val="18"/>
          <w:szCs w:val="18"/>
        </w:rPr>
        <w:t>Dlhodobý hmotný majetok sa oceňuje obstarávacou cenou, ktorá zahŕňa cenu obstarania a náklady súvisiace s obstaraním (clo, preprava, montáž, poistné a pod.)</w:t>
      </w:r>
    </w:p>
    <w:p>
      <w:pPr>
        <w:pStyle w:val="Normal"/>
        <w:ind w:left="720" w:hanging="0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 xml:space="preserve">Dlhodobý hmotný majetok vytvorený vlastnou činnosťou sa oceňuje vlastnými nákladmi. Vlastnými nákladmi sú všetky  priame náklady vynaložené na výrobu alebo inú činnosť a nepriame náklady, ktoré sa vzťahujú na výrobu.  </w:t>
      </w:r>
    </w:p>
    <w:p>
      <w:pPr>
        <w:pStyle w:val="Normal"/>
        <w:ind w:left="720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numPr>
          <w:ilvl w:val="0"/>
          <w:numId w:val="5"/>
        </w:numPr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Zásoby obstarané kúpou, zásoby vytvorené vlastnou činnosťou</w:t>
      </w:r>
    </w:p>
    <w:p>
      <w:pPr>
        <w:pStyle w:val="Normal"/>
        <w:ind w:left="720" w:hanging="0"/>
        <w:jc w:val="both"/>
        <w:rPr/>
      </w:pPr>
      <w:r>
        <w:rPr>
          <w:rFonts w:cs="Book Antiqua" w:ascii="Book Antiqua" w:hAnsi="Book Antiqua"/>
          <w:sz w:val="18"/>
          <w:szCs w:val="18"/>
        </w:rPr>
        <w:t>Nakupované zásoby sa oceňujú obstarávacou cenou, ktorá zahŕňa cenu zásob a náklady súvisiace s obstaraním (clo, prepravu, poistné).</w:t>
      </w:r>
    </w:p>
    <w:p>
      <w:pPr>
        <w:pStyle w:val="Normal"/>
        <w:ind w:left="720" w:hanging="0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>Zásoby vytvorené vlastnou činnosťou sa oceňujú vlastnými nákladmi výroby. Vlastné náklady zahŕňajú priame náklady a časť nepriamych nákladov bezprostredne súvisiacich s vytvorením zásob</w:t>
      </w:r>
      <w:r>
        <w:rPr>
          <w:rFonts w:cs="Book Antiqua" w:ascii="Book Antiqua" w:hAnsi="Book Antiqua"/>
          <w:b/>
          <w:sz w:val="18"/>
          <w:szCs w:val="18"/>
        </w:rPr>
        <w:t>.</w:t>
      </w:r>
    </w:p>
    <w:p>
      <w:pPr>
        <w:pStyle w:val="Normal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     </w:t>
      </w:r>
    </w:p>
    <w:p>
      <w:pPr>
        <w:pStyle w:val="Normal"/>
        <w:numPr>
          <w:ilvl w:val="0"/>
          <w:numId w:val="5"/>
        </w:numPr>
        <w:tabs>
          <w:tab w:val="clear" w:pos="709"/>
          <w:tab w:val="left" w:pos="0" w:leader="none"/>
        </w:tabs>
        <w:rPr/>
      </w:pPr>
      <w:r>
        <w:rPr>
          <w:rFonts w:cs="Book Antiqua" w:ascii="Book Antiqua" w:hAnsi="Book Antiqua"/>
          <w:b/>
          <w:sz w:val="18"/>
          <w:szCs w:val="18"/>
        </w:rPr>
        <w:t>Pohľadávky</w:t>
      </w:r>
      <w:r>
        <w:rPr>
          <w:rFonts w:cs="Book Antiqua" w:ascii="Book Antiqua" w:hAnsi="Book Antiqua"/>
          <w:sz w:val="18"/>
          <w:szCs w:val="18"/>
        </w:rPr>
        <w:t xml:space="preserve"> </w:t>
      </w:r>
    </w:p>
    <w:p>
      <w:pPr>
        <w:pStyle w:val="Normal"/>
        <w:ind w:left="720" w:hanging="0"/>
        <w:jc w:val="both"/>
        <w:rPr/>
      </w:pPr>
      <w:r>
        <w:rPr>
          <w:rFonts w:cs="Book Antiqua" w:ascii="Book Antiqua" w:hAnsi="Book Antiqua"/>
          <w:sz w:val="18"/>
          <w:szCs w:val="18"/>
        </w:rPr>
        <w:t>Pohľadávky pri ich vzniku sa oceňujú ich menovitou hodnotou, postúpené pohľadávky  sa oceňujú obstarávacou cenou vrátane súvisiacich s obstaraním. Toto ocenenie sa znižuje a pochybné a nevymožiteľné pohľadávky.</w:t>
      </w:r>
    </w:p>
    <w:p>
      <w:pPr>
        <w:pStyle w:val="Normal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</w:t>
      </w:r>
    </w:p>
    <w:p>
      <w:pPr>
        <w:pStyle w:val="Normal"/>
        <w:numPr>
          <w:ilvl w:val="0"/>
          <w:numId w:val="5"/>
        </w:numPr>
        <w:tabs>
          <w:tab w:val="clear" w:pos="709"/>
          <w:tab w:val="left" w:pos="0" w:leader="none"/>
        </w:tabs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Krátkodobý finančný majetok</w:t>
      </w:r>
    </w:p>
    <w:p>
      <w:pPr>
        <w:pStyle w:val="Normal"/>
        <w:ind w:left="720" w:hanging="0"/>
        <w:jc w:val="both"/>
        <w:rPr/>
      </w:pPr>
      <w:r>
        <w:rPr>
          <w:rFonts w:cs="Book Antiqua" w:ascii="Book Antiqua" w:hAnsi="Book Antiqua"/>
          <w:sz w:val="18"/>
          <w:szCs w:val="18"/>
        </w:rPr>
        <w:t xml:space="preserve">Peňažné prostriedky a ceniny sa oceňujú  ich menovitou hodnotou. </w:t>
      </w:r>
    </w:p>
    <w:p>
      <w:pPr>
        <w:pStyle w:val="Normal"/>
        <w:ind w:left="720" w:hanging="0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numPr>
          <w:ilvl w:val="0"/>
          <w:numId w:val="5"/>
        </w:numPr>
        <w:tabs>
          <w:tab w:val="clear" w:pos="709"/>
          <w:tab w:val="left" w:pos="0" w:leader="none"/>
        </w:tabs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Záväzky, rezervy,  dlhopisy, pôžičky a úvery</w:t>
      </w:r>
    </w:p>
    <w:p>
      <w:pPr>
        <w:pStyle w:val="Normal"/>
        <w:ind w:left="720" w:hanging="0"/>
        <w:rPr/>
      </w:pPr>
      <w:r>
        <w:rPr>
          <w:rFonts w:cs="Book Antiqua" w:ascii="Book Antiqua" w:hAnsi="Book Antiqua"/>
          <w:sz w:val="18"/>
          <w:szCs w:val="18"/>
        </w:rPr>
        <w:t>Záväzky pri ich vzniku sa oceňujú menovitou hodnotou. Rezervy sú záväzky s neurčitým časovým vymedzením alebo výškou, tvoria sa na krytie známych rizík alebo strát z podnikania. Oceňujú sa v očakávanej výške záväzku.</w:t>
      </w:r>
    </w:p>
    <w:p>
      <w:pPr>
        <w:pStyle w:val="Normal"/>
        <w:ind w:left="720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numPr>
          <w:ilvl w:val="1"/>
          <w:numId w:val="3"/>
        </w:numPr>
        <w:tabs>
          <w:tab w:val="left" w:pos="709" w:leader="none"/>
        </w:tabs>
        <w:ind w:left="1364" w:hanging="938"/>
        <w:rPr/>
      </w:pPr>
      <w:r>
        <w:rPr>
          <w:rFonts w:cs="Book Antiqua" w:ascii="Book Antiqua" w:hAnsi="Book Antiqua"/>
          <w:b/>
          <w:sz w:val="18"/>
          <w:szCs w:val="18"/>
        </w:rPr>
        <w:t>Spôsob zostavenia odpisového plánu, doba odpisovania, použité sadzby, odpisové metódy</w:t>
      </w:r>
    </w:p>
    <w:p>
      <w:pPr>
        <w:pStyle w:val="Normal"/>
        <w:ind w:left="426" w:hanging="0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ind w:left="426" w:hanging="0"/>
        <w:jc w:val="both"/>
        <w:rPr/>
      </w:pPr>
      <w:r>
        <w:rPr>
          <w:rFonts w:cs="Book Antiqua" w:ascii="Book Antiqua" w:hAnsi="Book Antiqua"/>
          <w:sz w:val="18"/>
          <w:szCs w:val="18"/>
        </w:rPr>
        <w:t>Odpisy dlhodobého hmotného majetku sú stanovené na obdobie podľa  predpokladanej doby používania. Odpisovať sa začína v mesiaci zaradenia majetku do užívania. Drobný hmotný majetok, ktorého obstarávacia cena je 1 700 € a nižšia sa zaúčtuje do nákladov jednorazovo pri obstaraní.</w:t>
      </w:r>
    </w:p>
    <w:p>
      <w:pPr>
        <w:pStyle w:val="Normal"/>
        <w:ind w:left="426" w:hanging="0"/>
        <w:rPr>
          <w:rFonts w:ascii="Book Antiqua" w:hAnsi="Book Antiqua" w:eastAsia="Book Antiqua" w:cs="Book Antiqua"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</w:t>
      </w:r>
    </w:p>
    <w:p>
      <w:pPr>
        <w:pStyle w:val="Normal"/>
        <w:ind w:left="426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>Predpokladaná doba používania, metóda odpisovania a odpisová sadzba:</w:t>
      </w:r>
    </w:p>
    <w:p>
      <w:pPr>
        <w:pStyle w:val="Normal"/>
        <w:ind w:left="426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ind w:left="426" w:hanging="0"/>
        <w:rPr/>
      </w:pPr>
      <w:r>
        <w:rPr>
          <w:rFonts w:eastAsia="Book Antiqua" w:cs="Book Antiqua" w:ascii="Book Antiqua" w:hAnsi="Book Antiqua"/>
          <w:sz w:val="18"/>
          <w:szCs w:val="18"/>
        </w:rPr>
        <w:t xml:space="preserve">                                                                                                       </w:t>
      </w:r>
      <w:r>
        <w:rPr>
          <w:rFonts w:cs="Book Antiqua" w:ascii="Book Antiqua" w:hAnsi="Book Antiqua"/>
          <w:sz w:val="18"/>
          <w:szCs w:val="18"/>
        </w:rPr>
        <w:t xml:space="preserve">Predpokladaná doba         Metóda               </w:t>
      </w:r>
    </w:p>
    <w:p>
      <w:pPr>
        <w:pStyle w:val="Normal"/>
        <w:pBdr>
          <w:bottom w:val="single" w:sz="4" w:space="1" w:color="000000"/>
        </w:pBdr>
        <w:ind w:left="426" w:hanging="0"/>
        <w:rPr/>
      </w:pPr>
      <w:r>
        <w:rPr>
          <w:rFonts w:eastAsia="Book Antiqua" w:cs="Book Antiqua" w:ascii="Book Antiqua" w:hAnsi="Book Antiqua"/>
          <w:sz w:val="18"/>
          <w:szCs w:val="18"/>
        </w:rPr>
        <w:t xml:space="preserve">                                                                                                    </w:t>
      </w:r>
      <w:r>
        <w:rPr>
          <w:rFonts w:cs="Book Antiqua" w:ascii="Book Antiqua" w:hAnsi="Book Antiqua"/>
          <w:sz w:val="18"/>
          <w:szCs w:val="18"/>
        </w:rPr>
        <w:t xml:space="preserve">používania v rokoch       odpisovania             </w:t>
      </w:r>
    </w:p>
    <w:p>
      <w:pPr>
        <w:pStyle w:val="Normal"/>
        <w:ind w:left="426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  <w:t xml:space="preserve">Stroje a zariadenia                                                                             4 -8 rokov                        lineárna     </w:t>
      </w:r>
    </w:p>
    <w:p>
      <w:pPr>
        <w:pStyle w:val="Normal"/>
        <w:ind w:left="426" w:hanging="0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ind w:left="426" w:hanging="0"/>
        <w:rPr>
          <w:rFonts w:ascii="Book Antiqua" w:hAnsi="Book Antiqua" w:eastAsia="Book Antiqua" w:cs="Book Antiqua"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    </w:t>
      </w:r>
    </w:p>
    <w:p>
      <w:pPr>
        <w:pStyle w:val="Normal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numPr>
          <w:ilvl w:val="1"/>
          <w:numId w:val="3"/>
        </w:numPr>
        <w:tabs>
          <w:tab w:val="left" w:pos="709" w:leader="none"/>
        </w:tabs>
        <w:ind w:left="1364" w:hanging="938"/>
        <w:rPr>
          <w:rFonts w:ascii="Book Antiqua" w:hAnsi="Book Antiqua" w:cs="TimesNewRomanPSMT;Times New Roman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Zmeny účtovných zásad a účtovných metód v roku 2020 neboli vykonané</w:t>
      </w:r>
      <w:r>
        <w:rPr>
          <w:rFonts w:cs="Book Antiqua" w:ascii="Book Antiqua" w:hAnsi="Book Antiqua"/>
          <w:sz w:val="18"/>
          <w:szCs w:val="18"/>
        </w:rPr>
        <w:t xml:space="preserve">. </w:t>
      </w:r>
    </w:p>
    <w:p>
      <w:pPr>
        <w:pStyle w:val="Normal"/>
        <w:tabs>
          <w:tab w:val="left" w:pos="709" w:leader="none"/>
        </w:tabs>
        <w:ind w:left="426" w:hanging="0"/>
        <w:rPr>
          <w:rFonts w:ascii="Book Antiqua" w:hAnsi="Book Antiqua" w:cs="TimesNewRomanPSMT;Times New Roman"/>
          <w:sz w:val="18"/>
          <w:szCs w:val="18"/>
        </w:rPr>
      </w:pPr>
      <w:r>
        <w:rPr>
          <w:rFonts w:eastAsia="Book Antiqua" w:cs="Book Antiqua" w:ascii="Book Antiqua" w:hAnsi="Book Antiqua"/>
          <w:b/>
          <w:sz w:val="18"/>
          <w:szCs w:val="18"/>
        </w:rPr>
        <w:t xml:space="preserve">      </w:t>
      </w:r>
      <w:r>
        <w:rPr>
          <w:rFonts w:cs="Book Antiqua" w:ascii="Book Antiqua" w:hAnsi="Book Antiqua"/>
          <w:sz w:val="18"/>
          <w:szCs w:val="18"/>
        </w:rPr>
        <w:t>Spoločnosť vznikla v roku 2020</w:t>
      </w:r>
    </w:p>
    <w:p>
      <w:pPr>
        <w:pStyle w:val="Normal"/>
        <w:tabs>
          <w:tab w:val="left" w:pos="709" w:leader="none"/>
        </w:tabs>
        <w:suppressAutoHyphens w:val="false"/>
        <w:autoSpaceDE w:val="false"/>
        <w:ind w:hanging="938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       </w:t>
      </w:r>
    </w:p>
    <w:p>
      <w:pPr>
        <w:pStyle w:val="Normal"/>
        <w:numPr>
          <w:ilvl w:val="1"/>
          <w:numId w:val="3"/>
        </w:numPr>
        <w:tabs>
          <w:tab w:val="left" w:pos="709" w:leader="none"/>
        </w:tabs>
        <w:ind w:left="1364" w:hanging="938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Spoločnosť  neprijala  dotácie.</w:t>
      </w:r>
    </w:p>
    <w:p>
      <w:pPr>
        <w:pStyle w:val="Normal"/>
        <w:tabs>
          <w:tab w:val="left" w:pos="709" w:leader="none"/>
        </w:tabs>
        <w:ind w:left="426" w:hanging="938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numPr>
          <w:ilvl w:val="1"/>
          <w:numId w:val="3"/>
        </w:numPr>
        <w:tabs>
          <w:tab w:val="left" w:pos="284" w:leader="none"/>
          <w:tab w:val="left" w:pos="709" w:leader="none"/>
        </w:tabs>
        <w:ind w:left="709" w:hanging="283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Spoločnosť v účtovnom období roku 2020</w:t>
      </w:r>
      <w:r>
        <w:rPr>
          <w:rFonts w:cs="Book Antiqua" w:ascii="Book Antiqua" w:hAnsi="Book Antiqua"/>
          <w:sz w:val="18"/>
          <w:szCs w:val="18"/>
        </w:rPr>
        <w:t xml:space="preserve"> nevykonala žiadne opravy významných chýb minulých účtovných období. Spoločnosť vznikla v roku 2020.</w:t>
      </w:r>
    </w:p>
    <w:p>
      <w:pPr>
        <w:pStyle w:val="Odsekzoznamu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jc w:val="center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Čl. III</w:t>
      </w:r>
    </w:p>
    <w:p>
      <w:pPr>
        <w:pStyle w:val="Normal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jc w:val="center"/>
        <w:rPr/>
      </w:pPr>
      <w:r>
        <w:rPr>
          <w:rFonts w:cs="Book Antiqua" w:ascii="Book Antiqua" w:hAnsi="Book Antiqua"/>
          <w:b/>
          <w:sz w:val="18"/>
          <w:szCs w:val="18"/>
          <w:u w:val="single"/>
        </w:rPr>
        <w:t>Informácie, ktoré vysvetľujú a dopĺňajú súvahu a výkaz ziskov a strát</w:t>
      </w:r>
    </w:p>
    <w:p>
      <w:pPr>
        <w:pStyle w:val="Normal"/>
        <w:rPr>
          <w:rFonts w:ascii="Book Antiqua" w:hAnsi="Book Antiqua" w:cs="Book Antiqua"/>
          <w:b/>
          <w:b/>
          <w:sz w:val="18"/>
          <w:szCs w:val="18"/>
          <w:u w:val="single"/>
        </w:rPr>
      </w:pPr>
      <w:r>
        <w:rPr>
          <w:rFonts w:cs="Book Antiqua" w:ascii="Book Antiqua" w:hAnsi="Book Antiqua"/>
          <w:b/>
          <w:sz w:val="18"/>
          <w:szCs w:val="18"/>
          <w:u w:val="single"/>
        </w:rPr>
      </w:r>
    </w:p>
    <w:p>
      <w:pPr>
        <w:pStyle w:val="Normal"/>
        <w:numPr>
          <w:ilvl w:val="3"/>
          <w:numId w:val="3"/>
        </w:numPr>
        <w:ind w:left="2804" w:hanging="2378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Informácia o sume nákladoch a výnosoch</w:t>
      </w:r>
    </w:p>
    <w:p>
      <w:pPr>
        <w:pStyle w:val="Normal"/>
        <w:ind w:left="284" w:hanging="0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tbl>
      <w:tblPr>
        <w:tblW w:w="8236" w:type="dxa"/>
        <w:jc w:val="left"/>
        <w:tblInd w:w="37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40"/>
        <w:gridCol w:w="2296"/>
      </w:tblGrid>
      <w:tr>
        <w:trPr>
          <w:trHeight w:val="283" w:hRule="atLeast"/>
        </w:trPr>
        <w:tc>
          <w:tcPr>
            <w:tcW w:w="59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>
            <w:pPr>
              <w:pStyle w:val="TopHeader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Názov položky</w:t>
            </w:r>
          </w:p>
        </w:tc>
        <w:tc>
          <w:tcPr>
            <w:tcW w:w="22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TopHeader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 xml:space="preserve">Suma </w:t>
            </w:r>
          </w:p>
        </w:tc>
      </w:tr>
      <w:tr>
        <w:trPr>
          <w:trHeight w:val="283" w:hRule="atLeast"/>
        </w:trPr>
        <w:tc>
          <w:tcPr>
            <w:tcW w:w="5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Tržby za predaj  tovaru a služieb</w:t>
            </w:r>
          </w:p>
        </w:tc>
        <w:tc>
          <w:tcPr>
            <w:tcW w:w="22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Ostatné prevádzkové výnosy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 xml:space="preserve">0 </w:t>
            </w:r>
          </w:p>
        </w:tc>
      </w:tr>
      <w:tr>
        <w:trPr>
          <w:trHeight w:val="283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Výnosy z hospodárskej činnosti celkom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Finančné výnosy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Výnosy celkom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Náklady na predaný tovar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Náklady na obstaranie tovaru, spotreba materiálu a energie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149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Služby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1 241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Osobné náklady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303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Dane a poplatky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bCs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Odpisy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243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Opravné položky k pohľadávkam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73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Ostatné náklady na hospodársku činnosť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  <w:t>Náklady na hospodársku činnosť celkom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1 936</w:t>
            </w:r>
          </w:p>
        </w:tc>
      </w:tr>
      <w:tr>
        <w:trPr>
          <w:trHeight w:val="323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  <w:t>Finančné náklady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43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b/>
                <w:b/>
                <w:bCs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  <w:t>Daň z príjmu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  <w:t>Náklady celkom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1 979</w:t>
            </w:r>
          </w:p>
        </w:tc>
      </w:tr>
    </w:tbl>
    <w:p>
      <w:pPr>
        <w:pStyle w:val="Normal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numPr>
          <w:ilvl w:val="3"/>
          <w:numId w:val="3"/>
        </w:numPr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eastAsia="Book Antiqua" w:cs="Book Antiqua" w:ascii="Book Antiqua" w:hAnsi="Book Antiqua"/>
          <w:b/>
          <w:sz w:val="18"/>
          <w:szCs w:val="18"/>
        </w:rPr>
        <w:t xml:space="preserve"> </w:t>
      </w:r>
      <w:r>
        <w:rPr>
          <w:rFonts w:cs="Book Antiqua" w:ascii="Book Antiqua" w:hAnsi="Book Antiqua"/>
          <w:b/>
          <w:sz w:val="18"/>
          <w:szCs w:val="18"/>
        </w:rPr>
        <w:t>Informácia o záväzkoch</w:t>
      </w:r>
    </w:p>
    <w:p>
      <w:pPr>
        <w:pStyle w:val="Normal"/>
        <w:ind w:left="284" w:hanging="0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tbl>
      <w:tblPr>
        <w:tblW w:w="8236" w:type="dxa"/>
        <w:jc w:val="left"/>
        <w:tblInd w:w="37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28"/>
        <w:gridCol w:w="2308"/>
      </w:tblGrid>
      <w:tr>
        <w:trPr>
          <w:trHeight w:val="238" w:hRule="atLeast"/>
        </w:trPr>
        <w:tc>
          <w:tcPr>
            <w:tcW w:w="592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>
            <w:pPr>
              <w:pStyle w:val="TopHeader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Názov položky</w:t>
            </w:r>
          </w:p>
        </w:tc>
        <w:tc>
          <w:tcPr>
            <w:tcW w:w="23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TopHeader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 xml:space="preserve">Suma </w:t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 xml:space="preserve">Záväzky dlhodobé </w:t>
            </w:r>
          </w:p>
        </w:tc>
        <w:tc>
          <w:tcPr>
            <w:tcW w:w="23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z toho: so splatnosťou dlhšou ako 5 rokov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Dlhodobé rezervy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Dlhodobé bankové úvery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  <w:t>Záväzky krátkodobé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  <w:t>1 249</w:t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z toho: z obchodného styku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             </w:t>
            </w:r>
            <w:r>
              <w:rPr>
                <w:rFonts w:cs="Book Antiqua" w:ascii="Book Antiqua" w:hAnsi="Book Antiqua"/>
                <w:bCs/>
                <w:sz w:val="18"/>
                <w:szCs w:val="18"/>
              </w:rPr>
              <w:t>voči zamestnancom a zo sociálneho poistenia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18</w:t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             </w:t>
            </w:r>
            <w:r>
              <w:rPr>
                <w:rFonts w:cs="Book Antiqua" w:ascii="Book Antiqua" w:hAnsi="Book Antiqua"/>
                <w:bCs/>
                <w:sz w:val="18"/>
                <w:szCs w:val="18"/>
              </w:rPr>
              <w:t>daňové záväzky a dotácie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0</w:t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             </w:t>
            </w:r>
            <w:r>
              <w:rPr>
                <w:rFonts w:cs="Book Antiqua" w:ascii="Book Antiqua" w:hAnsi="Book Antiqua"/>
                <w:bCs/>
                <w:sz w:val="18"/>
                <w:szCs w:val="18"/>
              </w:rPr>
              <w:t>ostatné krátkodobé záväzky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1 231</w:t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  <w:t>Rezervy krátkodobé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 xml:space="preserve">z toho:  rezerva na nevyčerpanú dovolenku 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             </w:t>
            </w:r>
            <w:r>
              <w:rPr>
                <w:rFonts w:cs="Book Antiqua" w:ascii="Book Antiqua" w:hAnsi="Book Antiqua"/>
                <w:bCs/>
                <w:sz w:val="18"/>
                <w:szCs w:val="18"/>
              </w:rPr>
              <w:t>ostatné rezervy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  <w:t>Bežné bankové úvery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sz w:val="18"/>
                <w:szCs w:val="18"/>
              </w:rPr>
            </w:r>
          </w:p>
        </w:tc>
      </w:tr>
      <w:tr>
        <w:trPr>
          <w:trHeight w:val="238" w:hRule="atLeast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Book Antiqua" w:hAnsi="Book Antiqua" w:cs="Book Antiqua"/>
                <w:b/>
                <w:b/>
                <w:bCs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  <w:t>Krátkodobé finančné výpomoci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b/>
                <w:b/>
                <w:bCs/>
                <w:sz w:val="18"/>
                <w:szCs w:val="18"/>
              </w:rPr>
            </w:pPr>
            <w:r>
              <w:rPr>
                <w:rFonts w:cs="Book Antiqua" w:ascii="Book Antiqua" w:hAnsi="Book Antiqua"/>
                <w:b/>
                <w:bCs/>
                <w:sz w:val="18"/>
                <w:szCs w:val="18"/>
              </w:rPr>
            </w:r>
          </w:p>
        </w:tc>
      </w:tr>
    </w:tbl>
    <w:p>
      <w:pPr>
        <w:pStyle w:val="Normal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numPr>
          <w:ilvl w:val="3"/>
          <w:numId w:val="3"/>
        </w:numPr>
        <w:ind w:left="2804" w:hanging="2378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Informácia o vlastných akciách</w:t>
      </w:r>
    </w:p>
    <w:p>
      <w:pPr>
        <w:pStyle w:val="Normal"/>
        <w:ind w:left="426" w:hanging="0"/>
        <w:jc w:val="both"/>
        <w:rPr/>
      </w:pPr>
      <w:r>
        <w:rPr>
          <w:rFonts w:eastAsia="Book Antiqua" w:cs="Book Antiqua" w:ascii="Book Antiqua" w:hAnsi="Book Antiqua"/>
          <w:sz w:val="18"/>
          <w:szCs w:val="18"/>
        </w:rPr>
        <w:t xml:space="preserve">     </w:t>
      </w:r>
      <w:r>
        <w:rPr>
          <w:rFonts w:cs="Book Antiqua" w:ascii="Book Antiqua" w:hAnsi="Book Antiqua"/>
          <w:sz w:val="18"/>
          <w:szCs w:val="18"/>
        </w:rPr>
        <w:t>Spoločnosť v roku 2020 nenadobudla, ani nemá v držbe vlastné akcie.</w:t>
      </w:r>
    </w:p>
    <w:p>
      <w:pPr>
        <w:pStyle w:val="Normal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numPr>
          <w:ilvl w:val="3"/>
          <w:numId w:val="3"/>
        </w:numPr>
        <w:ind w:left="2804" w:hanging="2378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Informácia o orgánoch spoločnosti</w:t>
      </w:r>
    </w:p>
    <w:p>
      <w:pPr>
        <w:pStyle w:val="Normal"/>
        <w:ind w:left="426" w:hanging="0"/>
        <w:jc w:val="both"/>
        <w:rPr/>
      </w:pPr>
      <w:r>
        <w:rPr>
          <w:rFonts w:eastAsia="Book Antiqua" w:cs="Book Antiqua" w:ascii="Book Antiqua" w:hAnsi="Book Antiqua"/>
          <w:sz w:val="18"/>
          <w:szCs w:val="18"/>
        </w:rPr>
        <w:t xml:space="preserve">       </w:t>
      </w:r>
      <w:r>
        <w:rPr>
          <w:rFonts w:cs="Book Antiqua" w:ascii="Book Antiqua" w:hAnsi="Book Antiqua"/>
          <w:sz w:val="18"/>
          <w:szCs w:val="18"/>
        </w:rPr>
        <w:t xml:space="preserve">Spoločnosť v roku 2020 neposkytla žiadne záruky, ani iné zabezpečenia pre členov  štatutárneho  </w:t>
      </w:r>
    </w:p>
    <w:p>
      <w:pPr>
        <w:pStyle w:val="Normal"/>
        <w:ind w:left="426" w:hanging="0"/>
        <w:jc w:val="both"/>
        <w:rPr/>
      </w:pPr>
      <w:r>
        <w:rPr>
          <w:rFonts w:eastAsia="Book Antiqua" w:cs="Book Antiqua" w:ascii="Book Antiqua" w:hAnsi="Book Antiqua"/>
          <w:sz w:val="18"/>
          <w:szCs w:val="18"/>
        </w:rPr>
        <w:t xml:space="preserve">       </w:t>
      </w:r>
      <w:r>
        <w:rPr>
          <w:rFonts w:cs="Book Antiqua" w:ascii="Book Antiqua" w:hAnsi="Book Antiqua"/>
          <w:sz w:val="18"/>
          <w:szCs w:val="18"/>
        </w:rPr>
        <w:t>orgánu.  Spoločnosť neposkytla žiadne plnenia na súkromné účely konateľa spoločnosti.</w:t>
      </w:r>
    </w:p>
    <w:p>
      <w:pPr>
        <w:pStyle w:val="Normal"/>
        <w:ind w:left="426" w:hanging="0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numPr>
          <w:ilvl w:val="3"/>
          <w:numId w:val="3"/>
        </w:numPr>
        <w:tabs>
          <w:tab w:val="left" w:pos="709" w:leader="none"/>
        </w:tabs>
        <w:ind w:left="2804" w:hanging="2378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Informácia o povinnostiach spoločnosti</w:t>
      </w:r>
    </w:p>
    <w:p>
      <w:pPr>
        <w:pStyle w:val="Normal"/>
        <w:ind w:left="426" w:hanging="0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tbl>
      <w:tblPr>
        <w:tblW w:w="8596" w:type="dxa"/>
        <w:jc w:val="left"/>
        <w:tblInd w:w="37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48"/>
        <w:gridCol w:w="2248"/>
      </w:tblGrid>
      <w:tr>
        <w:trPr>
          <w:trHeight w:val="283" w:hRule="atLeast"/>
        </w:trPr>
        <w:tc>
          <w:tcPr>
            <w:tcW w:w="8596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TopHeader"/>
              <w:snapToGrid w:val="false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 xml:space="preserve">Popis povinnosti </w:t>
            </w:r>
          </w:p>
        </w:tc>
      </w:tr>
      <w:tr>
        <w:trPr>
          <w:trHeight w:val="283" w:hRule="atLeast"/>
        </w:trPr>
        <w:tc>
          <w:tcPr>
            <w:tcW w:w="63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4"/>
              </w:numPr>
              <w:suppressAutoHyphens w:val="false"/>
              <w:autoSpaceDE w:val="false"/>
              <w:ind w:left="426" w:hanging="284"/>
              <w:jc w:val="both"/>
              <w:rPr>
                <w:rFonts w:ascii="Book Antiqua" w:hAnsi="Book Antiqua"/>
                <w:bCs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</w:t>
            </w:r>
            <w:r>
              <w:rPr>
                <w:rFonts w:cs="Arial-BoldMT" w:ascii="Book Antiqua" w:hAnsi="Book Antiqua"/>
                <w:bCs/>
                <w:sz w:val="18"/>
                <w:szCs w:val="18"/>
              </w:rPr>
              <w:t>celková suma finančných povinností, ktoré sa nevykazujú v</w:t>
            </w:r>
          </w:p>
          <w:p>
            <w:pPr>
              <w:pStyle w:val="Normal"/>
              <w:suppressAutoHyphens w:val="false"/>
              <w:autoSpaceDE w:val="false"/>
              <w:ind w:left="426" w:hanging="0"/>
              <w:jc w:val="both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     </w:t>
            </w:r>
            <w:r>
              <w:rPr>
                <w:rFonts w:cs="Arial-BoldMT" w:ascii="Book Antiqua" w:hAnsi="Book Antiqua"/>
                <w:bCs/>
                <w:sz w:val="18"/>
                <w:szCs w:val="18"/>
              </w:rPr>
              <w:t>súvahe, ale sú významné na posúdenie finančnej situácie</w:t>
            </w:r>
          </w:p>
        </w:tc>
        <w:tc>
          <w:tcPr>
            <w:tcW w:w="224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sz w:val="18"/>
                <w:szCs w:val="18"/>
              </w:rPr>
              <w:t>Spoločnosť neeviduje</w:t>
            </w:r>
          </w:p>
        </w:tc>
      </w:tr>
      <w:tr>
        <w:trPr>
          <w:trHeight w:val="283" w:hRule="atLeast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4"/>
              </w:numPr>
              <w:suppressAutoHyphens w:val="false"/>
              <w:autoSpaceDE w:val="false"/>
              <w:ind w:left="426" w:hanging="284"/>
              <w:jc w:val="both"/>
              <w:rPr>
                <w:rFonts w:ascii="Book Antiqua" w:hAnsi="Book Antiqua" w:cs="Book Antiqua"/>
                <w:bCs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</w:t>
            </w:r>
            <w:r>
              <w:rPr>
                <w:rFonts w:cs="Arial-BoldMT" w:ascii="Book Antiqua" w:hAnsi="Book Antiqua"/>
                <w:bCs/>
                <w:sz w:val="18"/>
                <w:szCs w:val="18"/>
              </w:rPr>
              <w:t>celková suma významných podmienených záväzkov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Spoločnosť neeviduje</w:t>
            </w:r>
          </w:p>
        </w:tc>
      </w:tr>
      <w:tr>
        <w:trPr>
          <w:trHeight w:val="283" w:hRule="atLeast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ind w:left="720" w:hanging="545"/>
              <w:rPr>
                <w:rFonts w:ascii="Book Antiqua" w:hAnsi="Book Antiqua" w:cs="Arial-BoldMT"/>
                <w:bCs/>
                <w:sz w:val="18"/>
                <w:szCs w:val="18"/>
              </w:rPr>
            </w:pPr>
            <w:r>
              <w:rPr>
                <w:rFonts w:cs="Arial-BoldMT" w:ascii="Book Antiqua" w:hAnsi="Book Antiqua"/>
                <w:bCs/>
                <w:sz w:val="18"/>
                <w:szCs w:val="18"/>
              </w:rPr>
              <w:t xml:space="preserve">opis významných finančných povinností a významných        </w:t>
            </w:r>
          </w:p>
          <w:p>
            <w:pPr>
              <w:pStyle w:val="Normal"/>
              <w:snapToGrid w:val="false"/>
              <w:ind w:left="720" w:hanging="0"/>
              <w:rPr>
                <w:rFonts w:ascii="Book Antiqua" w:hAnsi="Book Antiqua" w:cs="Book Antiqua"/>
                <w:bCs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</w:t>
            </w:r>
            <w:r>
              <w:rPr>
                <w:rFonts w:cs="Arial-BoldMT" w:ascii="Book Antiqua" w:hAnsi="Book Antiqua"/>
                <w:bCs/>
                <w:sz w:val="18"/>
                <w:szCs w:val="18"/>
              </w:rPr>
              <w:t>podmienených záväzkov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Spoločnosť neeviduje</w:t>
            </w:r>
          </w:p>
        </w:tc>
      </w:tr>
      <w:tr>
        <w:trPr>
          <w:trHeight w:val="283" w:hRule="atLeast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ind w:left="720" w:hanging="545"/>
              <w:rPr>
                <w:rFonts w:ascii="Book Antiqua" w:hAnsi="Book Antiqua" w:cs="Book Antiqua"/>
                <w:bCs/>
                <w:sz w:val="18"/>
                <w:szCs w:val="18"/>
              </w:rPr>
            </w:pPr>
            <w:r>
              <w:rPr>
                <w:rFonts w:cs="Arial-BoldMT" w:ascii="Book Antiqua" w:hAnsi="Book Antiqua"/>
                <w:bCs/>
                <w:sz w:val="18"/>
                <w:szCs w:val="18"/>
              </w:rPr>
              <w:t>celková suma významných finančných povinností a významných podmienených záväzkoch voči dcérskej ÚJ a ÚJ s podstatným vplyvom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eastAsia="Book Antiqua" w:cs="Book Antiqua" w:ascii="Book Antiqua" w:hAnsi="Book Antiqua"/>
                <w:bCs/>
                <w:sz w:val="18"/>
                <w:szCs w:val="18"/>
              </w:rPr>
              <w:t xml:space="preserve">      </w:t>
            </w:r>
            <w:r>
              <w:rPr>
                <w:rFonts w:cs="Book Antiqua" w:ascii="Book Antiqua" w:hAnsi="Book Antiqua"/>
                <w:bCs/>
                <w:sz w:val="18"/>
                <w:szCs w:val="18"/>
              </w:rPr>
              <w:t>Spoločnosť neeviduje</w:t>
            </w:r>
          </w:p>
        </w:tc>
      </w:tr>
      <w:tr>
        <w:trPr>
          <w:trHeight w:val="283" w:hRule="atLeast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ind w:left="720" w:hanging="545"/>
              <w:rPr>
                <w:rFonts w:ascii="Book Antiqua" w:hAnsi="Book Antiqua" w:cs="Book Antiqua"/>
                <w:bCs/>
                <w:sz w:val="18"/>
                <w:szCs w:val="18"/>
              </w:rPr>
            </w:pPr>
            <w:r>
              <w:rPr>
                <w:rFonts w:cs="Arial-BoldMT" w:ascii="Book Antiqua" w:hAnsi="Book Antiqua"/>
                <w:bCs/>
                <w:sz w:val="18"/>
                <w:szCs w:val="18"/>
              </w:rPr>
              <w:t>opis významných povinností ÚJ vyplývajúcich z dôchodkových programov pre zamestnancov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  <w:r>
              <w:rPr>
                <w:rFonts w:cs="Book Antiqua" w:ascii="Book Antiqua" w:hAnsi="Book Antiqua"/>
                <w:bCs/>
                <w:sz w:val="18"/>
                <w:szCs w:val="18"/>
              </w:rPr>
              <w:t>Spoločnosť neeviduje</w:t>
            </w:r>
          </w:p>
        </w:tc>
      </w:tr>
    </w:tbl>
    <w:p>
      <w:pPr>
        <w:pStyle w:val="Normal"/>
        <w:suppressAutoHyphens w:val="false"/>
        <w:autoSpaceDE w:val="false"/>
        <w:ind w:left="720" w:hanging="0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numPr>
          <w:ilvl w:val="3"/>
          <w:numId w:val="3"/>
        </w:numPr>
        <w:suppressAutoHyphens w:val="false"/>
        <w:autoSpaceDE w:val="false"/>
        <w:ind w:left="709" w:hanging="283"/>
        <w:jc w:val="both"/>
        <w:rPr/>
      </w:pPr>
      <w:r>
        <w:rPr>
          <w:rFonts w:cs="Book Antiqua" w:ascii="Book Antiqua" w:hAnsi="Book Antiqua"/>
          <w:b/>
          <w:sz w:val="18"/>
          <w:szCs w:val="18"/>
        </w:rPr>
        <w:t>Informácie o udelení výlučného alebo osobitného práva, ktorým sa udelilo právo  poskytovať služby vo verejnom záujme, pričom sa uvádza náhrada za túto činnosť v akejkoľvek forme, a ak sa zároveň vykonávajú aj iné činnosti, uvádzajú sa aj informácie</w:t>
      </w:r>
    </w:p>
    <w:p>
      <w:pPr>
        <w:pStyle w:val="Normal"/>
        <w:numPr>
          <w:ilvl w:val="0"/>
          <w:numId w:val="7"/>
        </w:numPr>
        <w:suppressAutoHyphens w:val="false"/>
        <w:autoSpaceDE w:val="false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  <w:t>o všetkých formách prijatej náhrady</w:t>
      </w:r>
    </w:p>
    <w:p>
      <w:pPr>
        <w:pStyle w:val="Normal"/>
        <w:suppressAutoHyphens w:val="false"/>
        <w:autoSpaceDE w:val="false"/>
        <w:ind w:left="1026" w:hanging="0"/>
        <w:jc w:val="both"/>
        <w:rPr>
          <w:rFonts w:ascii="Book Antiqua" w:hAnsi="Book Antiqua" w:cs="Book Antiqua"/>
          <w:b/>
          <w:b/>
          <w:sz w:val="18"/>
          <w:szCs w:val="18"/>
        </w:rPr>
      </w:pPr>
      <w:r>
        <w:rPr>
          <w:rFonts w:cs="Book Antiqua" w:ascii="Book Antiqua" w:hAnsi="Book Antiqua"/>
          <w:b/>
          <w:sz w:val="18"/>
          <w:szCs w:val="18"/>
        </w:rPr>
      </w:r>
    </w:p>
    <w:p>
      <w:pPr>
        <w:pStyle w:val="Normal"/>
        <w:suppressAutoHyphens w:val="false"/>
        <w:autoSpaceDE w:val="false"/>
        <w:ind w:left="709" w:hanging="283"/>
        <w:jc w:val="both"/>
        <w:rPr>
          <w:rFonts w:ascii="Book Antiqua" w:hAnsi="Book Antiqua" w:cs="Book Antiqua"/>
          <w:sz w:val="18"/>
          <w:szCs w:val="18"/>
        </w:rPr>
      </w:pPr>
      <w:r>
        <w:rPr>
          <w:rFonts w:eastAsia="Book Antiqua" w:cs="Book Antiqua" w:ascii="Book Antiqua" w:hAnsi="Book Antiqua"/>
          <w:b/>
          <w:sz w:val="18"/>
          <w:szCs w:val="18"/>
        </w:rPr>
        <w:t xml:space="preserve">     </w:t>
      </w:r>
      <w:r>
        <w:rPr>
          <w:rFonts w:cs="Book Antiqua" w:ascii="Book Antiqua" w:hAnsi="Book Antiqua"/>
          <w:b/>
          <w:sz w:val="18"/>
          <w:szCs w:val="18"/>
        </w:rPr>
        <w:t>b) účtovných zásadách použitých pri prideľovaní nákladov a výnosov</w:t>
      </w:r>
    </w:p>
    <w:p>
      <w:pPr>
        <w:pStyle w:val="Normal"/>
        <w:suppressAutoHyphens w:val="false"/>
        <w:autoSpaceDE w:val="false"/>
        <w:ind w:left="709" w:hanging="283"/>
        <w:jc w:val="both"/>
        <w:rPr>
          <w:rFonts w:ascii="Book Antiqua" w:hAnsi="Book Antiqua" w:cs="Book Antiqua"/>
          <w:sz w:val="18"/>
          <w:szCs w:val="18"/>
        </w:rPr>
      </w:pPr>
      <w:r>
        <w:rPr>
          <w:rFonts w:eastAsia="Book Antiqua" w:cs="Book Antiqua" w:ascii="Book Antiqua" w:hAnsi="Book Antiqua"/>
          <w:sz w:val="18"/>
          <w:szCs w:val="18"/>
        </w:rPr>
        <w:t xml:space="preserve">    </w:t>
      </w:r>
      <w:r>
        <w:rPr>
          <w:rFonts w:cs="Book Antiqua" w:ascii="Book Antiqua" w:hAnsi="Book Antiqua"/>
          <w:sz w:val="18"/>
          <w:szCs w:val="18"/>
        </w:rPr>
        <w:t>Spoločnosti takéto práva neboli poskytnuté.</w:t>
      </w:r>
    </w:p>
    <w:p>
      <w:pPr>
        <w:pStyle w:val="Normal"/>
        <w:suppressAutoHyphens w:val="false"/>
        <w:autoSpaceDE w:val="false"/>
        <w:ind w:left="709" w:hanging="283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suppressAutoHyphens w:val="false"/>
        <w:autoSpaceDE w:val="false"/>
        <w:ind w:left="709" w:hanging="283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p>
      <w:pPr>
        <w:pStyle w:val="Normal"/>
        <w:suppressAutoHyphens w:val="false"/>
        <w:autoSpaceDE w:val="false"/>
        <w:ind w:left="720" w:hanging="0"/>
        <w:jc w:val="both"/>
        <w:rPr>
          <w:rFonts w:ascii="Book Antiqua" w:hAnsi="Book Antiqua" w:cs="Book Antiqua"/>
          <w:sz w:val="18"/>
          <w:szCs w:val="18"/>
        </w:rPr>
      </w:pPr>
      <w:r>
        <w:rPr>
          <w:rFonts w:cs="Book Antiqua" w:ascii="Book Antiqua" w:hAnsi="Book Antiqua"/>
          <w:sz w:val="18"/>
          <w:szCs w:val="18"/>
        </w:rPr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993" w:gutter="0"/>
      <w:pgNumType w:fmt="decimal"/>
      <w:formProt w:val="false"/>
      <w:textDirection w:val="lrTb"/>
      <w:docGrid w:type="default" w:linePitch="600" w:charSpace="4096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imes New Roman">
    <w:charset w:val="ee"/>
    <w:family w:val="roman"/>
    <w:pitch w:val="variable"/>
  </w:font>
  <w:font w:name="Book Antiqua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Cambria">
    <w:charset w:val="ee"/>
    <w:family w:val="roman"/>
    <w:pitch w:val="variable"/>
  </w:font>
  <w:font w:name="Calibri">
    <w:charset w:val="ee"/>
    <w:family w:val="swiss"/>
    <w:pitch w:val="variable"/>
  </w:font>
  <w:font w:name="Arial Narrow">
    <w:charset w:val="ee"/>
    <w:family w:val="swiss"/>
    <w:pitch w:val="variable"/>
  </w:font>
  <w:font w:name="Tahoma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rPr/>
    </w:pPr>
    <w:r>
      <w:rPr/>
    </w:r>
    <w:r>
      <mc:AlternateContent>
        <mc:Choice Requires="wps">
          <w:drawing>
            <wp:anchor behindDoc="0" distT="0" distB="0" distL="0" distR="0" simplePos="0" locked="0" layoutInCell="0" allowOverlap="1" relativeHeight="5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222250" cy="147955"/>
              <wp:effectExtent l="0" t="0" r="0" b="0"/>
              <wp:wrapSquare wrapText="largest"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250" cy="1479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rPr/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4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17.5pt;height:11.65pt;mso-wrap-distance-left:0pt;mso-wrap-distance-right:0pt;mso-wrap-distance-top:0pt;mso-wrap-distance-bottom:0pt;margin-top:0.05pt;mso-position-vertical-relative:text;margin-left:218.05pt;mso-position-horizontal:center;mso-position-horizontal-relative:margin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Footer"/>
                      <w:rPr/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4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  <w:t>Poznámky Úč MÚJ 3-01                                                                           IČO: 53203402,  DIČ: 2121302403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pStyle w:val="Heading2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pStyle w:val="Heading3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pStyle w:val="Heading6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pStyle w:val="Heading8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pStyle w:val="Heading9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360" w:hanging="360"/>
      </w:pPr>
      <w:rPr>
        <w:rFonts w:ascii="Book Antiqua" w:hAnsi="Book Antiqua" w:eastAsia="Times New Roman" w:cs="Times New Roman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709"/>
        </w:tabs>
        <w:ind w:left="1364" w:hanging="360"/>
      </w:pPr>
      <w:rPr>
        <w:sz w:val="18"/>
        <w:b/>
        <w:szCs w:val="18"/>
        <w:rFonts w:ascii="Book Antiqua" w:hAnsi="Book Antiqua" w:cs="Book Antiqua"/>
      </w:rPr>
    </w:lvl>
    <w:lvl w:ilvl="2">
      <w:start w:val="1"/>
      <w:numFmt w:val="lowerRoman"/>
      <w:lvlText w:val="%3."/>
      <w:lvlJc w:val="left"/>
      <w:pPr>
        <w:tabs>
          <w:tab w:val="num" w:pos="2084"/>
        </w:tabs>
        <w:ind w:left="2084" w:hanging="180"/>
      </w:pPr>
      <w:rPr/>
    </w:lvl>
    <w:lvl w:ilvl="3">
      <w:start w:val="1"/>
      <w:numFmt w:val="decimal"/>
      <w:lvlText w:val="%4."/>
      <w:lvlJc w:val="left"/>
      <w:pPr>
        <w:tabs>
          <w:tab w:val="num" w:pos="709"/>
        </w:tabs>
        <w:ind w:left="2804" w:hanging="360"/>
      </w:pPr>
      <w:rPr>
        <w:sz w:val="18"/>
        <w:b/>
        <w:szCs w:val="18"/>
        <w:rFonts w:ascii="Book Antiqua" w:hAnsi="Book Antiqua" w:cs="Book Antiqua"/>
      </w:r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/>
    </w:lvl>
    <w:lvl w:ilvl="5">
      <w:start w:val="1"/>
      <w:numFmt w:val="lowerRoman"/>
      <w:lvlText w:val="%6."/>
      <w:lvlJc w:val="left"/>
      <w:pPr>
        <w:tabs>
          <w:tab w:val="num" w:pos="4244"/>
        </w:tabs>
        <w:ind w:left="4244" w:hanging="180"/>
      </w:pPr>
      <w:rPr/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/>
    </w:lvl>
    <w:lvl w:ilvl="8">
      <w:start w:val="1"/>
      <w:numFmt w:val="lowerRoman"/>
      <w:lvlText w:val="%9."/>
      <w:lvlJc w:val="left"/>
      <w:pPr>
        <w:tabs>
          <w:tab w:val="num" w:pos="6404"/>
        </w:tabs>
        <w:ind w:left="6404" w:hanging="180"/>
      </w:pPr>
      <w:rPr/>
    </w:lvl>
  </w:abstractNum>
  <w:abstractNum w:abstractNumId="4">
    <w:lvl w:ilvl="0">
      <w:start w:val="4"/>
      <w:numFmt w:val="lowerLetter"/>
      <w:lvlText w:val="%1)"/>
      <w:lvlJc w:val="left"/>
      <w:pPr>
        <w:tabs>
          <w:tab w:val="num" w:pos="709"/>
        </w:tabs>
        <w:ind w:left="720" w:hanging="360"/>
      </w:pPr>
      <w:rPr>
        <w:rFonts w:cs="Arial-BoldMT"/>
      </w:r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sz w:val="18"/>
        <w:b/>
        <w:szCs w:val="18"/>
        <w:rFonts w:ascii="Book Antiqua" w:hAnsi="Book Antiqua" w:cs="Book Antiqua"/>
      </w:r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18"/>
        <w:b/>
        <w:szCs w:val="18"/>
        <w:rFonts w:ascii="Book Antiqua" w:hAnsi="Book Antiqua" w:cs="Book Antiqua"/>
      </w:r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1026" w:hanging="360"/>
      </w:pPr>
      <w:rPr>
        <w:rFonts w:cs="Book Antiqu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30"/>
  <w:displayBackgroundShape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0"/>
      <w:szCs w:val="20"/>
      <w:lang w:val="sk-SK" w:bidi="ar-SA" w:eastAsia="zh-CN"/>
    </w:rPr>
  </w:style>
  <w:style w:type="paragraph" w:styleId="Heading1">
    <w:name w:val="Heading 1"/>
    <w:basedOn w:val="Normal"/>
    <w:next w:val="Normal"/>
    <w:qFormat/>
    <w:pPr>
      <w:keepNext w:val="true"/>
      <w:numPr>
        <w:ilvl w:val="0"/>
        <w:numId w:val="1"/>
      </w:numPr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 w:val="true"/>
      <w:numPr>
        <w:ilvl w:val="1"/>
        <w:numId w:val="1"/>
      </w:numPr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 w:val="true"/>
      <w:numPr>
        <w:ilvl w:val="2"/>
        <w:numId w:val="1"/>
      </w:numPr>
      <w:spacing w:before="120" w:after="120"/>
      <w:jc w:val="center"/>
      <w:outlineLvl w:val="2"/>
    </w:pPr>
    <w:rPr>
      <w:rFonts w:ascii="Book Antiqua" w:hAnsi="Book Antiqua" w:cs="Book Antiqua"/>
      <w:b/>
      <w:sz w:val="18"/>
    </w:rPr>
  </w:style>
  <w:style w:type="paragraph" w:styleId="Heading4">
    <w:name w:val="Heading 4"/>
    <w:basedOn w:val="Normal"/>
    <w:next w:val="Normal"/>
    <w:qFormat/>
    <w:pPr>
      <w:keepNext w:val="true"/>
      <w:numPr>
        <w:ilvl w:val="0"/>
        <w:numId w:val="0"/>
      </w:numPr>
      <w:spacing w:before="120" w:after="120"/>
      <w:ind w:left="0" w:right="0" w:hanging="0"/>
      <w:jc w:val="right"/>
      <w:outlineLvl w:val="3"/>
    </w:pPr>
    <w:rPr>
      <w:rFonts w:ascii="Book Antiqua" w:hAnsi="Book Antiqua" w:cs="Book Antiqua"/>
      <w:b/>
      <w:sz w:val="18"/>
    </w:rPr>
  </w:style>
  <w:style w:type="paragraph" w:styleId="Heading5">
    <w:name w:val="Heading 5"/>
    <w:basedOn w:val="Normal"/>
    <w:next w:val="Normal"/>
    <w:qFormat/>
    <w:pPr>
      <w:keepNext w:val="true"/>
      <w:numPr>
        <w:ilvl w:val="0"/>
        <w:numId w:val="0"/>
      </w:numPr>
      <w:ind w:left="0" w:right="0" w:hanging="0"/>
      <w:outlineLvl w:val="4"/>
    </w:pPr>
    <w:rPr>
      <w:rFonts w:ascii="Book Antiqua" w:hAnsi="Book Antiqua" w:cs="Book Antiqua"/>
      <w:b/>
      <w:sz w:val="18"/>
    </w:rPr>
  </w:style>
  <w:style w:type="paragraph" w:styleId="Heading6">
    <w:name w:val="Heading 6"/>
    <w:basedOn w:val="Normal"/>
    <w:next w:val="Normal"/>
    <w:qFormat/>
    <w:pPr>
      <w:keepNext w:val="true"/>
      <w:numPr>
        <w:ilvl w:val="5"/>
        <w:numId w:val="1"/>
      </w:numPr>
      <w:outlineLvl w:val="5"/>
    </w:pPr>
    <w:rPr>
      <w:rFonts w:ascii="Book Antiqua" w:hAnsi="Book Antiqua" w:cs="Book Antiqua"/>
      <w:u w:val="single"/>
    </w:rPr>
  </w:style>
  <w:style w:type="paragraph" w:styleId="Heading7">
    <w:name w:val="Heading 7"/>
    <w:basedOn w:val="Normal"/>
    <w:next w:val="Normal"/>
    <w:qFormat/>
    <w:pPr>
      <w:keepNext w:val="true"/>
      <w:numPr>
        <w:ilvl w:val="0"/>
        <w:numId w:val="0"/>
      </w:numPr>
      <w:ind w:left="0" w:right="0" w:firstLine="284"/>
      <w:outlineLvl w:val="6"/>
    </w:pPr>
    <w:rPr>
      <w:rFonts w:ascii="Book Antiqua" w:hAnsi="Book Antiqua" w:cs="Book Antiqua"/>
      <w:b/>
    </w:rPr>
  </w:style>
  <w:style w:type="paragraph" w:styleId="Heading8">
    <w:name w:val="Heading 8"/>
    <w:basedOn w:val="Normal"/>
    <w:next w:val="Normal"/>
    <w:qFormat/>
    <w:pPr>
      <w:keepNext w:val="true"/>
      <w:numPr>
        <w:ilvl w:val="7"/>
        <w:numId w:val="1"/>
      </w:numPr>
      <w:outlineLvl w:val="7"/>
    </w:pPr>
    <w:rPr>
      <w:rFonts w:ascii="Arial" w:hAnsi="Arial" w:cs="Arial"/>
      <w:b/>
      <w:color w:val="000000"/>
      <w:lang w:val="cs-CZ"/>
    </w:rPr>
  </w:style>
  <w:style w:type="paragraph" w:styleId="Heading9">
    <w:name w:val="Heading 9"/>
    <w:basedOn w:val="Normal"/>
    <w:next w:val="Normal"/>
    <w:qFormat/>
    <w:pPr>
      <w:keepNext w:val="true"/>
      <w:numPr>
        <w:ilvl w:val="8"/>
        <w:numId w:val="1"/>
      </w:numPr>
      <w:jc w:val="center"/>
      <w:outlineLvl w:val="8"/>
    </w:pPr>
    <w:rPr>
      <w:rFonts w:ascii="Book Antiqua" w:hAnsi="Book Antiqua" w:cs="Book Antiqua"/>
      <w:b/>
      <w:color w:val="000000"/>
      <w:lang w:val="cs-CZ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Book Antiqua" w:hAnsi="Book Antiqua" w:eastAsia="Times New Roman" w:cs="Times New Roman"/>
    </w:rPr>
  </w:style>
  <w:style w:type="character" w:styleId="WW8Num3z0">
    <w:name w:val="WW8Num3z0"/>
    <w:qFormat/>
    <w:rPr/>
  </w:style>
  <w:style w:type="character" w:styleId="WW8Num3z1">
    <w:name w:val="WW8Num3z1"/>
    <w:qFormat/>
    <w:rPr>
      <w:rFonts w:ascii="Book Antiqua" w:hAnsi="Book Antiqua" w:cs="Book Antiqua"/>
      <w:b/>
      <w:sz w:val="18"/>
      <w:szCs w:val="18"/>
    </w:rPr>
  </w:style>
  <w:style w:type="character" w:styleId="WW8Num3z2">
    <w:name w:val="WW8Num3z2"/>
    <w:qFormat/>
    <w:rPr/>
  </w:style>
  <w:style w:type="character" w:styleId="WW8Num3z3">
    <w:name w:val="WW8Num3z3"/>
    <w:qFormat/>
    <w:rPr>
      <w:rFonts w:ascii="Book Antiqua" w:hAnsi="Book Antiqua" w:cs="Book Antiqua"/>
      <w:b/>
      <w:sz w:val="18"/>
      <w:szCs w:val="18"/>
    </w:rPr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cs="Arial-BoldMT"/>
    </w:rPr>
  </w:style>
  <w:style w:type="character" w:styleId="WW8Num5z0">
    <w:name w:val="WW8Num5z0"/>
    <w:qFormat/>
    <w:rPr>
      <w:rFonts w:ascii="Book Antiqua" w:hAnsi="Book Antiqua" w:cs="Book Antiqua"/>
      <w:b/>
      <w:sz w:val="18"/>
      <w:szCs w:val="18"/>
    </w:rPr>
  </w:style>
  <w:style w:type="character" w:styleId="WW8Num6z0">
    <w:name w:val="WW8Num6z0"/>
    <w:qFormat/>
    <w:rPr>
      <w:rFonts w:ascii="Book Antiqua" w:hAnsi="Book Antiqua" w:cs="Times New Roman"/>
      <w:sz w:val="18"/>
      <w:szCs w:val="18"/>
    </w:rPr>
  </w:style>
  <w:style w:type="character" w:styleId="WW8Num7z0">
    <w:name w:val="WW8Num7z0"/>
    <w:qFormat/>
    <w:rPr>
      <w:rFonts w:ascii="Book Antiqua" w:hAnsi="Book Antiqua" w:cs="Times New Roman"/>
    </w:rPr>
  </w:style>
  <w:style w:type="character" w:styleId="WW8Num8z0">
    <w:name w:val="WW8Num8z0"/>
    <w:qFormat/>
    <w:rPr>
      <w:rFonts w:ascii="Book Antiqua" w:hAnsi="Book Antiqua" w:cs="Book Antiqua"/>
      <w:b/>
      <w:sz w:val="18"/>
      <w:szCs w:val="18"/>
    </w:rPr>
  </w:style>
  <w:style w:type="character" w:styleId="WW8Num9z0">
    <w:name w:val="WW8Num9z0"/>
    <w:qFormat/>
    <w:rPr>
      <w:rFonts w:ascii="Arial" w:hAnsi="Arial" w:eastAsia="Times New Roman" w:cs="Arial"/>
      <w:b/>
      <w:color w:val="000000"/>
      <w:sz w:val="20"/>
    </w:rPr>
  </w:style>
  <w:style w:type="character" w:styleId="WW8Num9z1">
    <w:name w:val="WW8Num9z1"/>
    <w:qFormat/>
    <w:rPr>
      <w:rFonts w:ascii="Courier New" w:hAnsi="Courier New" w:cs="Courier New"/>
    </w:rPr>
  </w:style>
  <w:style w:type="character" w:styleId="WW8Num9z2">
    <w:name w:val="WW8Num9z2"/>
    <w:qFormat/>
    <w:rPr>
      <w:rFonts w:ascii="Wingdings" w:hAnsi="Wingdings" w:cs="Wingdings"/>
    </w:rPr>
  </w:style>
  <w:style w:type="character" w:styleId="WW8Num9z3">
    <w:name w:val="WW8Num9z3"/>
    <w:qFormat/>
    <w:rPr>
      <w:rFonts w:ascii="Symbol" w:hAnsi="Symbol" w:cs="Symbol"/>
    </w:rPr>
  </w:style>
  <w:style w:type="character" w:styleId="WW8Num10z0">
    <w:name w:val="WW8Num10z0"/>
    <w:qFormat/>
    <w:rPr>
      <w:rFonts w:ascii="Book Antiqua" w:hAnsi="Book Antiqua" w:eastAsia="Times New Roman" w:cs="Book Antiqua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cs="Book Antiqua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WW8Num12z0">
    <w:name w:val="WW8Num12z0"/>
    <w:qFormat/>
    <w:rPr>
      <w:rFonts w:ascii="Wingdings" w:hAnsi="Wingdings" w:eastAsia="Times New Roman" w:cs="Times New Roman"/>
    </w:rPr>
  </w:style>
  <w:style w:type="character" w:styleId="WW8Num13z0">
    <w:name w:val="WW8Num13z0"/>
    <w:qFormat/>
    <w:rPr/>
  </w:style>
  <w:style w:type="character" w:styleId="WW8Num14z0">
    <w:name w:val="WW8Num14z0"/>
    <w:qFormat/>
    <w:rPr>
      <w:b/>
    </w:rPr>
  </w:style>
  <w:style w:type="character" w:styleId="WW8Num15z0">
    <w:name w:val="WW8Num15z0"/>
    <w:qFormat/>
    <w:rPr>
      <w:b/>
    </w:rPr>
  </w:style>
  <w:style w:type="character" w:styleId="WW8Num16z0">
    <w:name w:val="WW8Num16z0"/>
    <w:qFormat/>
    <w:rPr>
      <w:rFonts w:ascii="Times New Roman" w:hAnsi="Times New Roman" w:cs="Times New Roman"/>
    </w:rPr>
  </w:style>
  <w:style w:type="character" w:styleId="WW8Num17z0">
    <w:name w:val="WW8Num17z0"/>
    <w:qFormat/>
    <w:rPr>
      <w:b/>
    </w:rPr>
  </w:style>
  <w:style w:type="character" w:styleId="WW8Num18z0">
    <w:name w:val="WW8Num18z0"/>
    <w:qFormat/>
    <w:rPr/>
  </w:style>
  <w:style w:type="character" w:styleId="WW8Num19z0">
    <w:name w:val="WW8Num19z0"/>
    <w:qFormat/>
    <w:rPr/>
  </w:style>
  <w:style w:type="character" w:styleId="WW8Num20z0">
    <w:name w:val="WW8Num20z0"/>
    <w:qFormat/>
    <w:rPr>
      <w:rFonts w:ascii="Book Antiqua" w:hAnsi="Book Antiqua" w:cs="Book Antiqua"/>
      <w:b/>
    </w:rPr>
  </w:style>
  <w:style w:type="character" w:styleId="WW8Num20z1">
    <w:name w:val="WW8Num20z1"/>
    <w:qFormat/>
    <w:rPr/>
  </w:style>
  <w:style w:type="character" w:styleId="WW8Num20z2">
    <w:name w:val="WW8Num20z2"/>
    <w:qFormat/>
    <w:rPr/>
  </w:style>
  <w:style w:type="character" w:styleId="WW8Num20z3">
    <w:name w:val="WW8Num20z3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21z0">
    <w:name w:val="WW8Num21z0"/>
    <w:qFormat/>
    <w:rPr/>
  </w:style>
  <w:style w:type="character" w:styleId="WW8Num21z1">
    <w:name w:val="WW8Num21z1"/>
    <w:qFormat/>
    <w:rPr/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0">
    <w:name w:val="WW8Num22z0"/>
    <w:qFormat/>
    <w:rPr>
      <w:rFonts w:ascii="Book Antiqua" w:hAnsi="Book Antiqua" w:eastAsia="Times New Roman" w:cs="Times New Roman"/>
      <w:sz w:val="18"/>
      <w:szCs w:val="18"/>
    </w:rPr>
  </w:style>
  <w:style w:type="character" w:styleId="WW8Num22z1">
    <w:name w:val="WW8Num22z1"/>
    <w:qFormat/>
    <w:rPr>
      <w:rFonts w:ascii="Courier New" w:hAnsi="Courier New" w:cs="Courier New"/>
    </w:rPr>
  </w:style>
  <w:style w:type="character" w:styleId="WW8Num22z2">
    <w:name w:val="WW8Num22z2"/>
    <w:qFormat/>
    <w:rPr>
      <w:rFonts w:ascii="Wingdings" w:hAnsi="Wingdings" w:cs="Wingdings"/>
    </w:rPr>
  </w:style>
  <w:style w:type="character" w:styleId="WW8Num22z3">
    <w:name w:val="WW8Num22z3"/>
    <w:qFormat/>
    <w:rPr>
      <w:rFonts w:ascii="Symbol" w:hAnsi="Symbol" w:cs="Symbol"/>
    </w:rPr>
  </w:style>
  <w:style w:type="character" w:styleId="WW8Num23z0">
    <w:name w:val="WW8Num23z0"/>
    <w:qFormat/>
    <w:rPr>
      <w:rFonts w:ascii="Book Antiqua" w:hAnsi="Book Antiqua" w:eastAsia="Times New Roman" w:cs="Times New Roman"/>
    </w:rPr>
  </w:style>
  <w:style w:type="character" w:styleId="WW8Num23z1">
    <w:name w:val="WW8Num23z1"/>
    <w:qFormat/>
    <w:rPr>
      <w:rFonts w:ascii="Courier New" w:hAnsi="Courier New" w:cs="Courier New"/>
    </w:rPr>
  </w:style>
  <w:style w:type="character" w:styleId="WW8Num23z2">
    <w:name w:val="WW8Num23z2"/>
    <w:qFormat/>
    <w:rPr>
      <w:rFonts w:ascii="Wingdings" w:hAnsi="Wingdings" w:cs="Wingdings"/>
    </w:rPr>
  </w:style>
  <w:style w:type="character" w:styleId="WW8Num23z3">
    <w:name w:val="WW8Num23z3"/>
    <w:qFormat/>
    <w:rPr>
      <w:rFonts w:ascii="Symbol" w:hAnsi="Symbol" w:cs="Symbol"/>
    </w:rPr>
  </w:style>
  <w:style w:type="character" w:styleId="WW8Num24z0">
    <w:name w:val="WW8Num24z0"/>
    <w:qFormat/>
    <w:rPr>
      <w:rFonts w:ascii="Book Antiqua" w:hAnsi="Book Antiqua" w:cs="Book Antiqua"/>
      <w:b/>
      <w:sz w:val="18"/>
      <w:szCs w:val="18"/>
    </w:rPr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>
      <w:rFonts w:ascii="Times New Roman" w:hAnsi="Times New Roman" w:eastAsia="Times New Roman" w:cs="Times New Roman"/>
    </w:rPr>
  </w:style>
  <w:style w:type="character" w:styleId="WW8Num25z1">
    <w:name w:val="WW8Num25z1"/>
    <w:qFormat/>
    <w:rPr>
      <w:rFonts w:ascii="Courier New" w:hAnsi="Courier New" w:cs="Courier New"/>
    </w:rPr>
  </w:style>
  <w:style w:type="character" w:styleId="WW8Num25z2">
    <w:name w:val="WW8Num25z2"/>
    <w:qFormat/>
    <w:rPr>
      <w:rFonts w:ascii="Wingdings" w:hAnsi="Wingdings" w:cs="Wingdings"/>
    </w:rPr>
  </w:style>
  <w:style w:type="character" w:styleId="WW8Num25z3">
    <w:name w:val="WW8Num25z3"/>
    <w:qFormat/>
    <w:rPr>
      <w:rFonts w:ascii="Symbol" w:hAnsi="Symbol" w:cs="Symbol"/>
    </w:rPr>
  </w:style>
  <w:style w:type="character" w:styleId="Predvolenpsmoodseku3">
    <w:name w:val="Predvolené písmo odseku3"/>
    <w:qFormat/>
    <w:rPr/>
  </w:style>
  <w:style w:type="character" w:styleId="Predvolenpsmoodseku2">
    <w:name w:val="Predvolené písmo odseku2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12z1">
    <w:name w:val="WW8Num12z1"/>
    <w:qFormat/>
    <w:rPr>
      <w:rFonts w:ascii="Courier New" w:hAnsi="Courier New" w:cs="Courier New"/>
    </w:rPr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3">
    <w:name w:val="WW8Num12z3"/>
    <w:qFormat/>
    <w:rPr>
      <w:rFonts w:ascii="Symbol" w:hAnsi="Symbol" w:cs="Symbol"/>
    </w:rPr>
  </w:style>
  <w:style w:type="character" w:styleId="WW8Num16z1">
    <w:name w:val="WW8Num16z1"/>
    <w:qFormat/>
    <w:rPr>
      <w:b w:val="false"/>
    </w:rPr>
  </w:style>
  <w:style w:type="character" w:styleId="WW8Num27z0">
    <w:name w:val="WW8Num27z0"/>
    <w:qFormat/>
    <w:rPr>
      <w:rFonts w:ascii="Times New Roman" w:hAnsi="Times New Roman" w:cs="Times New Roman"/>
    </w:rPr>
  </w:style>
  <w:style w:type="character" w:styleId="WW8Num28z0">
    <w:name w:val="WW8Num28z0"/>
    <w:qFormat/>
    <w:rPr>
      <w:b/>
    </w:rPr>
  </w:style>
  <w:style w:type="character" w:styleId="WW8Num29z1">
    <w:name w:val="WW8Num29z1"/>
    <w:qFormat/>
    <w:rPr>
      <w:rFonts w:ascii="Times New Roman" w:hAnsi="Times New Roman" w:eastAsia="Times New Roman" w:cs="Times New Roman"/>
      <w:b/>
    </w:rPr>
  </w:style>
  <w:style w:type="character" w:styleId="WW8Num32z0">
    <w:name w:val="WW8Num32z0"/>
    <w:qFormat/>
    <w:rPr>
      <w:rFonts w:ascii="Book Antiqua" w:hAnsi="Book Antiqua" w:eastAsia="Times New Roman" w:cs="Times New Roman"/>
    </w:rPr>
  </w:style>
  <w:style w:type="character" w:styleId="WW8Num32z1">
    <w:name w:val="WW8Num32z1"/>
    <w:qFormat/>
    <w:rPr>
      <w:rFonts w:ascii="Courier New" w:hAnsi="Courier New" w:cs="Courier New"/>
    </w:rPr>
  </w:style>
  <w:style w:type="character" w:styleId="WW8Num32z2">
    <w:name w:val="WW8Num32z2"/>
    <w:qFormat/>
    <w:rPr>
      <w:rFonts w:ascii="Wingdings" w:hAnsi="Wingdings" w:cs="Wingdings"/>
    </w:rPr>
  </w:style>
  <w:style w:type="character" w:styleId="WW8Num32z3">
    <w:name w:val="WW8Num32z3"/>
    <w:qFormat/>
    <w:rPr>
      <w:rFonts w:ascii="Symbol" w:hAnsi="Symbol" w:cs="Symbol"/>
    </w:rPr>
  </w:style>
  <w:style w:type="character" w:styleId="WW8Num34z0">
    <w:name w:val="WW8Num34z0"/>
    <w:qFormat/>
    <w:rPr>
      <w:b/>
    </w:rPr>
  </w:style>
  <w:style w:type="character" w:styleId="WW8Num36z0">
    <w:name w:val="WW8Num36z0"/>
    <w:qFormat/>
    <w:rPr>
      <w:rFonts w:ascii="Symbol" w:hAnsi="Symbol" w:cs="Symbol"/>
    </w:rPr>
  </w:style>
  <w:style w:type="character" w:styleId="WW8Num36z1">
    <w:name w:val="WW8Num36z1"/>
    <w:qFormat/>
    <w:rPr>
      <w:rFonts w:ascii="Courier New" w:hAnsi="Courier New" w:cs="Courier New"/>
    </w:rPr>
  </w:style>
  <w:style w:type="character" w:styleId="WW8Num36z2">
    <w:name w:val="WW8Num36z2"/>
    <w:qFormat/>
    <w:rPr>
      <w:rFonts w:ascii="Wingdings" w:hAnsi="Wingdings" w:cs="Wingdings"/>
    </w:rPr>
  </w:style>
  <w:style w:type="character" w:styleId="Predvolenpsmoodseku1">
    <w:name w:val="Predvolené písmo odseku1"/>
    <w:qFormat/>
    <w:rPr/>
  </w:style>
  <w:style w:type="character" w:styleId="Znakyprevysvetlivky">
    <w:name w:val="Znaky pre vysvetlivky"/>
    <w:qFormat/>
    <w:rPr>
      <w:vertAlign w:val="superscript"/>
    </w:rPr>
  </w:style>
  <w:style w:type="character" w:styleId="PageNumber">
    <w:name w:val="Page Number"/>
    <w:basedOn w:val="Predvolenpsmoodseku1"/>
    <w:rPr/>
  </w:style>
  <w:style w:type="character" w:styleId="TextkoncovejpoznmkyChar">
    <w:name w:val="Text koncovej poznámky Char"/>
    <w:qFormat/>
    <w:rPr/>
  </w:style>
  <w:style w:type="character" w:styleId="Nadpis3Char">
    <w:name w:val="Nadpis 3 Char"/>
    <w:qFormat/>
    <w:rPr>
      <w:rFonts w:ascii="Book Antiqua" w:hAnsi="Book Antiqua" w:cs="Book Antiqua"/>
      <w:b/>
      <w:sz w:val="18"/>
    </w:rPr>
  </w:style>
  <w:style w:type="character" w:styleId="NzovChar">
    <w:name w:val="Názov Char"/>
    <w:qFormat/>
    <w:rPr>
      <w:rFonts w:ascii="Book Antiqua" w:hAnsi="Book Antiqua" w:cs="Book Antiqua"/>
      <w:b/>
      <w:sz w:val="22"/>
    </w:rPr>
  </w:style>
  <w:style w:type="character" w:styleId="Nadpis1Char">
    <w:name w:val="Nadpis 1 Char"/>
    <w:qFormat/>
    <w:rPr>
      <w:b/>
    </w:rPr>
  </w:style>
  <w:style w:type="character" w:styleId="Nadpis2Char">
    <w:name w:val="Nadpis 2 Char"/>
    <w:qFormat/>
    <w:rPr>
      <w:b/>
    </w:rPr>
  </w:style>
  <w:style w:type="character" w:styleId="Nadpis4Char">
    <w:name w:val="Nadpis 4 Char"/>
    <w:qFormat/>
    <w:rPr>
      <w:rFonts w:ascii="Book Antiqua" w:hAnsi="Book Antiqua" w:cs="Book Antiqua"/>
      <w:b/>
      <w:sz w:val="18"/>
    </w:rPr>
  </w:style>
  <w:style w:type="character" w:styleId="Nadpis5Char">
    <w:name w:val="Nadpis 5 Char"/>
    <w:qFormat/>
    <w:rPr>
      <w:rFonts w:ascii="Book Antiqua" w:hAnsi="Book Antiqua" w:cs="Book Antiqua"/>
      <w:b/>
      <w:sz w:val="18"/>
    </w:rPr>
  </w:style>
  <w:style w:type="character" w:styleId="Nadpis6Char">
    <w:name w:val="Nadpis 6 Char"/>
    <w:qFormat/>
    <w:rPr>
      <w:rFonts w:ascii="Book Antiqua" w:hAnsi="Book Antiqua" w:cs="Book Antiqua"/>
      <w:u w:val="single"/>
    </w:rPr>
  </w:style>
  <w:style w:type="character" w:styleId="Nadpis7Char">
    <w:name w:val="Nadpis 7 Char"/>
    <w:qFormat/>
    <w:rPr>
      <w:rFonts w:ascii="Book Antiqua" w:hAnsi="Book Antiqua" w:cs="Book Antiqua"/>
      <w:b/>
    </w:rPr>
  </w:style>
  <w:style w:type="character" w:styleId="Nadpis8Char">
    <w:name w:val="Nadpis 8 Char"/>
    <w:qFormat/>
    <w:rPr>
      <w:rFonts w:ascii="Arial" w:hAnsi="Arial" w:cs="Arial"/>
      <w:b/>
      <w:color w:val="000000"/>
      <w:lang w:val="cs-CZ"/>
    </w:rPr>
  </w:style>
  <w:style w:type="character" w:styleId="Nadpis9Char">
    <w:name w:val="Nadpis 9 Char"/>
    <w:qFormat/>
    <w:rPr>
      <w:rFonts w:ascii="Book Antiqua" w:hAnsi="Book Antiqua" w:cs="Book Antiqua"/>
      <w:b/>
      <w:color w:val="000000"/>
      <w:lang w:val="cs-CZ"/>
    </w:rPr>
  </w:style>
  <w:style w:type="character" w:styleId="PodtitulChar">
    <w:name w:val="Podtitul Char"/>
    <w:qFormat/>
    <w:rPr>
      <w:rFonts w:ascii="Cambria" w:hAnsi="Cambria" w:cs="Cambria"/>
      <w:sz w:val="22"/>
      <w:szCs w:val="22"/>
    </w:rPr>
  </w:style>
  <w:style w:type="character" w:styleId="StrongEmphasis">
    <w:name w:val="Strong Emphasis"/>
    <w:qFormat/>
    <w:rPr>
      <w:b/>
      <w:bCs/>
    </w:rPr>
  </w:style>
  <w:style w:type="character" w:styleId="Emphasis">
    <w:name w:val="Emphasis"/>
    <w:qFormat/>
    <w:rPr>
      <w:rFonts w:ascii="Calibri" w:hAnsi="Calibri" w:cs="Calibri"/>
      <w:b/>
      <w:bCs/>
      <w:i/>
      <w:iCs/>
    </w:rPr>
  </w:style>
  <w:style w:type="character" w:styleId="ZkladntextChar">
    <w:name w:val="Základný text Char"/>
    <w:qFormat/>
    <w:rPr>
      <w:b/>
      <w:sz w:val="22"/>
    </w:rPr>
  </w:style>
  <w:style w:type="character" w:styleId="TextpoznmkypodiarouChar">
    <w:name w:val="Text poznámky pod čiarou Char"/>
    <w:qFormat/>
    <w:rPr>
      <w:rFonts w:ascii="Arial Narrow" w:hAnsi="Arial Narrow" w:cs="Arial Narrow"/>
    </w:rPr>
  </w:style>
  <w:style w:type="character" w:styleId="Znakyprepoznmkupodiarou">
    <w:name w:val="Znaky pre poznámku pod čiarou"/>
    <w:qFormat/>
    <w:rPr>
      <w:vertAlign w:val="superscript"/>
    </w:rPr>
  </w:style>
  <w:style w:type="character" w:styleId="Zkladntext2Char">
    <w:name w:val="Základný text 2 Char"/>
    <w:qFormat/>
    <w:rPr>
      <w:color w:val="FF0000"/>
      <w:lang w:val="en-US"/>
    </w:rPr>
  </w:style>
  <w:style w:type="character" w:styleId="Zarkazkladnhotextu2Char">
    <w:name w:val="Zarážka základného textu 2 Char"/>
    <w:qFormat/>
    <w:rPr>
      <w:rFonts w:ascii="Book Antiqua" w:hAnsi="Book Antiqua" w:cs="Book Antiqua"/>
    </w:rPr>
  </w:style>
  <w:style w:type="character" w:styleId="PtaChar">
    <w:name w:val="Päta Char"/>
    <w:basedOn w:val="Predvolenpsmoodseku1"/>
    <w:qFormat/>
    <w:rPr/>
  </w:style>
  <w:style w:type="character" w:styleId="Zarkazkladnhotextu3Char">
    <w:name w:val="Zarážka základného textu 3 Char"/>
    <w:qFormat/>
    <w:rPr>
      <w:rFonts w:ascii="Book Antiqua" w:hAnsi="Book Antiqua" w:cs="Book Antiqua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Predvolenpsmoodseku1"/>
    <w:qFormat/>
    <w:rPr/>
  </w:style>
  <w:style w:type="paragraph" w:styleId="Heading">
    <w:name w:val="Heading"/>
    <w:basedOn w:val="Normal"/>
    <w:next w:val="Subtitle"/>
    <w:qFormat/>
    <w:pPr>
      <w:jc w:val="center"/>
    </w:pPr>
    <w:rPr>
      <w:rFonts w:ascii="Book Antiqua" w:hAnsi="Book Antiqua" w:cs="Book Antiqua"/>
      <w:b/>
      <w:sz w:val="22"/>
    </w:rPr>
  </w:style>
  <w:style w:type="paragraph" w:styleId="TextBody">
    <w:name w:val="Body Text"/>
    <w:basedOn w:val="Normal"/>
    <w:pPr>
      <w:ind w:left="0" w:right="3969" w:hanging="0"/>
      <w:jc w:val="center"/>
    </w:pPr>
    <w:rPr>
      <w:b/>
      <w:sz w:val="22"/>
    </w:rPr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adpis">
    <w:name w:val="Nadpis"/>
    <w:basedOn w:val="Normal"/>
    <w:next w:val="TextBody"/>
    <w:qFormat/>
    <w:pPr>
      <w:keepNext w:val="true"/>
      <w:spacing w:before="240" w:after="120"/>
    </w:pPr>
    <w:rPr>
      <w:rFonts w:ascii="Arial" w:hAnsi="Arial" w:eastAsia="SimSun;宋体" w:cs="Mangal"/>
      <w:sz w:val="28"/>
      <w:szCs w:val="28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21">
    <w:name w:val="Základný text 21"/>
    <w:basedOn w:val="Normal"/>
    <w:qFormat/>
    <w:pPr/>
    <w:rPr>
      <w:color w:val="FF0000"/>
      <w:lang w:val="en-US"/>
    </w:rPr>
  </w:style>
  <w:style w:type="paragraph" w:styleId="Subtitle">
    <w:name w:val="Subtitle"/>
    <w:basedOn w:val="Normal"/>
    <w:next w:val="Normal"/>
    <w:qFormat/>
    <w:pPr>
      <w:spacing w:before="0" w:after="60"/>
      <w:jc w:val="center"/>
    </w:pPr>
    <w:rPr>
      <w:rFonts w:ascii="Cambria" w:hAnsi="Cambria" w:cs="Cambria"/>
      <w:sz w:val="22"/>
      <w:szCs w:val="22"/>
    </w:rPr>
  </w:style>
  <w:style w:type="paragraph" w:styleId="Zkladntext31">
    <w:name w:val="Základný text 31"/>
    <w:basedOn w:val="Normal"/>
    <w:qFormat/>
    <w:pPr>
      <w:jc w:val="both"/>
    </w:pPr>
    <w:rPr>
      <w:rFonts w:ascii="Book Antiqua" w:hAnsi="Book Antiqua" w:cs="Book Antiqua"/>
    </w:rPr>
  </w:style>
  <w:style w:type="paragraph" w:styleId="Endnote">
    <w:name w:val="Endnote Text"/>
    <w:basedOn w:val="Normal"/>
    <w:pPr/>
    <w:rPr>
      <w:lang w:val="en-US"/>
    </w:rPr>
  </w:style>
  <w:style w:type="paragraph" w:styleId="Ttulosociedad">
    <w:name w:val="título sociedad"/>
    <w:basedOn w:val="Normal"/>
    <w:qFormat/>
    <w:pPr>
      <w:spacing w:before="0" w:after="240"/>
      <w:jc w:val="center"/>
    </w:pPr>
    <w:rPr>
      <w:rFonts w:ascii="Book Antiqua" w:hAnsi="Book Antiqua" w:cs="Book Antiqua"/>
      <w:b/>
      <w:sz w:val="24"/>
      <w:lang w:val="es-ES_tradnl"/>
    </w:rPr>
  </w:style>
  <w:style w:type="paragraph" w:styleId="Textonormal">
    <w:name w:val="texto normal"/>
    <w:basedOn w:val="Normal"/>
    <w:qFormat/>
    <w:pPr>
      <w:spacing w:before="0" w:after="240"/>
      <w:ind w:left="567" w:right="0" w:hanging="0"/>
    </w:pPr>
    <w:rPr>
      <w:rFonts w:ascii="Book Antiqua" w:hAnsi="Book Antiqua" w:cs="Book Antiqua"/>
      <w:lang w:val="en-GB"/>
    </w:rPr>
  </w:style>
  <w:style w:type="paragraph" w:styleId="Normaltext">
    <w:name w:val="Normal text"/>
    <w:basedOn w:val="Normal"/>
    <w:qFormat/>
    <w:pPr>
      <w:spacing w:before="0" w:after="240"/>
      <w:ind w:left="562" w:right="0" w:hanging="0"/>
      <w:jc w:val="both"/>
    </w:pPr>
    <w:rPr>
      <w:rFonts w:ascii="Book Antiqua" w:hAnsi="Book Antiqua" w:cs="Book Antiqua"/>
      <w:lang w:val="en-GB"/>
    </w:rPr>
  </w:style>
  <w:style w:type="paragraph" w:styleId="Normaltable">
    <w:name w:val="normal table"/>
    <w:basedOn w:val="Normal"/>
    <w:qFormat/>
    <w:pPr/>
    <w:rPr>
      <w:rFonts w:ascii="Book Antiqua" w:hAnsi="Book Antiqua" w:cs="Book Antiqua"/>
      <w:sz w:val="18"/>
      <w:lang w:val="en-GB"/>
    </w:rPr>
  </w:style>
  <w:style w:type="paragraph" w:styleId="TextBodyIndent">
    <w:name w:val="Body Text Indent"/>
    <w:basedOn w:val="Normal"/>
    <w:pPr>
      <w:numPr>
        <w:ilvl w:val="0"/>
        <w:numId w:val="0"/>
      </w:numPr>
      <w:ind w:left="708" w:right="0" w:hanging="0"/>
    </w:pPr>
    <w:rPr>
      <w:rFonts w:ascii="Book Antiqua" w:hAnsi="Book Antiqua" w:cs="Book Antiqua"/>
    </w:rPr>
  </w:style>
  <w:style w:type="paragraph" w:styleId="Zarkazkladnhotextu21">
    <w:name w:val="Zarážka základného textu 21"/>
    <w:basedOn w:val="Normal"/>
    <w:qFormat/>
    <w:pPr>
      <w:numPr>
        <w:ilvl w:val="0"/>
        <w:numId w:val="0"/>
      </w:numPr>
      <w:ind w:left="360" w:right="0" w:hanging="0"/>
      <w:jc w:val="both"/>
    </w:pPr>
    <w:rPr>
      <w:rFonts w:ascii="Book Antiqua" w:hAnsi="Book Antiqua" w:cs="Book Antiqua"/>
    </w:rPr>
  </w:style>
  <w:style w:type="paragraph" w:styleId="Zarkazkladnhotextu31">
    <w:name w:val="Zarážka základného textu 31"/>
    <w:basedOn w:val="Normal"/>
    <w:qFormat/>
    <w:pPr>
      <w:numPr>
        <w:ilvl w:val="0"/>
        <w:numId w:val="0"/>
      </w:numPr>
      <w:ind w:left="360" w:right="0" w:hanging="0"/>
    </w:pPr>
    <w:rPr>
      <w:rFonts w:ascii="Book Antiqua" w:hAnsi="Book Antiqua" w:cs="Book Antiqua"/>
    </w:rPr>
  </w:style>
  <w:style w:type="paragraph" w:styleId="Cuadros">
    <w:name w:val="cuadros"/>
    <w:next w:val="Normal"/>
    <w:qFormat/>
    <w:pPr>
      <w:widowControl/>
      <w:suppressAutoHyphens w:val="true"/>
      <w:bidi w:val="0"/>
    </w:pPr>
    <w:rPr>
      <w:rFonts w:ascii="Book Antiqua" w:hAnsi="Book Antiqua" w:eastAsia="Arial" w:cs="Book Antiqua"/>
      <w:color w:val="auto"/>
      <w:sz w:val="18"/>
      <w:szCs w:val="20"/>
      <w:lang w:val="en-GB" w:bidi="ar-SA" w:eastAsia="zh-CN"/>
    </w:rPr>
  </w:style>
  <w:style w:type="paragraph" w:styleId="Textkomentra1">
    <w:name w:val="Text komentára1"/>
    <w:basedOn w:val="Normal"/>
    <w:qFormat/>
    <w:pPr/>
    <w:rPr>
      <w:rFonts w:ascii="Book Antiqua" w:hAnsi="Book Antiqua" w:cs="Book Antiqua"/>
      <w:lang w:val="en-US"/>
    </w:rPr>
  </w:style>
  <w:style w:type="paragraph" w:styleId="HeaderandFooter">
    <w:name w:val="Header and Footer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Odsekzoznamu">
    <w:name w:val="Odsek zoznamu"/>
    <w:basedOn w:val="Normal"/>
    <w:qFormat/>
    <w:pPr>
      <w:ind w:left="708" w:right="0" w:hanging="0"/>
    </w:pPr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obsahu1">
    <w:name w:val="Hlavička obsahu1"/>
    <w:basedOn w:val="Heading1"/>
    <w:next w:val="Normal"/>
    <w:qFormat/>
    <w:pPr>
      <w:numPr>
        <w:ilvl w:val="0"/>
        <w:numId w:val="0"/>
      </w:numPr>
      <w:spacing w:before="240" w:after="60"/>
      <w:ind w:left="0" w:right="0" w:hanging="0"/>
    </w:pPr>
    <w:rPr>
      <w:rFonts w:ascii="Cambria" w:hAnsi="Cambria" w:cs="Cambria"/>
      <w:bCs/>
      <w:kern w:val="2"/>
      <w:sz w:val="32"/>
      <w:szCs w:val="32"/>
    </w:rPr>
  </w:style>
  <w:style w:type="paragraph" w:styleId="Footnote">
    <w:name w:val="Footnote Text"/>
    <w:basedOn w:val="Normal"/>
    <w:pPr/>
    <w:rPr>
      <w:rFonts w:ascii="Arial Narrow" w:hAnsi="Arial Narrow" w:cs="Arial Narrow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TextBody"/>
    <w:qFormat/>
    <w:pPr/>
    <w:rPr/>
  </w:style>
  <w:style w:type="paragraph" w:styleId="TableContents">
    <w:name w:val="Table Contents"/>
    <w:basedOn w:val="Normal"/>
    <w:qFormat/>
    <w:pPr>
      <w:widowControl w:val="false"/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16</TotalTime>
  <Application>LibreOffice/7.0.4.2$Windows_X86_64 LibreOffice_project/dcf040e67528d9187c66b2379df5ea4407429775</Application>
  <AppVersion>15.0000</AppVersion>
  <Pages>4</Pages>
  <Words>1063</Words>
  <Characters>6532</Characters>
  <CharactersWithSpaces>8118</CharactersWithSpaces>
  <Paragraphs>165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2021-03-28T14:43:00Z</dcterms:created>
  <dc:creator>COMPAQ</dc:creator>
  <dc:description/>
  <cp:keywords> </cp:keywords>
  <dc:language>en-US</dc:language>
  <cp:lastModifiedBy>Slaštanová Katarína</cp:lastModifiedBy>
  <cp:lastPrinted>2019-03-16T12:32:00Z</cp:lastPrinted>
  <dcterms:modified xsi:type="dcterms:W3CDTF">2021-03-29T19:40:00Z</dcterms:modified>
  <cp:revision>4</cp:revision>
  <dc:subject/>
  <dc:title>VZOR</dc:title>
</cp:coreProperties>
</file>