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77777777" w:rsidR="005516BF" w:rsidRDefault="002E05A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SVADOBNÁ AGENTÚRA LUXURY,</w:t>
      </w:r>
      <w:r w:rsidR="005516BF">
        <w:rPr>
          <w:b/>
        </w:rPr>
        <w:t xml:space="preserve"> s. r. o. so sídlom: </w:t>
      </w:r>
      <w:r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189020ED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20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77738081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pokračovať vo svojej činnosti</w:t>
      </w:r>
      <w:r w:rsidR="000655D9">
        <w:rPr>
          <w:b/>
        </w:rPr>
        <w:t>, napriek tomu, že v roku 2020 nevykonávala žiadnu činnosť</w:t>
      </w:r>
      <w:r>
        <w:rPr>
          <w:b/>
        </w:rPr>
        <w:t>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58A0EE3B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6623D47B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20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559A4382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20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28DCDBEF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392D1E1D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20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3D4612A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748FB548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41BAAB25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20</w:t>
      </w:r>
      <w:r>
        <w:rPr>
          <w:b/>
        </w:rPr>
        <w:t xml:space="preserve"> nenadobudla vlastné akcie a k 31. 12. 20</w:t>
      </w:r>
      <w:r w:rsidR="000655D9">
        <w:rPr>
          <w:b/>
        </w:rPr>
        <w:t>20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CBEC36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0D5B7D79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9E934C5" w14:textId="77777777" w:rsidR="005516BF" w:rsidRDefault="005516BF" w:rsidP="00C410B6">
      <w:pPr>
        <w:ind w:left="720"/>
        <w:jc w:val="both"/>
        <w:rPr>
          <w:b/>
        </w:rPr>
      </w:pPr>
    </w:p>
    <w:p w14:paraId="529A2AAE" w14:textId="77777777" w:rsidR="005516BF" w:rsidRDefault="005516BF" w:rsidP="00C410B6">
      <w:pPr>
        <w:ind w:left="720"/>
        <w:jc w:val="both"/>
        <w:rPr>
          <w:b/>
        </w:rPr>
      </w:pP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5CCF6AF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20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77777777" w:rsidR="005516BF" w:rsidRDefault="005516BF" w:rsidP="00C410B6">
      <w:pPr>
        <w:ind w:left="720"/>
        <w:jc w:val="both"/>
        <w:rPr>
          <w:b/>
        </w:rPr>
      </w:pP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140085"/>
    <w:rsid w:val="002C48B9"/>
    <w:rsid w:val="002E05A0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A30E5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664</Words>
  <Characters>3790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2021-03-26T12:35:00Z</dcterms:created>
  <dcterms:modified xsi:type="dcterms:W3CDTF">2021-03-26T12:35:00Z</dcterms:modified>
</cp:coreProperties>
</file>