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color w:val="000000"/>
        </w:rPr>
        <w:t xml:space="preserve"> </w:t>
      </w:r>
      <w:r>
        <w:rPr>
          <w:b/>
          <w:color w:val="000000"/>
        </w:rPr>
        <w:t>Poznámky k 31.12.2020 v EUR</w:t>
      </w:r>
    </w:p>
    <w:p>
      <w:pPr>
        <w:pStyle w:val="Normal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I </w:t>
        <w:tab/>
        <w:t>Všeobecné informácie</w:t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I.1 </w:t>
        <w:tab/>
        <w:t>Názov účtovnej jednotky:   LAS - IMEX spol. s r.o.</w:t>
      </w:r>
    </w:p>
    <w:p>
      <w:pPr>
        <w:pStyle w:val="Normal"/>
        <w:widowControl/>
        <w:ind w:left="720" w:hanging="0"/>
        <w:jc w:val="both"/>
        <w:rPr/>
      </w:pPr>
      <w:r>
        <w:rPr>
          <w:rFonts w:eastAsia="Times New Roman" w:cs="Times New Roman"/>
          <w:b/>
          <w:color w:val="000000"/>
        </w:rPr>
        <w:t>Sídlo účtovnej jednotky:     Palugyaya 1, 031 01 Liptovský Mikuláš</w:t>
      </w:r>
    </w:p>
    <w:p>
      <w:pPr>
        <w:pStyle w:val="Normal"/>
        <w:widowControl/>
        <w:ind w:left="720" w:hanging="0"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Times New Roman" w:cs="Times New Roman"/>
          <w:b/>
          <w:color w:val="000000"/>
        </w:rPr>
        <w:t>Zatriedenie účtovnej jednotky podľa veľkostného kritéria: malá účtovná jednotka</w:t>
      </w:r>
    </w:p>
    <w:p>
      <w:pPr>
        <w:pStyle w:val="Normal"/>
        <w:widowControl/>
        <w:ind w:left="720" w:hanging="0"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Times New Roman" w:cs="Times New Roman"/>
          <w:b/>
          <w:color w:val="000000"/>
        </w:rPr>
        <w:t xml:space="preserve">Opis hospodárskej činnosti účtovnej jednotky: </w:t>
      </w:r>
      <w:r>
        <w:rPr>
          <w:b/>
        </w:rPr>
        <w:t xml:space="preserve"> </w:t>
      </w:r>
      <w:r>
        <w:rPr>
          <w:rFonts w:eastAsia="Times New Roman" w:cs="Times New Roman"/>
          <w:b/>
          <w:color w:val="000000"/>
        </w:rPr>
        <w:t>SK NACE: 49.41.0  Nákladná cestná automobilová doprava</w:t>
      </w:r>
    </w:p>
    <w:p>
      <w:pPr>
        <w:pStyle w:val="Normal"/>
        <w:widowControl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ind w:left="705" w:hanging="705"/>
        <w:jc w:val="both"/>
        <w:rPr/>
      </w:pPr>
      <w:r>
        <w:rPr>
          <w:rFonts w:eastAsia="Times New Roman" w:cs="Times New Roman"/>
          <w:b/>
          <w:color w:val="000000"/>
        </w:rPr>
        <w:t>I.2</w:t>
        <w:tab/>
        <w:t>Dátum schválenia účtovnej závierky za bezprostredne predchádzajúce účtovné obdobie príslušným orgánom účtovnej jednotky: 07.07.2020</w:t>
      </w:r>
    </w:p>
    <w:p>
      <w:pPr>
        <w:pStyle w:val="Normal"/>
        <w:widowControl/>
        <w:ind w:left="720" w:hanging="0"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ind w:left="720" w:hanging="0"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Times New Roman" w:cs="Times New Roman"/>
          <w:b/>
          <w:color w:val="000000"/>
        </w:rPr>
        <w:t>I.3</w:t>
        <w:tab/>
        <w:t>Právny dôvod na zostavenie účtovnej závierky:</w:t>
      </w:r>
    </w:p>
    <w:p>
      <w:pPr>
        <w:pStyle w:val="Normal"/>
        <w:widowControl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tabs>
          <w:tab w:val="clear" w:pos="720"/>
          <w:tab w:val="left" w:pos="1604" w:leader="none"/>
          <w:tab w:val="left" w:pos="2815" w:leader="none"/>
        </w:tabs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Quattrocento Sans" w:cs="Quattrocento Sans"/>
          <w:color w:val="000000"/>
        </w:rPr>
        <w:t>x</w:t>
      </w:r>
      <w:r>
        <w:rPr>
          <w:rFonts w:eastAsia="Times New Roman" w:cs="Times New Roman"/>
          <w:color w:val="000000"/>
        </w:rPr>
        <w:t xml:space="preserve"> Riadna    </w:t>
      </w:r>
      <w:r>
        <w:rPr>
          <w:rFonts w:eastAsia="Arial Unicode MS"/>
          <w:color w:val="000000"/>
        </w:rPr>
        <w:t>☐</w:t>
      </w:r>
      <w:r>
        <w:rPr>
          <w:rFonts w:eastAsia="Times New Roman" w:cs="Times New Roman"/>
          <w:color w:val="000000"/>
        </w:rPr>
        <w:t xml:space="preserve"> Mimoriadna</w:t>
      </w:r>
    </w:p>
    <w:p>
      <w:pPr>
        <w:pStyle w:val="Normal"/>
        <w:widowControl/>
        <w:jc w:val="both"/>
        <w:rPr>
          <w:rFonts w:eastAsia="Times New Roman" w:cs="Times New Roman"/>
          <w:strike/>
          <w:color w:val="000000"/>
        </w:rPr>
      </w:pPr>
      <w:r>
        <w:rPr>
          <w:rFonts w:eastAsia="Times New Roman" w:cs="Times New Roman"/>
          <w:strike/>
          <w:color w:val="000000"/>
        </w:rPr>
      </w:r>
    </w:p>
    <w:p>
      <w:pPr>
        <w:pStyle w:val="Normal"/>
        <w:widowControl/>
        <w:tabs>
          <w:tab w:val="clear" w:pos="720"/>
          <w:tab w:val="left" w:pos="1429" w:leader="none"/>
        </w:tabs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jc w:val="both"/>
        <w:rPr>
          <w:color w:val="000000"/>
        </w:rPr>
      </w:pPr>
      <w:bookmarkStart w:id="0" w:name="__DdeLink__2816_2137554092"/>
      <w:r>
        <w:rPr>
          <w:color w:val="000000"/>
        </w:rPr>
        <w:t>Účtovná jednotka nemá náplň.</w:t>
      </w:r>
      <w:bookmarkEnd w:id="0"/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I.5 </w:t>
        <w:tab/>
        <w:t>Informácie o počte zamestnancov:</w:t>
      </w:r>
    </w:p>
    <w:tbl>
      <w:tblPr>
        <w:tblStyle w:val="TableNormal"/>
        <w:tblW w:w="9405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insideH w:val="single" w:sz="18" w:space="0" w:color="000000"/>
        </w:tblBorders>
        <w:tblCellMar>
          <w:top w:w="0" w:type="dxa"/>
          <w:left w:w="14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61"/>
        <w:gridCol w:w="2545"/>
        <w:gridCol w:w="3399"/>
      </w:tblGrid>
      <w:tr>
        <w:trPr/>
        <w:tc>
          <w:tcPr>
            <w:tcW w:w="34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Názov položky</w:t>
            </w:r>
          </w:p>
        </w:tc>
        <w:tc>
          <w:tcPr>
            <w:tcW w:w="254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Bežné účtovné obdobie</w:t>
            </w:r>
          </w:p>
        </w:tc>
        <w:tc>
          <w:tcPr>
            <w:tcW w:w="339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Bezprostredne predchádzajúce účtovné obdobie</w:t>
            </w:r>
          </w:p>
        </w:tc>
      </w:tr>
      <w:tr>
        <w:trPr>
          <w:trHeight w:val="440" w:hRule="atLeast"/>
        </w:trPr>
        <w:tc>
          <w:tcPr>
            <w:tcW w:w="34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color w:val="000000"/>
              </w:rPr>
              <w:t>Priemerný prepočítaný počet zamestnancov účtovnej jednotky</w:t>
            </w:r>
          </w:p>
        </w:tc>
        <w:tc>
          <w:tcPr>
            <w:tcW w:w="254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 xml:space="preserve">                   </w:t>
            </w:r>
            <w:r>
              <w:rPr>
                <w:color w:val="000000"/>
              </w:rPr>
              <w:t>49</w:t>
            </w:r>
          </w:p>
        </w:tc>
        <w:tc>
          <w:tcPr>
            <w:tcW w:w="339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50</w:t>
            </w:r>
          </w:p>
        </w:tc>
      </w:tr>
    </w:tbl>
    <w:p>
      <w:pPr>
        <w:pStyle w:val="Normal"/>
        <w:ind w:left="1418" w:hanging="709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1418" w:hanging="709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II</w:t>
        <w:tab/>
        <w:t>Informácie o orgánoch spoločnosti</w:t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II.</w:t>
        <w:tab/>
        <w:t>Informácie o orgánoch účtovnej jednotky a)- d)</w:t>
      </w:r>
    </w:p>
    <w:p>
      <w:pPr>
        <w:pStyle w:val="Normal"/>
        <w:jc w:val="both"/>
        <w:rPr>
          <w:color w:val="000000"/>
        </w:rPr>
      </w:pPr>
      <w:bookmarkStart w:id="1" w:name="__DdeLink__2737_309521907"/>
      <w:r>
        <w:rPr>
          <w:color w:val="000000"/>
        </w:rPr>
        <w:t>Účtovná jednotka nemá náplň.</w:t>
      </w:r>
      <w:bookmarkEnd w:id="1"/>
    </w:p>
    <w:p>
      <w:pPr>
        <w:pStyle w:val="Normal"/>
        <w:spacing w:before="240" w:after="0"/>
        <w:ind w:right="142" w:hanging="0"/>
        <w:jc w:val="both"/>
        <w:rPr/>
      </w:pPr>
      <w:r>
        <w:rPr>
          <w:b/>
          <w:color w:val="000000"/>
        </w:rPr>
        <w:t>Ďalšie dôležité informácie o príjmoch a výhodách členov štatutárnych orgánov, dozorných orgánov a iného orgánu účtovnej jednotky</w:t>
      </w:r>
      <w:r>
        <w:rPr>
          <w:color w:val="000000"/>
        </w:rPr>
        <w:t xml:space="preserve"> (napr. hlavné podmienky, na základe ktorých boli záruky, iné zabezpečenia a pôžičky poskytnuté):  </w:t>
      </w:r>
    </w:p>
    <w:p>
      <w:pPr>
        <w:pStyle w:val="Normal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III</w:t>
        <w:tab/>
        <w:t>Informácie o prijatých postupoch</w:t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5" w:hanging="705"/>
        <w:jc w:val="both"/>
        <w:rPr/>
      </w:pPr>
      <w:r>
        <w:rPr>
          <w:b/>
          <w:color w:val="000000"/>
        </w:rPr>
        <w:t>III. 1</w:t>
        <w:tab/>
        <w:t>Účtovná závierka je zostavená za predpokladu nepretržitého  pokračovania  vo svojej činnosti:</w:t>
      </w:r>
    </w:p>
    <w:p>
      <w:pPr>
        <w:pStyle w:val="Normal"/>
        <w:spacing w:before="0" w:after="360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rFonts w:eastAsia="MS Gothic" w:cs="MS Gothic" w:ascii="MS Gothic" w:hAnsi="MS Gothic"/>
          <w:b/>
          <w:color w:val="000000"/>
        </w:rPr>
        <w:t xml:space="preserve"> x 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áno </w:t>
      </w:r>
      <w:r>
        <w:rPr>
          <w:b/>
          <w:color w:val="000000"/>
        </w:rPr>
        <w:tab/>
      </w:r>
      <w:r>
        <w:rPr>
          <w:rFonts w:eastAsia="Arial Unicode MS" w:ascii="Arial Unicode MS" w:hAnsi="Arial Unicode MS"/>
          <w:b/>
          <w:color w:val="000000"/>
        </w:rPr>
        <w:t>☐</w:t>
      </w:r>
      <w:r>
        <w:rPr>
          <w:b/>
          <w:color w:val="000000"/>
        </w:rPr>
        <w:t xml:space="preserve">  </w:t>
      </w:r>
      <w:r>
        <w:rPr>
          <w:color w:val="000000"/>
        </w:rPr>
        <w:t>nie</w:t>
      </w:r>
    </w:p>
    <w:p>
      <w:pPr>
        <w:pStyle w:val="Normal"/>
        <w:jc w:val="both"/>
        <w:rPr>
          <w:color w:val="FF0000"/>
        </w:rPr>
      </w:pPr>
      <w:r>
        <w:rPr>
          <w:color w:val="000000"/>
        </w:rPr>
        <w:t xml:space="preserve">Bez ohľadu na predpoklad nepretržitého trvania spoločnosti, existuje isté riziko spojené s pandémiou ochorenia COVID-19. V tejto súvislosti bola uznesenia VLÁDY SR č. 111/2020 v Slovenskej republike od 12. marca 2020 vyhlásená mimoriadna situácia z dôvodu ohrozenia verejného zdravia. Podobné opatrenia prijali vlády mnohých krajín Európskej únie. Vplyv tejto skutočnosti na zostavenú účtovnú závierku v súčasnosti nie je možné odhadnúť. </w:t>
      </w:r>
    </w:p>
    <w:p>
      <w:pPr>
        <w:pStyle w:val="Normal"/>
        <w:jc w:val="both"/>
        <w:rPr>
          <w:b/>
          <w:b/>
          <w:strike/>
          <w:color w:val="000000"/>
          <w:highlight w:val="yellow"/>
        </w:rPr>
      </w:pPr>
      <w:r>
        <w:rPr>
          <w:b/>
          <w:strike/>
          <w:color w:val="000000"/>
          <w:highlight w:val="yellow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2</w:t>
        <w:tab/>
        <w:t>Zmeny účtovných zásad a metód:</w:t>
      </w:r>
    </w:p>
    <w:p>
      <w:pPr>
        <w:pStyle w:val="Normal"/>
        <w:jc w:val="both"/>
        <w:rPr/>
      </w:pPr>
      <w:r>
        <w:rPr>
          <w:color w:val="000000"/>
        </w:rPr>
        <w:t>Účtovné metódy a zásady neboli menené a boli aplikované konzistentne.</w:t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3</w:t>
        <w:tab/>
        <w:t>Informácie o charaktere a účele transakcií, ktoré sa neuvádzajú v súvah</w:t>
      </w:r>
      <w:r>
        <w:rPr>
          <w:b/>
        </w:rPr>
        <w:t>e:</w:t>
      </w:r>
    </w:p>
    <w:p>
      <w:pPr>
        <w:pStyle w:val="Normal"/>
        <w:jc w:val="both"/>
        <w:rPr/>
      </w:pPr>
      <w:bookmarkStart w:id="2" w:name="__DdeLink__2385_3408556137"/>
      <w:r>
        <w:rPr/>
        <w:t>Účtovná jednotka nemá náplň.</w:t>
      </w:r>
      <w:bookmarkEnd w:id="2"/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4 a)   Spôsob oceňovania jednotlivých zložiek majetku a záväzkov: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Dlhodobý nehmotný majetok</w:t>
      </w:r>
    </w:p>
    <w:p>
      <w:pPr>
        <w:pStyle w:val="Normal"/>
        <w:jc w:val="both"/>
        <w:rPr/>
      </w:pPr>
      <w:r>
        <w:rPr>
          <w:color w:val="000000"/>
        </w:rPr>
        <w:t>- obstaraný kúpou je oceňovaný obstarávacou cenou, ktorá zahrňuje cenu obstarania a náklady súvisiace s obstaraním</w:t>
      </w:r>
    </w:p>
    <w:p>
      <w:pPr>
        <w:pStyle w:val="Normal"/>
        <w:jc w:val="both"/>
        <w:rPr/>
      </w:pPr>
      <w:r>
        <w:rPr>
          <w:color w:val="000000"/>
        </w:rPr>
        <w:t>- obstaraný vlastnou činnosťou je oceňovaný vlastnými nákladmi</w:t>
      </w:r>
    </w:p>
    <w:p>
      <w:pPr>
        <w:pStyle w:val="Normal"/>
        <w:jc w:val="both"/>
        <w:rPr/>
      </w:pPr>
      <w:r>
        <w:rPr>
          <w:color w:val="000000"/>
        </w:rPr>
        <w:t>- obstaraný iným spôsobom je oceňovaný reálnou hodnotou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Dlhodobý hmotný majetok</w:t>
      </w:r>
    </w:p>
    <w:p>
      <w:pPr>
        <w:pStyle w:val="Normal"/>
        <w:jc w:val="both"/>
        <w:rPr/>
      </w:pP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obstaraný kúpou je oceňovaný obstarávacou cenou, ktorá zahrňuje cenu obstarania a náklady súvisiace s obstaraním </w:t>
      </w:r>
    </w:p>
    <w:p>
      <w:pPr>
        <w:pStyle w:val="Normal"/>
        <w:jc w:val="both"/>
        <w:rPr/>
      </w:pPr>
      <w:r>
        <w:rPr>
          <w:color w:val="000000"/>
        </w:rPr>
        <w:t>-  obstaraný vlastnou činnosťou je oceňovaný vlastnými nákladmi</w:t>
      </w:r>
    </w:p>
    <w:p>
      <w:pPr>
        <w:pStyle w:val="Normal"/>
        <w:jc w:val="both"/>
        <w:rPr/>
      </w:pPr>
      <w:r>
        <w:rPr>
          <w:color w:val="000000"/>
        </w:rPr>
        <w:t>-  obstaraný iným spôsobom je oceňovaný reálnou hodnotou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Zásoby</w:t>
      </w:r>
    </w:p>
    <w:p>
      <w:pPr>
        <w:pStyle w:val="Normal"/>
        <w:jc w:val="both"/>
        <w:rPr/>
      </w:pPr>
      <w:r>
        <w:rPr>
          <w:color w:val="000000"/>
        </w:rPr>
        <w:t>- obstarané kúpou sú oceňované obstarávacou cenou, ktorá zahrňuje cenu obstarania a náklady súvisiace s obstaraním (dopravné, provízie)</w:t>
      </w:r>
    </w:p>
    <w:p>
      <w:pPr>
        <w:pStyle w:val="Normal"/>
        <w:jc w:val="both"/>
        <w:rPr/>
      </w:pPr>
      <w:r>
        <w:rPr>
          <w:color w:val="000000"/>
        </w:rPr>
        <w:t>- obstarané vlastnou činnosťou sú oceňované vlastnými nákladmi – priamymi nákladmi vynaloženými na výrobu alebo inú činnosť, aj časťou nepriamych nákladov, ktorá sa vzťahuje na výrobu alebo inú činnosť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Pohľadávky</w:t>
      </w:r>
    </w:p>
    <w:p>
      <w:pPr>
        <w:pStyle w:val="Normal"/>
        <w:jc w:val="both"/>
        <w:rPr/>
      </w:pPr>
      <w:r>
        <w:rPr>
          <w:color w:val="000000"/>
        </w:rPr>
        <w:t>Pohľadávky sa pri ich vzniku oceňujú menovitou hodnotou. Postúpené pohľadávky a pohľadávky nadobudnuté vkladom do základného imania sa oceňujú obstarávacou cenou vrátane náklado</w:t>
      </w:r>
      <w:r>
        <w:rPr/>
        <w:t>v</w:t>
      </w:r>
      <w:r>
        <w:rPr>
          <w:color w:val="000000"/>
        </w:rPr>
        <w:t xml:space="preserve"> súvisiacich s obstaraním. Toto ocenenie sa znižuje o pochybné a nevymožiteľné pohľadávky prostredníctvom opravných položiek k pohľadávkam.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Peňažné prostriedky a ceniny</w:t>
      </w:r>
    </w:p>
    <w:p>
      <w:pPr>
        <w:pStyle w:val="Normal"/>
        <w:jc w:val="both"/>
        <w:rPr/>
      </w:pPr>
      <w:r>
        <w:rPr>
          <w:color w:val="000000"/>
        </w:rPr>
        <w:t>Peňažné prostriedky a ceniny sa oceňujú ich menovitou hodnotou.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Náklady budúcich období a príjmy budúcich období</w:t>
      </w:r>
    </w:p>
    <w:p>
      <w:pPr>
        <w:pStyle w:val="Normal"/>
        <w:jc w:val="both"/>
        <w:rPr/>
      </w:pPr>
      <w:r>
        <w:rPr>
          <w:color w:val="000000"/>
        </w:rPr>
        <w:t>Náklady a príjmy budúcich období sa vykazujú vo výške , ktorá je potrebná na dodržanie zásady vecnej a časovej súvislosti s účtovným obdobím.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color w:val="000000"/>
        </w:rPr>
        <w:t>V</w:t>
      </w:r>
      <w:r>
        <w:rPr>
          <w:b/>
          <w:color w:val="000000"/>
        </w:rPr>
        <w:t>ýdavky</w:t>
      </w:r>
      <w:r>
        <w:rPr>
          <w:color w:val="000000"/>
        </w:rPr>
        <w:t xml:space="preserve"> </w:t>
      </w:r>
      <w:r>
        <w:rPr>
          <w:b/>
          <w:color w:val="000000"/>
        </w:rPr>
        <w:t>budúcich období a výnosy budúcich období</w:t>
      </w:r>
    </w:p>
    <w:p>
      <w:pPr>
        <w:pStyle w:val="Normal"/>
        <w:jc w:val="both"/>
        <w:rPr/>
      </w:pPr>
      <w:r>
        <w:rPr>
          <w:color w:val="000000"/>
        </w:rPr>
        <w:t>Výdavky a výnosy budúcich období sa vykazujú vo výške , ktorá je potrebná na dodržanie zásady vecnej a časovej súvislosti s účtovným obdobím.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Rezervy</w:t>
      </w:r>
    </w:p>
    <w:p>
      <w:pPr>
        <w:pStyle w:val="Normal"/>
        <w:jc w:val="both"/>
        <w:rPr/>
      </w:pPr>
      <w:r>
        <w:rPr>
          <w:color w:val="000000"/>
        </w:rPr>
        <w:t>Rezervy sú záväzky s neurčitým časovým vymedzením alebo výškou, tvoria sa na krytie známych rizík alebo strát z podnikania. Oceňujú sa  v očakávanej výške záväzku.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000000"/>
        </w:rPr>
        <w:t>Operatívny a finančný prenájom</w:t>
      </w:r>
    </w:p>
    <w:p>
      <w:pPr>
        <w:pStyle w:val="Normal"/>
        <w:jc w:val="both"/>
        <w:rPr/>
      </w:pPr>
      <w:r>
        <w:rPr>
          <w:color w:val="000000"/>
        </w:rPr>
        <w:t>Majetok prenajatý na základe operatívneho prenájmu vykazuje ako svoj majetok jeho vlastník. Majetok obstarávaný formou finančného leasingu vykazuje ako svoj majetok nájomca a odpisuje ho v súlade so stanoveným odpisovým plánom.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Záväzky</w:t>
      </w:r>
    </w:p>
    <w:p>
      <w:pPr>
        <w:pStyle w:val="Normal"/>
        <w:jc w:val="both"/>
        <w:rPr/>
      </w:pPr>
      <w:r>
        <w:rPr/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Výnosy</w:t>
      </w:r>
    </w:p>
    <w:p>
      <w:pPr>
        <w:pStyle w:val="Normal"/>
        <w:jc w:val="both"/>
        <w:rPr/>
      </w:pPr>
      <w:r>
        <w:rPr/>
        <w:t>Tržby za vlastné výkony a tovar neobsahujú daň z pridanej hodnoty a sú znížené o zľavy a zrážky (rabaty, skontá, dobropisy a pod.)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Majetok a záväzky zabezpečené derivátmi</w:t>
      </w:r>
    </w:p>
    <w:p>
      <w:pPr>
        <w:pStyle w:val="Normal"/>
        <w:jc w:val="both"/>
        <w:rPr/>
      </w:pPr>
      <w:r>
        <w:rPr/>
        <w:t>Majetok a záväzky zabezpečené derivátmi sa oceňujú reálnou hodnotou.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Cudzia mena</w:t>
      </w:r>
    </w:p>
    <w:p>
      <w:pPr>
        <w:pStyle w:val="Normal"/>
        <w:jc w:val="both"/>
        <w:rPr/>
      </w:pPr>
      <w:r>
        <w:rPr/>
        <w:t xml:space="preserve">Majetok a záväzky evidované v cudzej mene sa prepočítavajú na slovenskú menu kurzom ECB/NBS platným v predchádzajúci deň uskutočnenia účtovného prípadu a pri zostavení ÚZ kurzom platným ku dňu, ku ktorému sa zostavuje.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000000"/>
        </w:rPr>
        <w:t>III. 4 b)   Odhad zníženia hodnoty majetku a tvorba OP k majetku</w:t>
      </w:r>
    </w:p>
    <w:p>
      <w:pPr>
        <w:pStyle w:val="Normal"/>
        <w:jc w:val="both"/>
        <w:rPr/>
      </w:pPr>
      <w:r>
        <w:rPr>
          <w:color w:val="000000"/>
        </w:rPr>
        <w:t>Účtovná jednotka netvorila opravné položky k majetku, zásobám ani pohľadávkam.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4 c)   Ocenenie záväzkov a stanovenie odhadu ocenenia rezerv</w:t>
      </w:r>
    </w:p>
    <w:p>
      <w:pPr>
        <w:pStyle w:val="Normal"/>
        <w:jc w:val="both"/>
        <w:rPr/>
      </w:pPr>
      <w:r>
        <w:rPr>
          <w:color w:val="000000"/>
        </w:rPr>
        <w:t>Záväzky sa oceňujú nominálnou hodnotou a rezervy sa oceňujú v očakávanej výške záväzku.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both"/>
        <w:rPr/>
      </w:pPr>
      <w:r>
        <w:rPr/>
        <w:t>I</w:t>
      </w:r>
      <w:r>
        <w:rPr>
          <w:b/>
        </w:rPr>
        <w:t>II. 4 d)  Ocenenie finančných nástrojov alebo majetku, ktorý nie je finančným nástrojom</w:t>
      </w:r>
    </w:p>
    <w:p>
      <w:pPr>
        <w:pStyle w:val="Normal"/>
        <w:ind w:left="993" w:hanging="993"/>
        <w:jc w:val="both"/>
        <w:rPr/>
      </w:pPr>
      <w:r>
        <w:rPr>
          <w:b/>
        </w:rPr>
        <w:t xml:space="preserve">               </w:t>
      </w:r>
      <w:r>
        <w:rPr>
          <w:b/>
        </w:rPr>
        <w:t>pri oceňovaní reálnou hodnotou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spacing w:before="240" w:after="0"/>
        <w:ind w:left="993" w:hanging="993"/>
        <w:jc w:val="both"/>
        <w:rPr/>
      </w:pPr>
      <w:r>
        <w:rPr>
          <w:b/>
        </w:rPr>
        <w:t>III. 4 e)</w:t>
        <w:tab/>
        <w:t xml:space="preserve">Ocenenie finančných nástrojov pri oceňovaní obstarávacou cenou alebo vlastnými nákladmi  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III. 4 f)      Spôsob stanovenia metódy vlastného imania 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4 g)     Spôsob zostavenia odpisového plánu dlhodobého majetku</w:t>
      </w:r>
    </w:p>
    <w:p>
      <w:pPr>
        <w:pStyle w:val="Normal"/>
        <w:jc w:val="both"/>
        <w:rPr/>
      </w:pPr>
      <w:r>
        <w:rPr/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jc w:val="both"/>
        <w:rPr/>
      </w:pPr>
      <w:r>
        <w:rPr/>
      </w:r>
    </w:p>
    <w:tbl>
      <w:tblPr>
        <w:tblStyle w:val="TableNormal"/>
        <w:tblW w:w="9360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insideH w:val="single" w:sz="18" w:space="0" w:color="000000"/>
        </w:tblBorders>
        <w:tblCellMar>
          <w:top w:w="0" w:type="dxa"/>
          <w:left w:w="14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7"/>
        <w:gridCol w:w="2099"/>
        <w:gridCol w:w="2042"/>
        <w:gridCol w:w="2381"/>
      </w:tblGrid>
      <w:tr>
        <w:trPr/>
        <w:tc>
          <w:tcPr>
            <w:tcW w:w="283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Druh majetku</w:t>
            </w:r>
          </w:p>
        </w:tc>
        <w:tc>
          <w:tcPr>
            <w:tcW w:w="209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Doba odpisovania</w:t>
            </w:r>
          </w:p>
        </w:tc>
        <w:tc>
          <w:tcPr>
            <w:tcW w:w="204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Sadzba odpisov</w:t>
            </w:r>
          </w:p>
        </w:tc>
        <w:tc>
          <w:tcPr>
            <w:tcW w:w="238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DNM - SW</w:t>
            </w:r>
          </w:p>
        </w:tc>
        <w:tc>
          <w:tcPr>
            <w:tcW w:w="2099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24 mesiacov</w:t>
            </w:r>
          </w:p>
        </w:tc>
        <w:tc>
          <w:tcPr>
            <w:tcW w:w="2042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12/24 (50%)</w:t>
            </w:r>
          </w:p>
        </w:tc>
        <w:tc>
          <w:tcPr>
            <w:tcW w:w="2381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  <w:insideH w:val="single" w:sz="6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Stavby</w:t>
            </w:r>
          </w:p>
        </w:tc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240 mesiacov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12/240 (5%)</w:t>
            </w:r>
          </w:p>
        </w:tc>
        <w:tc>
          <w:tcPr>
            <w:tcW w:w="23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  <w:insideH w:val="single" w:sz="6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Dopravné zariadenia</w:t>
            </w:r>
          </w:p>
        </w:tc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48 mesiacov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72 mesiacov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12/48 (25%)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12/72 (16,66%)</w:t>
            </w:r>
          </w:p>
        </w:tc>
        <w:tc>
          <w:tcPr>
            <w:tcW w:w="23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  <w:insideH w:val="single" w:sz="6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  <w:tr>
        <w:trPr>
          <w:trHeight w:val="580" w:hRule="atLeast"/>
        </w:trPr>
        <w:tc>
          <w:tcPr>
            <w:tcW w:w="2837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Stroje,prístroje, zariadenia</w:t>
            </w:r>
          </w:p>
        </w:tc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48 mesiacov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72 mesiacov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12/48 (25%)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12/72 (16,66%)</w:t>
            </w:r>
          </w:p>
        </w:tc>
        <w:tc>
          <w:tcPr>
            <w:tcW w:w="2381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</w:tbl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pacing w:before="240" w:after="0"/>
        <w:ind w:left="992" w:hanging="992"/>
        <w:jc w:val="both"/>
        <w:rPr/>
      </w:pPr>
      <w:r>
        <w:rPr>
          <w:b/>
          <w:color w:val="000000"/>
        </w:rPr>
        <w:t>III. 4 h)</w:t>
        <w:tab/>
        <w:t>Informácia o poskytnutých dotáciách</w:t>
      </w:r>
    </w:p>
    <w:p>
      <w:pPr>
        <w:pStyle w:val="Normal"/>
        <w:spacing w:before="240" w:after="0"/>
        <w:ind w:left="992" w:hanging="992"/>
        <w:jc w:val="both"/>
        <w:rPr/>
      </w:pPr>
      <w:r>
        <w:rPr>
          <w:color w:val="000000"/>
        </w:rPr>
        <w:t>Účtovná jednotka nečerpá dotácie.</w:t>
      </w:r>
    </w:p>
    <w:p>
      <w:pPr>
        <w:pStyle w:val="Normal"/>
        <w:spacing w:before="240" w:after="0"/>
        <w:ind w:left="992" w:hanging="992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III. 5 </w:t>
        <w:tab/>
        <w:t>Oprava významných  chýb minulých účtovných období účtovaných v bežnom účtovnom období: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  <w:t>Účtovná jednotka  neúčtovala o opravách chýb minulých účtovných období.</w:t>
      </w:r>
    </w:p>
    <w:p>
      <w:pPr>
        <w:pStyle w:val="Normal"/>
        <w:ind w:left="993" w:hanging="993"/>
        <w:jc w:val="both"/>
        <w:rPr/>
      </w:pPr>
      <w:r>
        <w:rPr/>
      </w:r>
    </w:p>
    <w:p>
      <w:pPr>
        <w:pStyle w:val="Normal"/>
        <w:spacing w:before="240" w:after="240"/>
        <w:ind w:left="992" w:hanging="992"/>
        <w:jc w:val="center"/>
        <w:rPr/>
      </w:pPr>
      <w:r>
        <w:rPr>
          <w:b/>
          <w:color w:val="000000"/>
        </w:rPr>
        <w:t>Čl. IV    Informácie, ktoré vysvetľujú a dopĺňajú súvahu a položky výkazu ziskov a strát</w:t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1</w:t>
        <w:tab/>
        <w:t>Informácia o údajoch vykázaných na strane aktív súvahy:</w:t>
      </w:r>
    </w:p>
    <w:p>
      <w:pPr>
        <w:pStyle w:val="Normal"/>
        <w:ind w:left="992" w:hanging="992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992" w:hanging="992"/>
        <w:jc w:val="both"/>
        <w:rPr/>
      </w:pPr>
      <w:r>
        <w:rPr>
          <w:b/>
          <w:color w:val="000000"/>
        </w:rPr>
        <w:t>IV. 1 a)</w:t>
        <w:tab/>
        <w:t>Charakteristika Goodwilu:</w:t>
      </w:r>
    </w:p>
    <w:p>
      <w:pPr>
        <w:pStyle w:val="Normal"/>
        <w:ind w:left="992" w:hanging="992"/>
        <w:jc w:val="both"/>
        <w:rPr/>
      </w:pPr>
      <w:r>
        <w:rPr>
          <w:color w:val="000000"/>
        </w:rPr>
        <w:t>Účtovná jednotka neúčtuje o Goodwile.</w:t>
      </w:r>
    </w:p>
    <w:p>
      <w:pPr>
        <w:pStyle w:val="Normal"/>
        <w:spacing w:before="240" w:after="0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1 b)</w:t>
        <w:tab/>
        <w:t>Informácie  o opravných položkách k zásobám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netvorila opravné položky k zásobám.</w:t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>
          <w:rFonts w:ascii="Arial Narrow" w:hAnsi="Arial Narrow" w:eastAsia="Arial Narrow" w:cs="Arial Narrow"/>
          <w:b/>
          <w:b/>
          <w:color w:val="000000"/>
          <w:sz w:val="22"/>
          <w:szCs w:val="22"/>
        </w:rPr>
      </w:pPr>
      <w:r>
        <w:rPr>
          <w:rFonts w:eastAsia="Arial Narrow" w:cs="Arial Narrow" w:ascii="Arial Narrow" w:hAnsi="Arial Narrow"/>
          <w:b/>
          <w:color w:val="000000"/>
          <w:sz w:val="22"/>
          <w:szCs w:val="22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1 c)</w:t>
        <w:tab/>
        <w:t>Informácie  o vývoji opravnej položky k pohľadávkam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netvorila opravné položky k pohľadávkam.</w:t>
      </w:r>
    </w:p>
    <w:p>
      <w:pPr>
        <w:pStyle w:val="Normal"/>
        <w:spacing w:lineRule="auto" w:line="276" w:before="0" w:after="20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76" w:before="0" w:after="200"/>
        <w:rPr/>
      </w:pPr>
      <w:r>
        <w:rPr>
          <w:b/>
          <w:color w:val="000000"/>
        </w:rPr>
        <w:t>IV. 1 d)</w:t>
        <w:tab/>
        <w:t xml:space="preserve">     Informácie o vekovej štruktúre pohľadávok </w:t>
      </w:r>
    </w:p>
    <w:p>
      <w:pPr>
        <w:pStyle w:val="Normal"/>
        <w:spacing w:lineRule="auto" w:line="276"/>
        <w:rPr/>
      </w:pPr>
      <w:r>
        <w:rPr/>
        <w:t>Údaje za bežné obdobie</w:t>
      </w:r>
    </w:p>
    <w:tbl>
      <w:tblPr>
        <w:tblStyle w:val="TableNormal"/>
        <w:tblW w:w="9075" w:type="dxa"/>
        <w:jc w:val="left"/>
        <w:tblInd w:w="109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98"/>
        <w:gridCol w:w="1815"/>
        <w:gridCol w:w="1687"/>
        <w:gridCol w:w="2374"/>
      </w:tblGrid>
      <w:tr>
        <w:trPr/>
        <w:tc>
          <w:tcPr>
            <w:tcW w:w="319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V lehote splatnosti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 lehote splatnosti</w:t>
            </w:r>
          </w:p>
        </w:tc>
        <w:tc>
          <w:tcPr>
            <w:tcW w:w="23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Pohľadávky spolu</w:t>
            </w:r>
          </w:p>
        </w:tc>
      </w:tr>
      <w:tr>
        <w:trPr>
          <w:trHeight w:val="2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23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</w:tr>
      <w:tr>
        <w:trPr>
          <w:trHeight w:val="380" w:hRule="atLeast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 rámci podielovej účasti vrátane pohľadávok voči prepojeným ÚJ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sz w:val="22"/>
                <w:szCs w:val="22"/>
                <w:highlight w:val="yellow"/>
              </w:rPr>
            </w:pPr>
            <w:r>
              <w:rPr>
                <w:color w:val="auto"/>
                <w:sz w:val="22"/>
                <w:szCs w:val="22"/>
              </w:rPr>
              <w:t>95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sz w:val="22"/>
                <w:szCs w:val="22"/>
                <w:highlight w:val="yellow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sz w:val="22"/>
                <w:szCs w:val="22"/>
                <w:highlight w:val="yellow"/>
              </w:rPr>
            </w:pPr>
            <w:r>
              <w:rPr>
                <w:color w:val="auto"/>
                <w:sz w:val="22"/>
                <w:szCs w:val="22"/>
              </w:rPr>
              <w:t>95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 spolu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b/>
                <w:b/>
                <w:color w:val="FF0000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</w:rPr>
              <w:t>95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b/>
                <w:b/>
                <w:color w:val="FF0000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b/>
                <w:b/>
                <w:color w:val="FF0000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</w:rPr>
              <w:t>95</w:t>
            </w:r>
          </w:p>
        </w:tc>
      </w:tr>
      <w:tr>
        <w:trPr>
          <w:trHeight w:val="380" w:hRule="atLeast"/>
        </w:trPr>
        <w:tc>
          <w:tcPr>
            <w:tcW w:w="90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color w:val="auto"/>
                <w:sz w:val="22"/>
                <w:szCs w:val="22"/>
              </w:rPr>
              <w:t>351.664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auto"/>
                <w:sz w:val="22"/>
                <w:szCs w:val="22"/>
              </w:rPr>
              <w:t xml:space="preserve">     </w:t>
            </w: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351.664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 rámci podielovej účasti vrátane pohľadávok voči prepojeným ÚJ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Sociálne poistenie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Daňové pohľadávky a dotácie</w:t>
            </w:r>
          </w:p>
        </w:tc>
        <w:tc>
          <w:tcPr>
            <w:tcW w:w="18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 xml:space="preserve">6.468      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color w:val="000000"/>
                <w:sz w:val="22"/>
                <w:szCs w:val="22"/>
              </w:rPr>
              <w:t xml:space="preserve">6.468            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</w:t>
            </w:r>
            <w:r>
              <w:rPr>
                <w:color w:val="000000"/>
                <w:sz w:val="22"/>
                <w:szCs w:val="22"/>
              </w:rPr>
              <w:t>478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color w:val="000000"/>
                <w:sz w:val="22"/>
                <w:szCs w:val="22"/>
              </w:rPr>
              <w:t>478</w:t>
            </w:r>
          </w:p>
        </w:tc>
      </w:tr>
      <w:tr>
        <w:trPr>
          <w:trHeight w:val="44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 spolu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b/>
                <w:bCs/>
                <w:color w:val="auto"/>
                <w:sz w:val="22"/>
                <w:szCs w:val="22"/>
              </w:rPr>
              <w:t>358.610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</w:t>
            </w:r>
            <w:r>
              <w:rPr>
                <w:b/>
                <w:bCs/>
                <w:color w:val="auto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auto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358.610</w:t>
            </w:r>
          </w:p>
        </w:tc>
      </w:tr>
    </w:tbl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/>
        <w:t>Údaje za bezprostredne predchádzajúce účtovné obdobie</w:t>
      </w:r>
    </w:p>
    <w:tbl>
      <w:tblPr>
        <w:tblStyle w:val="TableNormal"/>
        <w:tblW w:w="9070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98"/>
        <w:gridCol w:w="1814"/>
        <w:gridCol w:w="1688"/>
        <w:gridCol w:w="2369"/>
      </w:tblGrid>
      <w:tr>
        <w:trPr/>
        <w:tc>
          <w:tcPr>
            <w:tcW w:w="319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V lehote splatnosti</w:t>
            </w:r>
          </w:p>
        </w:tc>
        <w:tc>
          <w:tcPr>
            <w:tcW w:w="168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 lehote splatnosti</w:t>
            </w:r>
          </w:p>
        </w:tc>
        <w:tc>
          <w:tcPr>
            <w:tcW w:w="23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Pohľadávky spolu</w:t>
            </w:r>
          </w:p>
        </w:tc>
      </w:tr>
      <w:tr>
        <w:trPr>
          <w:trHeight w:val="2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23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</w:tr>
      <w:tr>
        <w:trPr>
          <w:trHeight w:val="380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Pohľadávky v rámci podielovej účasti vrátane pohľadávok voči prepojeným ÚJ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 spolu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80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color w:val="000000"/>
                <w:sz w:val="22"/>
                <w:szCs w:val="22"/>
              </w:rPr>
              <w:t>289.415</w:t>
            </w:r>
          </w:p>
        </w:tc>
        <w:tc>
          <w:tcPr>
            <w:tcW w:w="16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color w:val="000000"/>
                <w:sz w:val="22"/>
                <w:szCs w:val="22"/>
              </w:rPr>
              <w:t>35.786</w:t>
            </w:r>
          </w:p>
        </w:tc>
        <w:tc>
          <w:tcPr>
            <w:tcW w:w="23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325.201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Pohľadávky v rámci podielovej účasti vrátane pohľadávok voči prepojeným ÚJ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Sociálne poistenie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Daňové pohľadávky a dotácie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</w:p>
        </w:tc>
        <w:tc>
          <w:tcPr>
            <w:tcW w:w="16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</w:p>
        </w:tc>
        <w:tc>
          <w:tcPr>
            <w:tcW w:w="23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>4.400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color w:val="000000"/>
                <w:sz w:val="22"/>
                <w:szCs w:val="22"/>
              </w:rPr>
              <w:t>4.400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 spolu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b/>
                <w:color w:val="000000"/>
                <w:sz w:val="22"/>
                <w:szCs w:val="22"/>
              </w:rPr>
              <w:t>293.815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b/>
                <w:color w:val="000000"/>
                <w:sz w:val="22"/>
                <w:szCs w:val="22"/>
              </w:rPr>
              <w:t>35.786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b/>
                <w:color w:val="000000"/>
                <w:sz w:val="22"/>
                <w:szCs w:val="22"/>
              </w:rPr>
              <w:t>329.601</w:t>
            </w:r>
          </w:p>
        </w:tc>
      </w:tr>
    </w:tbl>
    <w:p>
      <w:pPr>
        <w:pStyle w:val="Normal"/>
        <w:ind w:left="993" w:hanging="993"/>
        <w:jc w:val="both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ind w:left="993" w:hanging="993"/>
        <w:jc w:val="both"/>
        <w:rPr>
          <w:b/>
          <w:b/>
          <w:color w:val="FF0000"/>
        </w:rPr>
      </w:pPr>
      <w:r>
        <w:rPr>
          <w:color w:val="000000"/>
        </w:rPr>
        <w:t>Účtovná jednotka nemá pohľadávky zabezpečené záložným právom.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</w:rPr>
        <w:t>IV. 2</w:t>
        <w:tab/>
        <w:t>Informácie o významných položkách derivátov za bežné účtovné obdobie:</w:t>
      </w:r>
    </w:p>
    <w:p>
      <w:pPr>
        <w:pStyle w:val="Normal"/>
        <w:ind w:left="993" w:hanging="993"/>
        <w:jc w:val="both"/>
        <w:rPr/>
      </w:pPr>
      <w:r>
        <w:rPr/>
        <w:t>Účtovná jednotka neúčtuje o derivátoch.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3 a)</w:t>
        <w:tab/>
        <w:t xml:space="preserve">Informácie o záväzkoch </w:t>
      </w:r>
    </w:p>
    <w:p>
      <w:pPr>
        <w:pStyle w:val="Normal"/>
        <w:ind w:left="993" w:hanging="993"/>
        <w:jc w:val="both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Style w:val="TableNormal"/>
        <w:tblW w:w="907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23"/>
        <w:gridCol w:w="2671"/>
        <w:gridCol w:w="2976"/>
      </w:tblGrid>
      <w:tr>
        <w:trPr>
          <w:trHeight w:val="92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8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17.442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16.066</w:t>
            </w:r>
          </w:p>
        </w:tc>
      </w:tr>
      <w:tr>
        <w:trPr>
          <w:trHeight w:val="56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>
        <w:trPr>
          <w:trHeight w:val="560" w:hRule="atLeast"/>
        </w:trPr>
        <w:tc>
          <w:tcPr>
            <w:tcW w:w="342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</w:t>
            </w:r>
            <w:r>
              <w:rPr>
                <w:color w:val="000000"/>
                <w:sz w:val="22"/>
                <w:szCs w:val="22"/>
              </w:rPr>
              <w:t>17.442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</w:t>
            </w:r>
            <w:r>
              <w:rPr>
                <w:color w:val="000000"/>
                <w:sz w:val="22"/>
                <w:szCs w:val="22"/>
              </w:rPr>
              <w:t>16.066</w:t>
            </w:r>
          </w:p>
        </w:tc>
      </w:tr>
      <w:tr>
        <w:trPr>
          <w:trHeight w:val="38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193.675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192.122</w:t>
            </w:r>
          </w:p>
        </w:tc>
      </w:tr>
      <w:tr>
        <w:trPr>
          <w:trHeight w:val="56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color w:val="auto"/>
                <w:sz w:val="22"/>
                <w:szCs w:val="22"/>
              </w:rPr>
              <w:t>193.140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</w:t>
            </w:r>
            <w:r>
              <w:rPr>
                <w:color w:val="000000"/>
                <w:sz w:val="22"/>
                <w:szCs w:val="22"/>
              </w:rPr>
              <w:t>192.004</w:t>
            </w:r>
          </w:p>
        </w:tc>
      </w:tr>
      <w:tr>
        <w:trPr>
          <w:trHeight w:val="380" w:hRule="atLeast"/>
        </w:trPr>
        <w:tc>
          <w:tcPr>
            <w:tcW w:w="342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</w:t>
            </w:r>
            <w:r>
              <w:rPr>
                <w:color w:val="auto"/>
                <w:sz w:val="22"/>
                <w:szCs w:val="22"/>
              </w:rPr>
              <w:t>535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 </w:t>
            </w:r>
            <w:r>
              <w:rPr>
                <w:color w:val="000000"/>
                <w:sz w:val="22"/>
                <w:szCs w:val="22"/>
              </w:rPr>
              <w:t>118</w:t>
            </w:r>
          </w:p>
        </w:tc>
      </w:tr>
    </w:tbl>
    <w:p>
      <w:pPr>
        <w:pStyle w:val="Normal"/>
        <w:spacing w:before="240" w:after="0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>Ďalšie dôležité informácie o záväzkoch:</w:t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/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3 b)</w:t>
        <w:tab/>
        <w:t>Hodnota záväzkov zabezpečená záložným právom alebo inou formou zabezpečenia</w:t>
      </w:r>
    </w:p>
    <w:tbl>
      <w:tblPr>
        <w:tblStyle w:val="TableNormal"/>
        <w:tblW w:w="9360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14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364"/>
        <w:gridCol w:w="1981"/>
        <w:gridCol w:w="3015"/>
      </w:tblGrid>
      <w:tr>
        <w:trPr>
          <w:trHeight w:val="320" w:hRule="atLeast"/>
        </w:trPr>
        <w:tc>
          <w:tcPr>
            <w:tcW w:w="436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Druh formy zabezpečenia záväzku</w:t>
            </w:r>
          </w:p>
        </w:tc>
        <w:tc>
          <w:tcPr>
            <w:tcW w:w="499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Hodnota záväzku zabezpečená</w:t>
            </w:r>
          </w:p>
        </w:tc>
      </w:tr>
      <w:tr>
        <w:trPr>
          <w:trHeight w:val="440" w:hRule="atLeast"/>
        </w:trPr>
        <w:tc>
          <w:tcPr>
            <w:tcW w:w="4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7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0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20" w:hRule="atLeast"/>
        </w:trPr>
        <w:tc>
          <w:tcPr>
            <w:tcW w:w="436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/>
            </w:pPr>
            <w:r>
              <w:rPr>
                <w:color w:val="000000"/>
                <w:sz w:val="22"/>
                <w:szCs w:val="22"/>
              </w:rPr>
              <w:t>Spotrebný úver ČSOB Leasing,a.s. Bratislava</w:t>
            </w:r>
          </w:p>
        </w:tc>
        <w:tc>
          <w:tcPr>
            <w:tcW w:w="198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firstLine="663"/>
              <w:jc w:val="right"/>
              <w:rPr/>
            </w:pPr>
            <w:r>
              <w:rPr>
                <w:rFonts w:eastAsia="Arial" w:cs="Arial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Arial" w:cs="Arial"/>
                <w:color w:val="000000"/>
                <w:sz w:val="22"/>
                <w:szCs w:val="22"/>
              </w:rPr>
              <w:t>0 </w:t>
            </w:r>
          </w:p>
        </w:tc>
        <w:tc>
          <w:tcPr>
            <w:tcW w:w="301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rFonts w:eastAsia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" w:cs="Arial"/>
                <w:color w:val="000000"/>
                <w:sz w:val="22"/>
                <w:szCs w:val="22"/>
              </w:rPr>
              <w:t>5.286 </w:t>
            </w:r>
          </w:p>
        </w:tc>
      </w:tr>
      <w:tr>
        <w:trPr>
          <w:trHeight w:val="320" w:hRule="atLeast"/>
        </w:trPr>
        <w:tc>
          <w:tcPr>
            <w:tcW w:w="436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firstLine="663"/>
              <w:jc w:val="right"/>
              <w:rPr/>
            </w:pPr>
            <w:r>
              <w:rPr>
                <w:rFonts w:eastAsia="Arial" w:cs="Arial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rFonts w:eastAsia="Arial" w:cs="Arial"/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20" w:hRule="atLeast"/>
        </w:trPr>
        <w:tc>
          <w:tcPr>
            <w:tcW w:w="436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firstLine="663"/>
              <w:jc w:val="right"/>
              <w:rPr/>
            </w:pPr>
            <w:r>
              <w:rPr/>
            </w:r>
          </w:p>
        </w:tc>
        <w:tc>
          <w:tcPr>
            <w:tcW w:w="30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/>
            </w:r>
          </w:p>
        </w:tc>
      </w:tr>
      <w:tr>
        <w:trPr>
          <w:trHeight w:val="320" w:hRule="atLeast"/>
        </w:trPr>
        <w:tc>
          <w:tcPr>
            <w:tcW w:w="436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firstLine="663"/>
              <w:jc w:val="right"/>
              <w:rPr/>
            </w:pPr>
            <w:r>
              <w:rPr/>
            </w:r>
          </w:p>
        </w:tc>
        <w:tc>
          <w:tcPr>
            <w:tcW w:w="30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/>
            </w:r>
          </w:p>
        </w:tc>
      </w:tr>
    </w:tbl>
    <w:p>
      <w:pPr>
        <w:pStyle w:val="Normal"/>
        <w:spacing w:before="240" w:after="0"/>
        <w:ind w:right="-284" w:hanging="0"/>
        <w:jc w:val="both"/>
        <w:rPr>
          <w:b/>
          <w:b/>
          <w:color w:val="000000"/>
        </w:rPr>
      </w:pPr>
      <w:r>
        <w:rPr/>
      </w:r>
    </w:p>
    <w:p>
      <w:pPr>
        <w:pStyle w:val="Normal"/>
        <w:spacing w:before="240" w:after="0"/>
        <w:ind w:right="-284" w:hanging="0"/>
        <w:jc w:val="both"/>
        <w:rPr/>
      </w:pPr>
      <w:r>
        <w:rPr>
          <w:b/>
          <w:color w:val="000000"/>
        </w:rPr>
        <w:t>Ď</w:t>
      </w:r>
      <w:r>
        <w:rPr>
          <w:b/>
          <w:color w:val="000000"/>
        </w:rPr>
        <w:t xml:space="preserve">alšie dôležité informácie o záväzkoch zabezpečených  záložným právom alebo inou formou zabezpečenia: </w:t>
      </w:r>
      <w:r>
        <w:rPr>
          <w:color w:val="auto"/>
        </w:rPr>
        <w:t>K 31.12.2020 účtovná jednotka nemá záväzky zabezpečené záložným právom ani inou formou zabezpečenia.</w:t>
      </w:r>
    </w:p>
    <w:p>
      <w:pPr>
        <w:pStyle w:val="Normal"/>
        <w:spacing w:before="240" w:after="0"/>
        <w:ind w:right="-284" w:hanging="0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ind w:left="993" w:hanging="993"/>
        <w:jc w:val="both"/>
        <w:rPr/>
      </w:pPr>
      <w:r>
        <w:rPr>
          <w:rFonts w:eastAsia="Arial Narrow" w:cs="Arial Narrow"/>
          <w:b/>
          <w:color w:val="000000"/>
        </w:rPr>
        <w:t>IV. 3 c)</w:t>
        <w:tab/>
        <w:t>Informácie o rezervách</w:t>
      </w:r>
    </w:p>
    <w:tbl>
      <w:tblPr>
        <w:tblStyle w:val="TableNormal"/>
        <w:tblW w:w="9015" w:type="dxa"/>
        <w:jc w:val="left"/>
        <w:tblInd w:w="109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278"/>
        <w:gridCol w:w="14"/>
        <w:gridCol w:w="1756"/>
        <w:gridCol w:w="24"/>
        <w:gridCol w:w="907"/>
        <w:gridCol w:w="36"/>
        <w:gridCol w:w="998"/>
        <w:gridCol w:w="36"/>
        <w:gridCol w:w="998"/>
        <w:gridCol w:w="36"/>
        <w:gridCol w:w="1931"/>
      </w:tblGrid>
      <w:tr>
        <w:trPr>
          <w:trHeight w:val="320" w:hRule="atLeast"/>
        </w:trPr>
        <w:tc>
          <w:tcPr>
            <w:tcW w:w="227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673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2278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7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 na začiatku účtovného obdobia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Tvorba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Použitie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Zrušenie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</w:t>
              <w:br/>
              <w:t>na konci účtovného obdobia</w:t>
            </w:r>
          </w:p>
        </w:tc>
      </w:tr>
      <w:tr>
        <w:trPr>
          <w:trHeight w:val="32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2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Dlhodobé rezervy, z toho:</w:t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96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9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Krátkodobé rezervy,  z toho:</w:t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</w:t>
            </w:r>
            <w:r>
              <w:rPr>
                <w:b/>
                <w:bCs/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37.745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Zák.Nevyčer.RD,SP,ZP</w:t>
            </w:r>
          </w:p>
        </w:tc>
        <w:tc>
          <w:tcPr>
            <w:tcW w:w="17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</w:t>
            </w:r>
            <w:r>
              <w:rPr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93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</w:t>
            </w:r>
            <w:r>
              <w:rPr>
                <w:color w:val="000000"/>
                <w:sz w:val="22"/>
                <w:szCs w:val="22"/>
              </w:rPr>
              <w:t>34.689</w:t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96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 xml:space="preserve">37.745                               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96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9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2292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672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229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7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 na začiatku účtovného obdobia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Tvorba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Použitie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Zrušenie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</w:t>
              <w:br/>
              <w:t>na konci účtovného obdobia</w:t>
            </w:r>
          </w:p>
        </w:tc>
      </w:tr>
      <w:tr>
        <w:trPr>
          <w:trHeight w:val="32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Dlhodobé rezervy, z toho: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Krátkodobé rezervy, z toho: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34.410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</w:t>
            </w:r>
            <w:r>
              <w:rPr>
                <w:b/>
                <w:bCs/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</w:t>
            </w:r>
            <w:r>
              <w:rPr>
                <w:b/>
                <w:bCs/>
                <w:color w:val="000000"/>
                <w:sz w:val="22"/>
                <w:szCs w:val="22"/>
              </w:rPr>
              <w:t>34.410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37.689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Zák.Nevyčer.RD,SP,ZP           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</w:t>
            </w:r>
            <w:r>
              <w:rPr>
                <w:color w:val="000000"/>
                <w:sz w:val="22"/>
                <w:szCs w:val="22"/>
              </w:rPr>
              <w:t>34.410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</w:t>
            </w:r>
            <w:r>
              <w:rPr>
                <w:color w:val="000000"/>
                <w:sz w:val="22"/>
                <w:szCs w:val="22"/>
              </w:rPr>
              <w:t>34.410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>37.689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          </w:t>
            </w: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     </w:t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b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b/>
                <w:color w:val="000000"/>
                <w:sz w:val="22"/>
                <w:szCs w:val="22"/>
              </w:rPr>
              <w:t xml:space="preserve">                         </w:t>
            </w: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</w:t>
            </w:r>
          </w:p>
        </w:tc>
      </w:tr>
    </w:tbl>
    <w:p>
      <w:pPr>
        <w:pStyle w:val="Normal"/>
        <w:keepNext w:val="true"/>
        <w:rPr>
          <w:rFonts w:ascii="Arial Narrow" w:hAnsi="Arial Narrow" w:eastAsia="Arial Narrow" w:cs="Arial Narrow"/>
          <w:b/>
          <w:b/>
          <w:color w:val="000000"/>
          <w:sz w:val="22"/>
          <w:szCs w:val="22"/>
        </w:rPr>
      </w:pPr>
      <w:r>
        <w:rPr>
          <w:rFonts w:eastAsia="Arial Narrow" w:cs="Arial Narrow" w:ascii="Arial Narrow" w:hAnsi="Arial Narrow"/>
          <w:b/>
          <w:color w:val="000000"/>
          <w:sz w:val="22"/>
          <w:szCs w:val="22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3 d)</w:t>
        <w:tab/>
        <w:t>I</w:t>
      </w:r>
      <w:r>
        <w:rPr>
          <w:b/>
          <w:bCs/>
          <w:color w:val="000000"/>
        </w:rPr>
        <w:t xml:space="preserve">nformácie </w:t>
      </w:r>
      <w:r>
        <w:rPr>
          <w:b/>
          <w:bCs/>
        </w:rPr>
        <w:t>o odloženej daňovej pohľadávke alebo o odloženom daňovom záväzku</w:t>
      </w:r>
    </w:p>
    <w:tbl>
      <w:tblPr>
        <w:tblStyle w:val="TableNormal"/>
        <w:tblW w:w="9135" w:type="dxa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41"/>
        <w:gridCol w:w="2017"/>
        <w:gridCol w:w="2577"/>
      </w:tblGrid>
      <w:tr>
        <w:trPr>
          <w:trHeight w:val="980" w:hRule="atLeast"/>
        </w:trPr>
        <w:tc>
          <w:tcPr>
            <w:tcW w:w="4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620" w:hRule="atLeast"/>
        </w:trPr>
        <w:tc>
          <w:tcPr>
            <w:tcW w:w="45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</w:t>
            </w:r>
            <w:r>
              <w:rPr>
                <w:color w:val="000000"/>
                <w:sz w:val="22"/>
                <w:szCs w:val="22"/>
              </w:rPr>
              <w:t>453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color w:val="000000"/>
                <w:sz w:val="22"/>
                <w:szCs w:val="22"/>
              </w:rPr>
              <w:t>1.779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odpočítateľné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</w:t>
            </w:r>
            <w:r>
              <w:rPr>
                <w:color w:val="auto"/>
                <w:sz w:val="22"/>
                <w:szCs w:val="22"/>
              </w:rPr>
              <w:t>453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zdaniteľné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color w:val="000000"/>
                <w:sz w:val="22"/>
                <w:szCs w:val="22"/>
              </w:rPr>
              <w:t>1.779</w:t>
            </w:r>
          </w:p>
        </w:tc>
      </w:tr>
      <w:tr>
        <w:trPr>
          <w:trHeight w:val="62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odpočítateľné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zdaniteľné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2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8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Sadzba dane z príjmov ( v %)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highlight w:val="yellow"/>
              </w:rPr>
            </w:pPr>
            <w:r>
              <w:rPr>
                <w:color w:val="auto"/>
                <w:sz w:val="22"/>
                <w:szCs w:val="22"/>
              </w:rPr>
              <w:t>21 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highlight w:val="yellow"/>
              </w:rPr>
            </w:pPr>
            <w:r>
              <w:rPr>
                <w:color w:val="auto"/>
                <w:sz w:val="22"/>
                <w:szCs w:val="22"/>
              </w:rPr>
              <w:t>21 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Odložená daňová pohľadávka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   </w:t>
            </w:r>
            <w:r>
              <w:rPr>
                <w:color w:val="000000"/>
                <w:sz w:val="22"/>
                <w:szCs w:val="22"/>
              </w:rPr>
              <w:t xml:space="preserve">95 </w:t>
            </w:r>
            <w:r>
              <w:rPr>
                <w:b/>
                <w:color w:val="000000"/>
                <w:sz w:val="22"/>
                <w:szCs w:val="22"/>
              </w:rPr>
              <w:t xml:space="preserve">    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Uplatnená daňová pohľadávka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Zaúčtovaná ako náklad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-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95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Zaúčtovaná do vlastného imania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Odložený daňový záväzok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</w:t>
            </w:r>
            <w:r>
              <w:rPr>
                <w:color w:val="000000"/>
                <w:sz w:val="22"/>
                <w:szCs w:val="22"/>
              </w:rPr>
              <w:t>374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Zmena odloženého daňového záväzku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-374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</w:t>
            </w:r>
            <w:r>
              <w:rPr>
                <w:color w:val="000000"/>
                <w:sz w:val="22"/>
                <w:szCs w:val="22"/>
              </w:rPr>
              <w:t>-435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-374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</w:t>
            </w:r>
            <w:r>
              <w:rPr>
                <w:color w:val="000000"/>
                <w:sz w:val="22"/>
                <w:szCs w:val="22"/>
              </w:rPr>
              <w:t>-435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Zaúčtovaná do vlastného imania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IV. 4 </w:t>
        <w:tab/>
        <w:t>Informácie o vlastných akciách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>
          <w:b/>
          <w:b/>
        </w:rPr>
      </w:pPr>
      <w:r>
        <w:rPr>
          <w:b/>
        </w:rPr>
        <w:t>IV. 5</w:t>
        <w:tab/>
        <w:t>Informácie o výnosoch a nákladoch, ktoré majú výnimočný rozsah alebo výskyt</w:t>
      </w:r>
    </w:p>
    <w:p>
      <w:pPr>
        <w:pStyle w:val="Normal"/>
        <w:ind w:left="993" w:hanging="993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993" w:hanging="993"/>
        <w:jc w:val="both"/>
        <w:rPr>
          <w:b/>
          <w:b/>
        </w:rPr>
      </w:pPr>
      <w:r>
        <w:rPr>
          <w:b/>
        </w:rPr>
      </w:r>
    </w:p>
    <w:tbl>
      <w:tblPr>
        <w:tblStyle w:val="TableNormal"/>
        <w:tblW w:w="9480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10"/>
        <w:gridCol w:w="1031"/>
        <w:gridCol w:w="476"/>
        <w:gridCol w:w="1647"/>
        <w:gridCol w:w="951"/>
        <w:gridCol w:w="123"/>
        <w:gridCol w:w="222"/>
        <w:gridCol w:w="1730"/>
        <w:gridCol w:w="944"/>
        <w:gridCol w:w="144"/>
        <w:gridCol w:w="80"/>
        <w:gridCol w:w="221"/>
      </w:tblGrid>
      <w:tr>
        <w:trPr>
          <w:trHeight w:val="320" w:hRule="atLeast"/>
        </w:trPr>
        <w:tc>
          <w:tcPr>
            <w:tcW w:w="1910" w:type="dxa"/>
            <w:tcBorders/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</w:rPr>
              <w:t>Tabuľka č. 1</w:t>
            </w:r>
          </w:p>
        </w:tc>
        <w:tc>
          <w:tcPr>
            <w:tcW w:w="1031" w:type="dxa"/>
            <w:tcBorders/>
            <w:shd w:fill="auto" w:val="clear"/>
            <w:vAlign w:val="center"/>
          </w:tcPr>
          <w:p>
            <w:pPr>
              <w:pStyle w:val="Normal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</w:r>
          </w:p>
        </w:tc>
        <w:tc>
          <w:tcPr>
            <w:tcW w:w="476" w:type="dxa"/>
            <w:tcBorders/>
            <w:shd w:fill="auto" w:val="clear"/>
            <w:vAlign w:val="center"/>
          </w:tcPr>
          <w:p>
            <w:pPr>
              <w:pStyle w:val="Normal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647" w:type="dxa"/>
            <w:tcBorders/>
            <w:shd w:fill="auto" w:val="clear"/>
          </w:tcPr>
          <w:p>
            <w:pPr>
              <w:pStyle w:val="Normal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7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730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9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22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221" w:type="dxa"/>
            <w:tcBorders/>
            <w:shd w:fill="auto" w:val="clear"/>
          </w:tcPr>
          <w:p>
            <w:pPr>
              <w:pStyle w:val="Normal"/>
              <w:rPr>
                <w:rFonts w:ascii="Arial" w:hAnsi="Arial" w:eastAsia="Arial" w:cs="Arial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960" w:hRule="atLeast"/>
        </w:trPr>
        <w:tc>
          <w:tcPr>
            <w:tcW w:w="341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Výnosy, ktoré majú výnimočný rozsah alebo výskyt</w:t>
            </w:r>
          </w:p>
        </w:tc>
        <w:tc>
          <w:tcPr>
            <w:tcW w:w="259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16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341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Prepravné služby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2.497.982</w:t>
            </w:r>
          </w:p>
        </w:tc>
        <w:tc>
          <w:tcPr>
            <w:tcW w:w="31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2.330.826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341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Prenájom nehnuteľností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>36.440</w:t>
            </w:r>
          </w:p>
        </w:tc>
        <w:tc>
          <w:tcPr>
            <w:tcW w:w="31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36.440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341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341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9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widowControl/>
        <w:ind w:left="425" w:hanging="0"/>
        <w:jc w:val="both"/>
        <w:rPr>
          <w:rFonts w:ascii="Times New Roman" w:hAnsi="Times New Roman" w:eastAsia="Times New Roman" w:cs="Times New Roman"/>
          <w:b/>
          <w:b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color w:val="000000"/>
          <w:sz w:val="22"/>
          <w:szCs w:val="22"/>
        </w:rPr>
      </w:r>
    </w:p>
    <w:p>
      <w:pPr>
        <w:pStyle w:val="Normal"/>
        <w:widowControl/>
        <w:ind w:left="425" w:hanging="0"/>
        <w:jc w:val="both"/>
        <w:rPr>
          <w:rFonts w:ascii="Times New Roman" w:hAnsi="Times New Roman" w:eastAsia="Times New Roman" w:cs="Times New Roman"/>
          <w:b/>
          <w:b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color w:val="000000"/>
          <w:sz w:val="22"/>
          <w:szCs w:val="22"/>
        </w:rPr>
      </w:r>
    </w:p>
    <w:p>
      <w:pPr>
        <w:pStyle w:val="Normal"/>
        <w:rPr/>
      </w:pPr>
      <w:r>
        <w:rPr/>
        <w:t>Tabuľka č. 2</w:t>
      </w:r>
    </w:p>
    <w:tbl>
      <w:tblPr>
        <w:tblStyle w:val="TableNormal"/>
        <w:tblW w:w="9135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insideH w:val="single" w:sz="18" w:space="0" w:color="000000"/>
        </w:tblBorders>
        <w:tblCellMar>
          <w:top w:w="0" w:type="dxa"/>
          <w:left w:w="14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00"/>
        <w:gridCol w:w="2609"/>
        <w:gridCol w:w="3126"/>
      </w:tblGrid>
      <w:tr>
        <w:trPr>
          <w:trHeight w:val="680" w:hRule="atLeast"/>
        </w:trPr>
        <w:tc>
          <w:tcPr>
            <w:tcW w:w="34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Náklady, ktoré majú výnimočný rozsah alebo výskyt</w:t>
            </w:r>
          </w:p>
        </w:tc>
        <w:tc>
          <w:tcPr>
            <w:tcW w:w="260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20" w:hRule="atLeast"/>
        </w:trPr>
        <w:tc>
          <w:tcPr>
            <w:tcW w:w="340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 xml:space="preserve">    </w:t>
            </w:r>
            <w:r>
              <w:rPr>
                <w:color w:val="000000"/>
                <w:sz w:val="22"/>
                <w:szCs w:val="22"/>
              </w:rPr>
              <w:t>Spotreba PHM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453.637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502.064</w:t>
            </w:r>
          </w:p>
        </w:tc>
      </w:tr>
      <w:tr>
        <w:trPr>
          <w:trHeight w:val="320" w:hRule="atLeast"/>
        </w:trPr>
        <w:tc>
          <w:tcPr>
            <w:tcW w:w="340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 xml:space="preserve">    </w:t>
            </w:r>
            <w:r>
              <w:rPr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972.442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 xml:space="preserve">      </w:t>
            </w:r>
            <w:r>
              <w:rPr>
                <w:color w:val="000000"/>
                <w:sz w:val="22"/>
                <w:szCs w:val="22"/>
              </w:rPr>
              <w:t>876.388</w:t>
            </w:r>
          </w:p>
        </w:tc>
      </w:tr>
      <w:tr>
        <w:trPr>
          <w:trHeight w:val="320" w:hRule="atLeast"/>
        </w:trPr>
        <w:tc>
          <w:tcPr>
            <w:tcW w:w="340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40"/>
              <w:rPr/>
            </w:pPr>
            <w:r>
              <w:rPr>
                <w:color w:val="000000"/>
              </w:rPr>
              <w:t> 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</w:rPr>
              <w:t> 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20" w:hRule="atLeast"/>
        </w:trPr>
        <w:tc>
          <w:tcPr>
            <w:tcW w:w="34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40"/>
              <w:rPr/>
            </w:pPr>
            <w:r>
              <w:rPr>
                <w:color w:val="000000"/>
              </w:rPr>
              <w:t> </w:t>
            </w:r>
          </w:p>
        </w:tc>
        <w:tc>
          <w:tcPr>
            <w:tcW w:w="260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</w:rPr>
              <w:t> 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</w:rPr>
              <w:t> </w:t>
            </w:r>
          </w:p>
        </w:tc>
      </w:tr>
    </w:tbl>
    <w:p>
      <w:pPr>
        <w:pStyle w:val="Normal"/>
        <w:spacing w:before="240" w:after="0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>IV. 6</w:t>
        <w:tab/>
        <w:t>Informácia o čistom obrate</w:t>
      </w:r>
    </w:p>
    <w:tbl>
      <w:tblPr>
        <w:tblStyle w:val="TableNormal"/>
        <w:tblW w:w="9075" w:type="dxa"/>
        <w:jc w:val="left"/>
        <w:tblInd w:w="109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90"/>
        <w:gridCol w:w="2324"/>
        <w:gridCol w:w="2161"/>
      </w:tblGrid>
      <w:tr>
        <w:trPr>
          <w:trHeight w:val="1000" w:hRule="atLeast"/>
        </w:trPr>
        <w:tc>
          <w:tcPr>
            <w:tcW w:w="45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Tržby za vlastné výrobky</w:t>
            </w:r>
          </w:p>
        </w:tc>
        <w:tc>
          <w:tcPr>
            <w:tcW w:w="23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Tržby z predaja služieb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   </w:t>
            </w:r>
            <w:r>
              <w:rPr>
                <w:color w:val="000000"/>
                <w:sz w:val="22"/>
                <w:szCs w:val="22"/>
              </w:rPr>
              <w:t>2.539.493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</w:t>
            </w:r>
            <w:r>
              <w:rPr>
                <w:color w:val="000000"/>
                <w:sz w:val="22"/>
                <w:szCs w:val="22"/>
              </w:rPr>
              <w:t>2.383.339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Tržby za tovar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              </w:t>
            </w:r>
            <w:r>
              <w:rPr>
                <w:color w:val="000000"/>
                <w:sz w:val="22"/>
                <w:szCs w:val="22"/>
              </w:rPr>
              <w:t>676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        </w:t>
            </w:r>
            <w:r>
              <w:rPr>
                <w:color w:val="000000"/>
                <w:sz w:val="22"/>
                <w:szCs w:val="22"/>
              </w:rPr>
              <w:t>2.046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Výnosy zo zákazky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Výnosy z nehnuteľnosti na predaj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Čistý obrat celkom</w:t>
            </w:r>
          </w:p>
        </w:tc>
        <w:tc>
          <w:tcPr>
            <w:tcW w:w="2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 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2.540.169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 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2.385.385</w:t>
            </w:r>
          </w:p>
        </w:tc>
      </w:tr>
    </w:tbl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V    Informácie o iných aktívach a iných pasívach</w:t>
      </w:r>
    </w:p>
    <w:p>
      <w:pPr>
        <w:pStyle w:val="Normal"/>
        <w:ind w:left="993" w:hanging="993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</w:rPr>
        <w:t>V. 1 a)</w:t>
        <w:tab/>
        <w:t>Informácie o podmienenom majetku</w:t>
      </w:r>
    </w:p>
    <w:p>
      <w:pPr>
        <w:pStyle w:val="Normal"/>
        <w:ind w:left="993" w:hanging="993"/>
        <w:jc w:val="both"/>
        <w:rPr/>
      </w:pPr>
      <w:r>
        <w:rPr/>
        <w:t>Účtovná jednotka nemá náplň.</w:t>
      </w:r>
    </w:p>
    <w:p>
      <w:pPr>
        <w:pStyle w:val="Normal"/>
        <w:ind w:left="993" w:hanging="993"/>
        <w:jc w:val="both"/>
        <w:rPr/>
      </w:pPr>
      <w:r>
        <w:rPr/>
      </w:r>
    </w:p>
    <w:p>
      <w:pPr>
        <w:pStyle w:val="Normal"/>
        <w:ind w:left="993" w:hanging="993"/>
        <w:jc w:val="both"/>
        <w:rPr/>
      </w:pPr>
      <w:r>
        <w:rPr>
          <w:b/>
        </w:rPr>
        <w:t>V. 1 b)</w:t>
        <w:tab/>
        <w:t>Informácie o podmienených záväzkoch</w:t>
      </w:r>
    </w:p>
    <w:p>
      <w:pPr>
        <w:pStyle w:val="Normal"/>
        <w:ind w:left="993" w:hanging="993"/>
        <w:jc w:val="both"/>
        <w:rPr/>
      </w:pPr>
      <w:r>
        <w:rPr/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V. 2</w:t>
        <w:tab/>
        <w:t>Informácie o ostatných finančných povinnostiach, ktoré sa nevykazujú vo finančných výkazoch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</w:rPr>
        <w:t>V. 3</w:t>
        <w:tab/>
        <w:t>Informácie o údajoch na podsúvahových účtoch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center"/>
        <w:rPr/>
      </w:pPr>
      <w:r>
        <w:rPr>
          <w:b/>
          <w:color w:val="000000"/>
        </w:rPr>
        <w:t>Čl. VI    Udalosti, ktoré nastali po dni, ku ktorému sa zostavuje účtovná závierka</w:t>
      </w:r>
    </w:p>
    <w:p>
      <w:pPr>
        <w:pStyle w:val="Normal"/>
        <w:ind w:left="993" w:hanging="993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widowControl/>
        <w:jc w:val="both"/>
        <w:rPr/>
      </w:pPr>
      <w:r>
        <w:rPr>
          <w:rFonts w:eastAsia="Times New Roman" w:cs="Times New Roman"/>
          <w:b/>
          <w:bCs/>
          <w:color w:val="000000"/>
        </w:rPr>
        <w:t>Informácie o charaktere a finančnom vplyve významných udalostí, ktoré nastali po dni, ku ktorému sa zostavuje účtovná závierka do dňa zostavenia účtovnej závierky</w:t>
      </w:r>
      <w:r>
        <w:rPr>
          <w:rFonts w:eastAsia="Arial" w:cs="Arial"/>
          <w:b/>
          <w:bCs/>
        </w:rPr>
        <w:t>:</w:t>
      </w:r>
    </w:p>
    <w:p>
      <w:pPr>
        <w:pStyle w:val="Normal"/>
        <w:widowControl/>
        <w:jc w:val="both"/>
        <w:rPr/>
      </w:pPr>
      <w:r>
        <w:rPr>
          <w:rFonts w:eastAsia="Arial" w:cs="Arial"/>
        </w:rPr>
        <w:t>Udalosti po súvahovom dni s vplyvom na vykazované bežné obdobie nenastali.</w:t>
      </w:r>
    </w:p>
    <w:p>
      <w:pPr>
        <w:pStyle w:val="Normal"/>
        <w:widowControl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widowControl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center"/>
        <w:rPr/>
      </w:pPr>
      <w:r>
        <w:rPr>
          <w:b/>
          <w:color w:val="000000"/>
        </w:rPr>
        <w:t>Čl. VII    Ostatné informácie</w:t>
      </w:r>
    </w:p>
    <w:p>
      <w:pPr>
        <w:pStyle w:val="Normal"/>
        <w:ind w:left="993" w:hanging="993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VII. 1    Informácie o výlučných právach alebo osobitných právach udelených účtovnej jednotke     </w:t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 xml:space="preserve">Informácie týkajúce sa udelených výlučných práv alebo osobitných práv, a práv poskytovať služby vo verejnom záujme </w:t>
      </w:r>
      <w:r>
        <w:rPr>
          <w:color w:val="000000"/>
        </w:rPr>
        <w:t>(formy prijatej náhrady, účtovné zásady použité pri prideľovaní nákladov a výnosov, všetky druhy činností účtovnej jednotky):</w:t>
      </w:r>
    </w:p>
    <w:p>
      <w:pPr>
        <w:pStyle w:val="Normal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VII. 2 a) </w:t>
        <w:tab/>
        <w:t>Informácie týkajúce sa účtovnej jednotky, na ktorú sa vzťahuje § 23d ods. 6 ZoÚ, ktorej činnosť je zaradená do kategórie priemyselnej výroby a jej čistý obrat za bezprostredne predchádzajúce účtovné obdobie bol väčší ako 250 000 000 €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VII. 2 b) - g) Informácie týkajúce sa účtovnej jednotky, na ktorú sa vzťahuje § 23d ods. 6 ZoÚ, ktorej činnosť je zaradená do kategórie priemyslenej výroby a jej čistý obrat za bezprostredne predchádzajúce účtovné obdobie bol väčší ako 250 000 000 €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9" w:hanging="709"/>
        <w:jc w:val="both"/>
        <w:rPr/>
      </w:pPr>
      <w:r>
        <w:rPr>
          <w:b/>
          <w:color w:val="000000"/>
        </w:rPr>
        <w:t xml:space="preserve">VII. 3 </w:t>
        <w:tab/>
        <w:t>Informácie týkajúce sa účtovnej jednotky, na ktorú sa vzťahuje § 23d ods. 6 ZoÚ, jej</w:t>
      </w:r>
    </w:p>
    <w:p>
      <w:pPr>
        <w:pStyle w:val="Normal"/>
        <w:ind w:left="709" w:hanging="709"/>
        <w:jc w:val="both"/>
        <w:rPr/>
      </w:pPr>
      <w:r>
        <w:rPr>
          <w:b/>
          <w:color w:val="000000"/>
        </w:rPr>
        <w:t xml:space="preserve">        </w:t>
      </w:r>
      <w:r>
        <w:rPr>
          <w:b/>
          <w:color w:val="000000"/>
        </w:rPr>
        <w:t>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p>
      <w:pPr>
        <w:pStyle w:val="Normal"/>
        <w:ind w:left="709" w:hanging="709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ind w:left="709" w:hanging="709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9" w:hanging="709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9" w:hanging="709"/>
        <w:jc w:val="both"/>
        <w:rPr/>
      </w:pPr>
      <w:r>
        <w:rPr>
          <w:b/>
          <w:color w:val="000000"/>
        </w:rPr>
        <w:t xml:space="preserve">VII. 4 </w:t>
        <w:tab/>
        <w:t>Informácie o vlastnom imaní</w:t>
      </w:r>
    </w:p>
    <w:p>
      <w:pPr>
        <w:pStyle w:val="Normal"/>
        <w:widowControl/>
        <w:ind w:left="426" w:hanging="0"/>
        <w:jc w:val="both"/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eastAsia="Times New Roman" w:cs="Times New Roman"/>
          <w:b/>
          <w:color w:val="000000"/>
        </w:rPr>
        <w:t xml:space="preserve">       </w:t>
      </w:r>
      <w:r>
        <w:rPr>
          <w:rFonts w:eastAsia="Times New Roman" w:cs="Times New Roman"/>
          <w:color w:val="000000"/>
        </w:rPr>
        <w:t xml:space="preserve">Prehľad o pohybe vlastného imania za bežné a bezprostredne predchádzajúce účtovné obdobie je uvedený v nasledujúcich tabuľkách: </w:t>
      </w:r>
    </w:p>
    <w:p>
      <w:pPr>
        <w:pStyle w:val="Normal"/>
        <w:widowControl/>
        <w:ind w:left="426" w:hanging="0"/>
        <w:jc w:val="both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</w:r>
    </w:p>
    <w:p>
      <w:pPr>
        <w:pStyle w:val="Normal"/>
        <w:widowControl/>
        <w:ind w:left="426" w:hanging="0"/>
        <w:jc w:val="both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</w:r>
    </w:p>
    <w:p>
      <w:pPr>
        <w:pStyle w:val="Normal"/>
        <w:widowControl/>
        <w:jc w:val="both"/>
        <w:rPr>
          <w:sz w:val="22"/>
          <w:szCs w:val="22"/>
        </w:rPr>
      </w:pPr>
      <w:bookmarkStart w:id="3" w:name="_30j0zll"/>
      <w:bookmarkEnd w:id="3"/>
      <w:r>
        <w:rPr>
          <w:rFonts w:eastAsia="Times New Roman" w:cs="Times New Roman"/>
          <w:color w:val="000000"/>
          <w:sz w:val="22"/>
          <w:szCs w:val="22"/>
        </w:rPr>
        <w:t>Tabuľka č. 1</w:t>
      </w:r>
    </w:p>
    <w:tbl>
      <w:tblPr>
        <w:tblStyle w:val="TableNormal"/>
        <w:tblW w:w="9360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40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3948"/>
        <w:gridCol w:w="1090"/>
        <w:gridCol w:w="1080"/>
        <w:gridCol w:w="1082"/>
        <w:gridCol w:w="1019"/>
        <w:gridCol w:w="1140"/>
      </w:tblGrid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Položka vlastného imania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</w:t>
            </w:r>
            <w:r>
              <w:rPr>
                <w:b/>
                <w:bCs/>
                <w:sz w:val="22"/>
                <w:szCs w:val="22"/>
              </w:rPr>
              <w:t>Bežné</w:t>
            </w:r>
          </w:p>
        </w:tc>
        <w:tc>
          <w:tcPr>
            <w:tcW w:w="1082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účtovné</w:t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obdobie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Stav na zač. ÚO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Stav na konci ÚO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a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d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f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1.231.427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432.779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374.652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1.289.554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 precenenia pri zlúčení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Zákonný rezervný fond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eastAsia="Times New Roman" w:cs="Times New Roman"/>
                <w:color w:val="FF0000"/>
                <w:sz w:val="22"/>
                <w:szCs w:val="22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eastAsia="Times New Roman" w:cs="Times New Roman"/>
                <w:color w:val="FF0000"/>
                <w:sz w:val="22"/>
                <w:szCs w:val="22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eastAsia="Times New Roman" w:cs="Times New Roman"/>
                <w:color w:val="FF0000"/>
                <w:sz w:val="22"/>
                <w:szCs w:val="22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  <w:t xml:space="preserve">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  <w:r>
              <w:rPr>
                <w:rFonts w:eastAsia="Times New Roman" w:cs="Times New Roman"/>
                <w:color w:val="FF0000"/>
                <w:sz w:val="22"/>
                <w:szCs w:val="22"/>
              </w:rPr>
              <w:t xml:space="preserve">    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>Zákonný rezervný fond z kapitálových vkladov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  <w:highlight w:val="yellow"/>
              </w:rPr>
              <w:t xml:space="preserve">           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trike/>
                <w:sz w:val="22"/>
                <w:szCs w:val="22"/>
                <w:highlight w:val="yellow"/>
              </w:rPr>
            </w:pPr>
            <w:r>
              <w:rPr>
                <w:strike/>
                <w:sz w:val="22"/>
                <w:szCs w:val="22"/>
                <w:highlight w:val="yellow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trike/>
                <w:sz w:val="22"/>
                <w:szCs w:val="22"/>
                <w:highlight w:val="yellow"/>
              </w:rPr>
            </w:pPr>
            <w:r>
              <w:rPr>
                <w:strike/>
                <w:sz w:val="22"/>
                <w:szCs w:val="22"/>
                <w:highlight w:val="yellow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trike/>
                <w:sz w:val="22"/>
                <w:szCs w:val="22"/>
                <w:highlight w:val="yellow"/>
              </w:rPr>
            </w:pPr>
            <w:r>
              <w:rPr>
                <w:strike/>
                <w:sz w:val="22"/>
                <w:szCs w:val="22"/>
                <w:highlight w:val="yellow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  <w:highlight w:val="yellow"/>
              </w:rPr>
              <w:t xml:space="preserve">             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Štatutárne fondy a ostatné fondy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1.043.807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194.335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1.029.789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Výsledok hospodárenia bežného ÚO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</w:tr>
    </w:tbl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/>
      </w:pPr>
      <w:r>
        <w:rPr>
          <w:rFonts w:eastAsia="Times New Roman" w:cs="Times New Roman"/>
          <w:color w:val="000000"/>
          <w:sz w:val="22"/>
          <w:szCs w:val="22"/>
        </w:rPr>
        <w:t>Tabuľka č. 2</w:t>
        <w:tab/>
      </w:r>
      <w:r>
        <w:rPr>
          <w:rFonts w:eastAsia="Times New Roman" w:cs="Times New Roman" w:ascii="Times New Roman" w:hAnsi="Times New Roman"/>
          <w:color w:val="000000"/>
          <w:sz w:val="22"/>
          <w:szCs w:val="22"/>
        </w:rPr>
        <w:tab/>
        <w:tab/>
        <w:tab/>
        <w:tab/>
      </w:r>
    </w:p>
    <w:tbl>
      <w:tblPr>
        <w:tblStyle w:val="TableNormal"/>
        <w:tblW w:w="9465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40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3513"/>
        <w:gridCol w:w="1485"/>
        <w:gridCol w:w="1575"/>
        <w:gridCol w:w="931"/>
        <w:gridCol w:w="884"/>
        <w:gridCol w:w="1076"/>
      </w:tblGrid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Položka vlastného imania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Bezprostredne</w:t>
            </w:r>
          </w:p>
        </w:tc>
        <w:tc>
          <w:tcPr>
            <w:tcW w:w="157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b/>
                <w:bCs/>
                <w:sz w:val="22"/>
                <w:szCs w:val="22"/>
              </w:rPr>
              <w:t>predchádzajúce</w:t>
            </w:r>
          </w:p>
        </w:tc>
        <w:tc>
          <w:tcPr>
            <w:tcW w:w="931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účtovné</w:t>
            </w:r>
          </w:p>
        </w:tc>
        <w:tc>
          <w:tcPr>
            <w:tcW w:w="8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obdobie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Stav na </w:t>
            </w:r>
          </w:p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zač. ÚO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Stav na konci ÚO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a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f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1.329.915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284.684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383.172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1.231.427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Oceň.rozdiely z precen.majetku a záväzkov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Oceň.rozdiely z precenenia pri zlúčení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Zákonný rezervný fond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  <w:highlight w:val="yellow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highlight w:val="yellow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  <w:r>
              <w:rPr>
                <w:rFonts w:eastAsia="Times New Roman" w:cs="Times New Roman"/>
                <w:color w:val="000000"/>
                <w:sz w:val="22"/>
                <w:szCs w:val="22"/>
                <w:highlight w:val="yellow"/>
              </w:rPr>
              <w:t xml:space="preserve">      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>Zákonný rezervný fond z kapit. vkl.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                     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                 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Štatutárne fondy a ostatné fondy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1.218.245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104.367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278.805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1.043.807</w:t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Výsledok hospodárenia bežného ÚO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104.367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104.367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</w:tr>
    </w:tbl>
    <w:p>
      <w:pPr>
        <w:pStyle w:val="Normal"/>
        <w:widowControl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567" w:top="1418" w:footer="567" w:bottom="1418" w:gutter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Arial Unicode MS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/>
      <w:tabs>
        <w:tab w:val="clear" w:pos="720"/>
        <w:tab w:val="center" w:pos="4536" w:leader="none"/>
        <w:tab w:val="right" w:pos="9072" w:leader="none"/>
      </w:tabs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12</w:t>
    </w:r>
    <w:r>
      <w:rPr/>
      <w:fldChar w:fldCharType="end"/>
    </w:r>
  </w:p>
  <w:p>
    <w:pPr>
      <w:pStyle w:val="Normal"/>
      <w:widowControl/>
      <w:tabs>
        <w:tab w:val="clear" w:pos="720"/>
        <w:tab w:val="center" w:pos="4536" w:leader="none"/>
        <w:tab w:val="right" w:pos="9072" w:leader="none"/>
      </w:tabs>
      <w:rPr>
        <w:rFonts w:ascii="Times New Roman" w:hAnsi="Times New Roman" w:eastAsia="Times New Roman" w:cs="Times New Roman"/>
        <w:color w:val="000000"/>
      </w:rPr>
    </w:pPr>
    <w:r>
      <w:rPr>
        <w:rFonts w:eastAsia="Times New Roman" w:cs="Times New Roman" w:ascii="Times New Roman" w:hAnsi="Times New Roman"/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76"/>
      <w:rPr>
        <w:color w:val="000000"/>
        <w:sz w:val="22"/>
        <w:szCs w:val="22"/>
      </w:rPr>
    </w:pPr>
    <w:r>
      <w:rPr>
        <w:color w:val="000000"/>
        <w:sz w:val="22"/>
        <w:szCs w:val="22"/>
      </w:rPr>
    </w:r>
  </w:p>
  <w:tbl>
    <w:tblPr>
      <w:tblStyle w:val="TableNormal"/>
      <w:tblW w:w="8445" w:type="dxa"/>
      <w:jc w:val="left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103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2876"/>
      <w:gridCol w:w="1521"/>
      <w:gridCol w:w="672"/>
      <w:gridCol w:w="359"/>
      <w:gridCol w:w="336"/>
      <w:gridCol w:w="337"/>
      <w:gridCol w:w="334"/>
      <w:gridCol w:w="335"/>
      <w:gridCol w:w="337"/>
      <w:gridCol w:w="336"/>
      <w:gridCol w:w="334"/>
      <w:gridCol w:w="335"/>
      <w:gridCol w:w="332"/>
    </w:tblGrid>
    <w:tr>
      <w:trPr>
        <w:trHeight w:val="320" w:hRule="atLeast"/>
      </w:trPr>
      <w:tc>
        <w:tcPr>
          <w:tcW w:w="28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</w:tcPr>
        <w:p>
          <w:pPr>
            <w:pStyle w:val="Normal"/>
            <w:rPr/>
          </w:pPr>
          <w:r>
            <w:rPr>
              <w:rFonts w:eastAsia="Arial" w:cs="Arial" w:ascii="Arial" w:hAnsi="Arial"/>
              <w:color w:val="000000"/>
              <w:sz w:val="20"/>
              <w:szCs w:val="20"/>
            </w:rPr>
            <w:t>poznámky Úč PODV 3 -01</w:t>
          </w:r>
        </w:p>
      </w:tc>
      <w:tc>
        <w:tcPr>
          <w:tcW w:w="152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</w:tcPr>
        <w:p>
          <w:pPr>
            <w:pStyle w:val="Normal"/>
            <w:jc w:val="center"/>
            <w:rPr>
              <w:rFonts w:ascii="Arial" w:hAnsi="Arial" w:eastAsia="Arial" w:cs="Arial"/>
              <w:color w:val="000000"/>
              <w:sz w:val="22"/>
              <w:szCs w:val="22"/>
            </w:rPr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</w:r>
        </w:p>
      </w:tc>
      <w:tc>
        <w:tcPr>
          <w:tcW w:w="672" w:type="dxa"/>
          <w:tcBorders>
            <w:top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</w:tcPr>
        <w:p>
          <w:pPr>
            <w:pStyle w:val="Normal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IČO</w:t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3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6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3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6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8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5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3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rFonts w:ascii="Arial" w:hAnsi="Arial" w:eastAsia="Arial" w:cs="Arial"/>
              <w:sz w:val="22"/>
              <w:szCs w:val="22"/>
            </w:rPr>
          </w:pPr>
          <w:r>
            <w:rPr>
              <w:rFonts w:eastAsia="Arial" w:cs="Arial" w:ascii="Arial" w:hAnsi="Arial"/>
              <w:sz w:val="22"/>
              <w:szCs w:val="22"/>
            </w:rPr>
          </w:r>
        </w:p>
      </w:tc>
      <w:tc>
        <w:tcPr>
          <w:tcW w:w="3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rFonts w:ascii="Arial" w:hAnsi="Arial" w:eastAsia="Arial" w:cs="Arial"/>
              <w:sz w:val="22"/>
              <w:szCs w:val="22"/>
            </w:rPr>
          </w:pPr>
          <w:r>
            <w:rPr>
              <w:rFonts w:eastAsia="Arial" w:cs="Arial" w:ascii="Arial" w:hAnsi="Arial"/>
              <w:sz w:val="22"/>
              <w:szCs w:val="22"/>
            </w:rPr>
          </w:r>
        </w:p>
      </w:tc>
    </w:tr>
    <w:tr>
      <w:trPr>
        <w:trHeight w:val="320" w:hRule="atLeast"/>
      </w:trPr>
      <w:tc>
        <w:tcPr>
          <w:tcW w:w="28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</w:tcPr>
        <w:p>
          <w:pPr>
            <w:pStyle w:val="Normal"/>
            <w:rPr>
              <w:rFonts w:ascii="Arial" w:hAnsi="Arial" w:eastAsia="Arial" w:cs="Arial"/>
              <w:color w:val="000000"/>
              <w:sz w:val="22"/>
              <w:szCs w:val="22"/>
            </w:rPr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</w:r>
        </w:p>
      </w:tc>
      <w:tc>
        <w:tcPr>
          <w:tcW w:w="152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</w:tcPr>
        <w:p>
          <w:pPr>
            <w:pStyle w:val="Normal"/>
            <w:jc w:val="center"/>
            <w:rPr>
              <w:rFonts w:ascii="Arial" w:hAnsi="Arial" w:eastAsia="Arial" w:cs="Arial"/>
              <w:color w:val="000000"/>
              <w:sz w:val="22"/>
              <w:szCs w:val="22"/>
            </w:rPr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</w:r>
        </w:p>
      </w:tc>
      <w:tc>
        <w:tcPr>
          <w:tcW w:w="672" w:type="dxa"/>
          <w:tcBorders>
            <w:top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</w:tcPr>
        <w:p>
          <w:pPr>
            <w:pStyle w:val="Normal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DIČ</w:t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0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2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0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1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5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5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6</w:t>
          </w:r>
        </w:p>
      </w:tc>
      <w:tc>
        <w:tcPr>
          <w:tcW w:w="3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9</w:t>
          </w:r>
        </w:p>
      </w:tc>
    </w:tr>
  </w:tbl>
  <w:p>
    <w:pPr>
      <w:pStyle w:val="Normal"/>
      <w:widowControl/>
      <w:tabs>
        <w:tab w:val="clear" w:pos="720"/>
        <w:tab w:val="center" w:pos="4703" w:leader="none"/>
        <w:tab w:val="right" w:pos="9406" w:leader="none"/>
      </w:tabs>
      <w:rPr>
        <w:rFonts w:ascii="Arial" w:hAnsi="Arial" w:eastAsia="Arial" w:cs="Arial"/>
        <w:color w:val="000000"/>
      </w:rPr>
    </w:pPr>
    <w:r>
      <w:rPr>
        <w:rFonts w:eastAsia="Arial" w:cs="Arial" w:ascii="Arial" w:hAnsi="Arial"/>
        <w:color w:val="000000"/>
      </w:rPr>
    </w:r>
  </w:p>
  <w:p>
    <w:pPr>
      <w:pStyle w:val="Normal"/>
      <w:widowControl/>
      <w:tabs>
        <w:tab w:val="clear" w:pos="720"/>
        <w:tab w:val="center" w:pos="4703" w:leader="none"/>
        <w:tab w:val="right" w:pos="9406" w:leader="none"/>
      </w:tabs>
      <w:rPr/>
    </w:pPr>
    <w:r>
      <w:rPr>
        <w:rFonts w:eastAsia="Arial" w:cs="Arial" w:ascii="Arial" w:hAnsi="Arial"/>
        <w:color w:val="000000"/>
      </w:rPr>
      <w:tab/>
    </w:r>
  </w:p>
  <w:p>
    <w:pPr>
      <w:pStyle w:val="Normal"/>
      <w:widowControl/>
      <w:tabs>
        <w:tab w:val="clear" w:pos="720"/>
        <w:tab w:val="center" w:pos="4703" w:leader="none"/>
        <w:tab w:val="right" w:pos="9406" w:leader="none"/>
      </w:tabs>
      <w:rPr>
        <w:rFonts w:ascii="Arial" w:hAnsi="Arial" w:eastAsia="Arial" w:cs="Arial"/>
        <w:color w:val="000000"/>
      </w:rPr>
    </w:pPr>
    <w:r>
      <w:rPr>
        <w:rFonts w:eastAsia="Arial" w:cs="Arial" w:ascii="Arial" w:hAnsi="Arial"/>
        <w:color w:val="000000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 Unicode MS"/>
        <w:szCs w:val="24"/>
        <w:lang w:val="sk-SK" w:eastAsia="zh-CN" w:bidi="hi-I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jc w:val="left"/>
    </w:pPr>
    <w:rPr>
      <w:rFonts w:ascii="Calibri" w:hAnsi="Calibri" w:eastAsia="NSimSun" w:cs="Arial Unicode MS"/>
      <w:color w:val="auto"/>
      <w:kern w:val="0"/>
      <w:sz w:val="24"/>
      <w:szCs w:val="24"/>
      <w:lang w:val="sk-SK" w:eastAsia="zh-CN" w:bidi="hi-IN"/>
    </w:rPr>
  </w:style>
  <w:style w:type="paragraph" w:styleId="Nadpis1">
    <w:name w:val="Heading 1"/>
    <w:basedOn w:val="Normal"/>
    <w:next w:val="LOnormal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LOnormal"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LOnormal"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LOnormal"/>
    <w:qFormat/>
    <w:pPr>
      <w:keepNext w:val="true"/>
      <w:keepLines/>
      <w:spacing w:before="240" w:after="40"/>
      <w:outlineLvl w:val="3"/>
    </w:pPr>
    <w:rPr>
      <w:b/>
    </w:rPr>
  </w:style>
  <w:style w:type="paragraph" w:styleId="Nadpis5">
    <w:name w:val="Heading 5"/>
    <w:basedOn w:val="Normal"/>
    <w:next w:val="LOnormal"/>
    <w:qFormat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LOnormal"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LOnormal" w:customStyle="1">
    <w:name w:val="LO-normal"/>
    <w:qFormat/>
    <w:pPr>
      <w:widowControl/>
      <w:bidi w:val="0"/>
      <w:jc w:val="left"/>
    </w:pPr>
    <w:rPr>
      <w:rFonts w:ascii="Calibri" w:hAnsi="Calibri" w:eastAsia="NSimSun" w:cs="Arial Unicode MS"/>
      <w:color w:val="auto"/>
      <w:kern w:val="0"/>
      <w:sz w:val="24"/>
      <w:szCs w:val="24"/>
      <w:lang w:val="sk-SK" w:eastAsia="zh-CN" w:bidi="hi-IN"/>
    </w:rPr>
  </w:style>
  <w:style w:type="paragraph" w:styleId="Nzov">
    <w:name w:val="Title"/>
    <w:basedOn w:val="LOnormal"/>
    <w:next w:val="LOnormal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LOnormal"/>
    <w:next w:val="LOnormal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Default" w:customStyle="1">
    <w:name w:val="Default"/>
    <w:qFormat/>
    <w:rsid w:val="00a80994"/>
    <w:pPr>
      <w:widowControl/>
      <w:bidi w:val="0"/>
      <w:jc w:val="left"/>
    </w:pPr>
    <w:rPr>
      <w:rFonts w:ascii="Times New Roman" w:hAnsi="Times New Roman" w:eastAsia="Cambria" w:cs="Times New Roman" w:eastAsiaTheme="minorHAnsi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CF523D-5F50-46C1-88F4-CDA2EFA9A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Application>LibreOffice/6.1.2.1$Windows_X86_64 LibreOffice_project/65905a128db06ba48db947242809d14d3f9a93fe</Application>
  <Pages>12</Pages>
  <Words>2254</Words>
  <Characters>13412</Characters>
  <CharactersWithSpaces>18184</CharactersWithSpaces>
  <Paragraphs>571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2020-03-26T14:29:00Z</dcterms:created>
  <dc:creator>Zuzana</dc:creator>
  <dc:description/>
  <dc:language>sk-SK</dc:language>
  <cp:lastModifiedBy/>
  <cp:lastPrinted>2021-03-26T10:37:00Z</cp:lastPrinted>
  <dcterms:modified xsi:type="dcterms:W3CDTF">2021-03-31T09:03:15Z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