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rPr/>
      </w:pPr>
      <w:r>
        <w:rPr/>
      </w:r>
    </w:p>
    <w:p>
      <w:pPr>
        <w:pStyle w:val="Default"/>
        <w:rPr/>
      </w:pPr>
      <w:r>
        <w:rPr/>
        <w:t xml:space="preserve"> </w:t>
      </w:r>
    </w:p>
    <w:p>
      <w:pPr>
        <w:pStyle w:val="Default"/>
        <w:rPr/>
      </w:pPr>
      <w:r>
        <w:rPr>
          <w:sz w:val="22"/>
          <w:szCs w:val="22"/>
        </w:rPr>
        <w:t>Obdobie: 1.1.-31.12.20</w:t>
      </w:r>
      <w:r>
        <w:rPr>
          <w:sz w:val="22"/>
          <w:szCs w:val="22"/>
        </w:rPr>
        <w:t>20</w:t>
      </w:r>
    </w:p>
    <w:p>
      <w:pPr>
        <w:pStyle w:val="Default"/>
        <w:rPr>
          <w:color w:val="00000A"/>
        </w:rPr>
      </w:pPr>
      <w:r>
        <w:rPr>
          <w:color w:val="00000A"/>
        </w:rPr>
      </w:r>
    </w:p>
    <w:p>
      <w:pPr>
        <w:pStyle w:val="Default"/>
        <w:rPr>
          <w:color w:val="00000A"/>
        </w:rPr>
      </w:pPr>
      <w:r>
        <w:rPr>
          <w:color w:val="00000A"/>
        </w:rPr>
      </w:r>
    </w:p>
    <w:p>
      <w:pPr>
        <w:pStyle w:val="Default"/>
        <w:rPr>
          <w:color w:val="00000A"/>
        </w:rPr>
      </w:pPr>
      <w:r>
        <w:rPr>
          <w:color w:val="00000A"/>
        </w:rPr>
      </w:r>
    </w:p>
    <w:p>
      <w:pPr>
        <w:pStyle w:val="Default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 xml:space="preserve">Čl. I Všeobecné údaje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 xml:space="preserve">Názov právnickej osoby a jej sídlo: </w:t>
      </w:r>
    </w:p>
    <w:p>
      <w:pPr>
        <w:pStyle w:val="Default"/>
        <w:rPr>
          <w:color w:val="00000A"/>
          <w:sz w:val="22"/>
          <w:szCs w:val="22"/>
        </w:rPr>
      </w:pPr>
      <w:r>
        <w:rPr>
          <w:i/>
          <w:iCs/>
          <w:color w:val="00000A"/>
          <w:sz w:val="22"/>
          <w:szCs w:val="22"/>
        </w:rPr>
        <w:t xml:space="preserve">Zmysel Života s.r.o. </w:t>
      </w:r>
    </w:p>
    <w:p>
      <w:pPr>
        <w:pStyle w:val="Default"/>
        <w:rPr>
          <w:color w:val="00000A"/>
          <w:sz w:val="22"/>
          <w:szCs w:val="22"/>
        </w:rPr>
      </w:pPr>
      <w:r>
        <w:rPr>
          <w:i/>
          <w:iCs/>
          <w:color w:val="00000A"/>
          <w:sz w:val="22"/>
          <w:szCs w:val="22"/>
        </w:rPr>
        <w:t>Pod rovnicami 13</w:t>
      </w:r>
    </w:p>
    <w:p>
      <w:pPr>
        <w:pStyle w:val="Default"/>
        <w:rPr>
          <w:i/>
          <w:i/>
          <w:iCs/>
          <w:color w:val="00000A"/>
          <w:sz w:val="22"/>
          <w:szCs w:val="22"/>
        </w:rPr>
      </w:pPr>
      <w:r>
        <w:rPr>
          <w:i/>
          <w:iCs/>
          <w:color w:val="00000A"/>
          <w:sz w:val="22"/>
          <w:szCs w:val="22"/>
        </w:rPr>
        <w:t>841 04 Bratislava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 xml:space="preserve">Údaje o konsolidovanom celku: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1) Spoločnosť nie je súčasťou konsolidovaného celku.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2) Spoločnosť nemá povinnosť vykonať konsolidovanú účtovnú závierku v zmysle ustanovení § 22 ods. 10 alebo ods. 12 zákona č. 431/2002 Z.z. Zákon o účtovníctve.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3) Obchodné meno a sídlo dcérskych účtovných jednotiek: Spoločnosť nemá podiel v žiadnych dcérskych účtovných jednotkách.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4) Priemerný prepočítaný počet zamestnancov: 0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 xml:space="preserve">Čl. II Informácie o prijatých postupoch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1) Účtovná závierka bola zostavená za predpokladu nepretržitého trvania Spoločnosti.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2) Spoločnosť oceňuje majetok a záväzky ku dňu uskutočneniu účtovného prípadu.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3) Ku dňu uskutočnenia účtovného prípadu oceňovala spoločnosť DHM, DNM a FM nadobudnutý kúpou obstarávacou cenou.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4) Ku dňu uskutočnenia účtovného prípadu oceňovala spoločnosť menovitou hodnotou zásoby, peňažné prostriedky, krátkodobý finančný majetok, záväzky (vrátane rezerv, dlhopisov, pôžičiek a úverov) a pohľadávky pri ich vzniku.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5) Odpisový plán spoločnosti: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  <w:r>
        <w:br w:type="page"/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Nehmotný majetok</w:t>
      </w:r>
      <w:r>
        <w:rPr>
          <w:color w:val="00000A"/>
          <w:sz w:val="22"/>
          <w:szCs w:val="22"/>
        </w:rPr>
        <w:t xml:space="preserve">, ktorého ocenenie sa rovná alebo je nižšie ako 2.400 EUR sa účtuje na ťarchu účtu 518-Ostatné služby. Nehmotný majetok, ktorého ocenenie je vyššie, zaradí spoločnosť do dlhodobého nehmotného majetku. </w:t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Hmotný majetok</w:t>
      </w:r>
      <w:r>
        <w:rPr>
          <w:color w:val="00000A"/>
          <w:sz w:val="22"/>
          <w:szCs w:val="22"/>
        </w:rPr>
        <w:t xml:space="preserve">, ktorého ocenenie sa rovná alebo je nižšie ako 1.700 EUR sa účtuje na ťarchu účtu 501-Spotreba materiálu. Hmotný majetok, ktorého ocenenie je vyššie, zaradí spoločnosť do dlhodobého hmotného majetku.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Spoločnosť stanovila interným predpisom, že účtovné odpisy dlhodobého majetku sa rovnajú daňovým odpisom.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6) Spoločnosť v sledovanom období neprijala žiadne dotácie.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7) Spoločnosť v sledovanom období neúčtovala o významných opravách chýb minulých účtovných období.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 xml:space="preserve">Čl. III Informácie, ktoré vysvetľujú a dopĺňajú súvahu a výkaz ziskov a strát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1) Spoločnosť v sledovanom období neúčtovala o nákladoch alebo výnosoch, ktoré majú výnimočný rozsah alebo výskyt (predaj podniku, živelné pohromy a podobne)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2) Výška záväzkov s dobou splatnosti nad 5 rokov: 0,00 EUR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3) Výška zabezpečených záväzkov: 0,00 EUR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Opis zabezpečených záväzkov: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4) Spoločnosť v sledovanom období nenadobudla vlastné akcie.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5) Spoločnosť v sledovanom období neposkytla ani neodpustila žiadnym riadiacim alebo kontrolným orgánom spoločnosti záruky, pôžičky alebo iné zabezpečenia, finančné prostriedky alebo iné plnenia.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6) spoločnosť neeviduje žiadne pohľadávky alebo záväzky neuvedené v súvahe.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7) spoločnosť neeviduje ani neúčtuje o žiadnych významných povinnostiach vyplývajúcich z dôchodkových programov pre zamestnancov.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/>
      </w:pPr>
      <w:r>
        <w:rPr/>
      </w:r>
    </w:p>
    <w:sectPr>
      <w:headerReference w:type="default" r:id="rId2"/>
      <w:type w:val="nextPage"/>
      <w:pgSz w:w="11906" w:h="17338"/>
      <w:pgMar w:left="1190" w:right="1085" w:header="708" w:top="1142" w:footer="0" w:bottom="1417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Default"/>
      <w:rPr>
        <w:b/>
        <w:b/>
        <w:bCs/>
        <w:sz w:val="22"/>
        <w:szCs w:val="22"/>
      </w:rPr>
    </w:pPr>
    <w:r>
      <w:rPr>
        <w:i/>
        <w:iCs/>
        <w:sz w:val="22"/>
        <w:szCs w:val="22"/>
      </w:rPr>
      <w:t xml:space="preserve">Poznámky Úč MÚJ 3 – 01        </w:t>
    </w:r>
    <w:r>
      <w:rPr>
        <w:b/>
        <w:bCs/>
        <w:sz w:val="22"/>
        <w:szCs w:val="22"/>
      </w:rPr>
      <w:t xml:space="preserve">IČO: 51143453              DIČ: 2120608193 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4816f4"/>
    <w:rPr/>
  </w:style>
  <w:style w:type="character" w:styleId="PtaChar" w:customStyle="1">
    <w:name w:val="Päta Char"/>
    <w:basedOn w:val="DefaultParagraphFont"/>
    <w:link w:val="Pta"/>
    <w:uiPriority w:val="99"/>
    <w:qFormat/>
    <w:rsid w:val="004816f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4816f4"/>
    <w:pPr>
      <w:widowControl/>
      <w:bidi w:val="0"/>
      <w:spacing w:lineRule="auto" w:line="240" w:before="0" w:after="0"/>
      <w:jc w:val="left"/>
    </w:pPr>
    <w:rPr>
      <w:rFonts w:ascii="Calibri" w:hAnsi="Calibri" w:cs="Calibri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lavikaChar"/>
    <w:uiPriority w:val="99"/>
    <w:unhideWhenUsed/>
    <w:rsid w:val="004816f4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4816f4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LibreOffice/5.4.4.2$Windows_X86_64 LibreOffice_project/2524958677847fb3bb44820e40380acbe820f960</Application>
  <Pages>2</Pages>
  <Words>371</Words>
  <Characters>2329</Characters>
  <CharactersWithSpaces>2719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2020-07-10T11:23:00Z</dcterms:created>
  <dc:creator>Gabriela Petreková | ARISAN</dc:creator>
  <dc:description/>
  <dc:language>sk-SK</dc:language>
  <cp:lastModifiedBy/>
  <dcterms:modified xsi:type="dcterms:W3CDTF">2021-03-30T11:28:11Z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