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BAC" w:rsidRDefault="00620BAC">
      <w:pPr>
        <w:pageBreakBefore/>
        <w:jc w:val="center"/>
        <w:rPr>
          <w:rFonts w:ascii="Arial" w:eastAsia="TimesNewRomanPS-BoldMT" w:hAnsi="Arial" w:cs="Arial"/>
          <w:b/>
          <w:bCs/>
        </w:rPr>
      </w:pPr>
      <w:r>
        <w:rPr>
          <w:rFonts w:ascii="Arial" w:eastAsia="TimesNewRomanPS-BoldMT" w:hAnsi="Arial" w:cs="Arial"/>
          <w:b/>
          <w:bCs/>
        </w:rPr>
        <w:t>I. Všeobecné informácie</w:t>
      </w:r>
    </w:p>
    <w:p w:rsidR="00620BAC" w:rsidRDefault="00620BAC">
      <w:pPr>
        <w:jc w:val="center"/>
        <w:rPr>
          <w:rFonts w:ascii="Arial" w:eastAsia="TimesNewRomanPS-BoldMT" w:hAnsi="Arial" w:cs="Arial"/>
          <w:b/>
          <w:bCs/>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a) Údaje o konsolidovanom celku</w:t>
      </w:r>
    </w:p>
    <w:p w:rsidR="00620BAC" w:rsidRDefault="00620BAC">
      <w:pPr>
        <w:rPr>
          <w:rFonts w:ascii="Arial" w:eastAsia="TimesNewRomanPS-BoldMT" w:hAnsi="Arial" w:cs="Arial"/>
          <w:bCs/>
          <w:sz w:val="20"/>
          <w:szCs w:val="20"/>
        </w:rPr>
      </w:pPr>
      <w:r>
        <w:rPr>
          <w:rFonts w:ascii="Arial" w:eastAsia="TimesNewRomanPS-BoldMT" w:hAnsi="Arial" w:cs="Arial"/>
          <w:bCs/>
          <w:sz w:val="20"/>
          <w:szCs w:val="20"/>
        </w:rPr>
        <w:t>Spoločnosť nie j</w:t>
      </w:r>
      <w:r w:rsidR="00BC713E">
        <w:rPr>
          <w:rFonts w:ascii="Arial" w:eastAsia="TimesNewRomanPS-BoldMT" w:hAnsi="Arial" w:cs="Arial"/>
          <w:bCs/>
          <w:sz w:val="20"/>
          <w:szCs w:val="20"/>
        </w:rPr>
        <w:t>e súčasťou konsolidovaného celku</w:t>
      </w:r>
    </w:p>
    <w:p w:rsidR="00620BAC" w:rsidRDefault="00620BAC">
      <w:pPr>
        <w:rPr>
          <w:rFonts w:ascii="Arial" w:eastAsia="TimesNewRomanPS-BoldMT" w:hAnsi="Arial" w:cs="Arial"/>
          <w:bCs/>
          <w:sz w:val="20"/>
          <w:szCs w:val="20"/>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b) Priemerný prepočítaný počet zamestnancov</w:t>
      </w:r>
    </w:p>
    <w:p w:rsidR="00620BAC" w:rsidRDefault="00620BAC">
      <w:pPr>
        <w:rPr>
          <w:rFonts w:ascii="Arial" w:eastAsia="TimesNewRomanPS-BoldMT" w:hAnsi="Arial" w:cs="Arial"/>
          <w:b/>
          <w:bCs/>
        </w:rPr>
      </w:pPr>
      <w:r>
        <w:rPr>
          <w:rFonts w:ascii="Arial" w:eastAsia="TimesNewRomanPS-BoldMT" w:hAnsi="Arial" w:cs="Arial"/>
          <w:bCs/>
          <w:sz w:val="20"/>
          <w:szCs w:val="20"/>
        </w:rPr>
        <w:t xml:space="preserve">Priemerný prepočítaný počet zamestnancov je </w:t>
      </w:r>
      <w:r w:rsidR="0003503C">
        <w:rPr>
          <w:rFonts w:ascii="Arial" w:eastAsia="TimesNewRomanPS-BoldMT" w:hAnsi="Arial" w:cs="Arial"/>
          <w:bCs/>
          <w:sz w:val="20"/>
          <w:szCs w:val="20"/>
        </w:rPr>
        <w:t>7,8</w:t>
      </w: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sz w:val="20"/>
          <w:szCs w:val="20"/>
        </w:rPr>
      </w:pPr>
      <w:r>
        <w:rPr>
          <w:rFonts w:ascii="Arial" w:eastAsia="TimesNewRomanPS-BoldMT" w:hAnsi="Arial" w:cs="Arial"/>
          <w:b/>
          <w:bCs/>
        </w:rPr>
        <w:t>II.  Informácie o prijatých postupoch</w:t>
      </w:r>
    </w:p>
    <w:p w:rsidR="00620BAC" w:rsidRDefault="00620BAC">
      <w:pPr>
        <w:jc w:val="both"/>
        <w:rPr>
          <w:rFonts w:ascii="Arial" w:eastAsia="TimesNewRomanPS-BoldMT" w:hAnsi="Arial" w:cs="Arial"/>
          <w:b/>
          <w:bCs/>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a) Východiská pre zostavenie účtovnej závierky</w:t>
      </w:r>
    </w:p>
    <w:p w:rsidR="00620BAC" w:rsidRDefault="00620BAC">
      <w:pPr>
        <w:jc w:val="both"/>
        <w:rPr>
          <w:rFonts w:ascii="Arial" w:hAnsi="Arial" w:cs="Arial"/>
          <w:sz w:val="20"/>
          <w:szCs w:val="20"/>
        </w:rPr>
      </w:pPr>
      <w:r>
        <w:rPr>
          <w:rFonts w:ascii="Arial" w:hAnsi="Arial" w:cs="Arial"/>
          <w:sz w:val="20"/>
          <w:szCs w:val="20"/>
        </w:rPr>
        <w:t>Účtovná závierka bola zostavená za predpokladu, že spoločnosť bude nepretržite pokračovať vo svojej činnosti.</w:t>
      </w:r>
    </w:p>
    <w:p w:rsidR="00620BAC" w:rsidRDefault="00620BAC">
      <w:pPr>
        <w:jc w:val="both"/>
        <w:rPr>
          <w:rFonts w:ascii="Arial" w:hAnsi="Arial" w:cs="Arial"/>
          <w:sz w:val="20"/>
          <w:szCs w:val="20"/>
        </w:rPr>
      </w:pPr>
      <w:r>
        <w:rPr>
          <w:rFonts w:ascii="Arial" w:hAnsi="Arial" w:cs="Arial"/>
          <w:sz w:val="20"/>
          <w:szCs w:val="20"/>
        </w:rPr>
        <w:t>Účtovné metódy a všeobecné účtovné zásady boli účtovnou jednotkou konzistentne aplikované.</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(b) Dlhodobý nehmotný majetok a dlhodobý hmotný majetok</w:t>
      </w:r>
    </w:p>
    <w:p w:rsidR="00620BAC" w:rsidRDefault="00620BAC">
      <w:pPr>
        <w:jc w:val="both"/>
        <w:rPr>
          <w:rFonts w:ascii="Arial" w:hAnsi="Arial" w:cs="Arial"/>
          <w:sz w:val="20"/>
          <w:szCs w:val="20"/>
        </w:rPr>
      </w:pPr>
      <w:r>
        <w:rPr>
          <w:rFonts w:ascii="Arial" w:hAnsi="Arial" w:cs="Arial"/>
          <w:sz w:val="20"/>
          <w:szCs w:val="20"/>
        </w:rPr>
        <w:t>Dlhodobý majetok nakupovaný sa oceňuje obstarávacou cenou, ktorá zahŕňa cenu obstarania a náklady súvisiace s obstaraním (clo, prepravu, montáž, poistné a pod.)</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1700 EUR a nižšia, sa odpisuje jednorazovo pri uvedení do používania.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2943"/>
        <w:gridCol w:w="2552"/>
        <w:gridCol w:w="2126"/>
        <w:gridCol w:w="2827"/>
      </w:tblGrid>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Softvér</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Oceniteľné práva /licencia/</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8</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nehmotný majetok</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3227"/>
        <w:gridCol w:w="2268"/>
        <w:gridCol w:w="2126"/>
        <w:gridCol w:w="2827"/>
      </w:tblGrid>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Stavby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20/40</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rPr>
                <w:rFonts w:ascii="Arial" w:hAnsi="Arial" w:cs="Arial"/>
                <w:sz w:val="20"/>
                <w:szCs w:val="20"/>
              </w:rPr>
            </w:pPr>
            <w:r>
              <w:rPr>
                <w:rFonts w:ascii="Arial" w:hAnsi="Arial" w:cs="Arial"/>
                <w:sz w:val="20"/>
                <w:szCs w:val="20"/>
              </w:rPr>
              <w:t>Jednotlivé oddeliteľné súčasti zabudované v stavbách určené na samostatné odpisovanie</w:t>
            </w:r>
          </w:p>
        </w:tc>
        <w:tc>
          <w:tcPr>
            <w:tcW w:w="2268"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12</w:t>
            </w:r>
          </w:p>
        </w:tc>
        <w:tc>
          <w:tcPr>
            <w:tcW w:w="2126"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0BAC" w:rsidRDefault="00620BAC">
            <w:pPr>
              <w:snapToGrid w:val="0"/>
              <w:jc w:val="center"/>
            </w:pPr>
            <w:r>
              <w:rPr>
                <w:rFonts w:ascii="Arial" w:hAnsi="Arial" w:cs="Arial"/>
                <w:sz w:val="20"/>
                <w:szCs w:val="20"/>
              </w:rPr>
              <w:t>8,33</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Stroje, prístroje a zariadenia</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4-6</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16,67-25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Dopravné prostriedky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hmotný majetok</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eastAsia="TimesNewRomanPSMT" w:hAnsi="Arial" w:cs="Arial"/>
          <w:sz w:val="20"/>
          <w:szCs w:val="20"/>
        </w:rPr>
      </w:pPr>
      <w:r>
        <w:rPr>
          <w:rFonts w:ascii="Arial" w:eastAsia="TimesNewRomanPS-BoldMT" w:hAnsi="Arial" w:cs="Arial"/>
          <w:b/>
          <w:bCs/>
          <w:sz w:val="20"/>
          <w:szCs w:val="20"/>
        </w:rPr>
        <w:t>(c) Cenné papiere a podiely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(d) Zásoby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 xml:space="preserve">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Nakupované </w:t>
      </w:r>
      <w:r>
        <w:rPr>
          <w:rFonts w:ascii="Arial" w:eastAsia="TimesNewRomanPSMT" w:hAnsi="Arial" w:cs="Arial"/>
          <w:sz w:val="20"/>
          <w:szCs w:val="20"/>
        </w:rPr>
        <w:lastRenderedPageBreak/>
        <w:t>zásoby sa oceňujú váženým aritmetickým priemerom 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Čistá realizačná hodnota je predpokladaná predajná cena znížená o predpokladané náklady na ich dokončenie a o predpokladané náklady súvisiace s ich predajom. Zníženie hodnoty zásob sa zohľadňuje vytvorením opravnej položky.</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(e) Zákazková výroba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Zákazková výroba sa vykazuje použitím metódy stupňa dokončenia zákazky.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BoldItalicMT" w:hAnsi="Arial" w:cs="Arial"/>
          <w:b/>
          <w:bCs/>
          <w:i/>
          <w:iCs/>
          <w:sz w:val="20"/>
          <w:szCs w:val="20"/>
        </w:rPr>
      </w:pPr>
      <w:r>
        <w:rPr>
          <w:rFonts w:ascii="Arial" w:eastAsia="TimesNewRomanPS-BoldMT" w:hAnsi="Arial" w:cs="Arial"/>
          <w:b/>
          <w:bCs/>
          <w:sz w:val="20"/>
          <w:szCs w:val="20"/>
        </w:rPr>
        <w:t>(f) Zákazková výstavba nehnuteľnosti</w:t>
      </w:r>
    </w:p>
    <w:p w:rsidR="00620BAC" w:rsidRDefault="00620BAC">
      <w:pPr>
        <w:autoSpaceDE w:val="0"/>
        <w:jc w:val="both"/>
        <w:rPr>
          <w:rFonts w:ascii="Arial" w:eastAsia="TimesNewRomanPSMT" w:hAnsi="Arial" w:cs="Arial"/>
          <w:sz w:val="20"/>
          <w:szCs w:val="20"/>
        </w:rPr>
      </w:pPr>
      <w:r>
        <w:rPr>
          <w:rFonts w:ascii="Arial" w:eastAsia="TimesNewRomanPS-BoldItalicMT" w:hAnsi="Arial" w:cs="Arial"/>
          <w:b/>
          <w:bCs/>
          <w:i/>
          <w:iCs/>
          <w:sz w:val="20"/>
          <w:szCs w:val="20"/>
        </w:rPr>
        <w:t>Zákazková výstavba nehnuteľnosti – priebežný transfer</w:t>
      </w:r>
    </w:p>
    <w:p w:rsidR="00620BAC" w:rsidRDefault="00620BAC">
      <w:pPr>
        <w:autoSpaceDE w:val="0"/>
        <w:jc w:val="both"/>
        <w:rPr>
          <w:rStyle w:val="Predvolenpsmoodseku1"/>
          <w:rFonts w:ascii="Arial" w:eastAsia="TimesNewRomanPS-BoldItalicMT" w:hAnsi="Arial" w:cs="Arial"/>
          <w:b/>
          <w:bCs/>
          <w:i/>
          <w:iCs/>
          <w:sz w:val="20"/>
          <w:szCs w:val="20"/>
        </w:rPr>
      </w:pPr>
      <w:r>
        <w:rPr>
          <w:rFonts w:ascii="Arial" w:eastAsia="TimesNewRomanPSMT" w:hAnsi="Arial" w:cs="Arial"/>
          <w:sz w:val="20"/>
          <w:szCs w:val="20"/>
        </w:rPr>
        <w:t>Zákazková výstavba nehnuteľnosti určenej na predaj sa vykazuje podľa metódy stupňa dokončenia.</w:t>
      </w: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BoldItalicMT" w:hAnsi="Arial" w:cs="Arial"/>
          <w:b/>
          <w:bCs/>
          <w:i/>
          <w:iCs/>
          <w:sz w:val="20"/>
          <w:szCs w:val="20"/>
        </w:rPr>
        <w:t>Zákazková výstavba nehnuteľnosti – ostatn</w:t>
      </w:r>
      <w:r>
        <w:rPr>
          <w:rStyle w:val="Predvolenpsmoodseku1"/>
          <w:rFonts w:ascii="Arial" w:eastAsia="TimesNewRomanPSMT" w:hAnsi="Arial" w:cs="Arial"/>
          <w:sz w:val="20"/>
          <w:szCs w:val="20"/>
        </w:rPr>
        <w:t xml:space="preserve">á </w:t>
      </w:r>
      <w:r>
        <w:rPr>
          <w:rStyle w:val="Predvolenpsmoodseku1"/>
          <w:rFonts w:ascii="Arial" w:eastAsia="TimesNewRomanPS-BoldItalicMT" w:hAnsi="Arial" w:cs="Arial"/>
          <w:b/>
          <w:bCs/>
          <w:i/>
          <w:iCs/>
          <w:sz w:val="20"/>
          <w:szCs w:val="20"/>
        </w:rPr>
        <w:t>(nie priebežný transfer)</w:t>
      </w:r>
    </w:p>
    <w:p w:rsidR="00620BAC" w:rsidRDefault="00620BAC">
      <w:pPr>
        <w:autoSpaceDE w:val="0"/>
        <w:jc w:val="both"/>
        <w:rPr>
          <w:rFonts w:ascii="Arial" w:hAnsi="Arial" w:cs="Arial"/>
          <w:b/>
          <w:sz w:val="20"/>
          <w:szCs w:val="20"/>
        </w:rPr>
      </w:pPr>
      <w:r>
        <w:rPr>
          <w:rStyle w:val="Predvolenpsmoodseku1"/>
          <w:rFonts w:ascii="Arial" w:eastAsia="TimesNewRomanPSMT" w:hAnsi="Arial" w:cs="Arial"/>
          <w:sz w:val="20"/>
          <w:szCs w:val="20"/>
        </w:rPr>
        <w:t>Zákazková výstavba nehnuteľnosti určenej na predaj – ostatná (nie priebežný transfer) sa vykazuje metódou tzv. Nulového zisku, t. j. zisk sa vykáže až pri predaji nehnuteľnosti.</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(g) Pohľadávky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(h) Peňažné prostriedky a ceniny</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Peňažné prostriedky a ceniny sa oceňujú ich menovitou hodnotou. Zníženie ich hodnoty sa vyjadruje opravnou položkou.</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(i) Náklady budúcich období a príjmy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Náklady budúcich období a príjmy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(j) Rezervy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Rezervy sú záväzky s neurčitým časovým vymedzením alebo výškou; tvoria sa na krytie známych rizík alebo strát z podnikania. Oceňujú sa v očakávanej výške záväzku.</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(k) Záväzky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(l) Odložené dane</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Odložené dane (odložená daňová pohľadávka a odložený daňový záväzok) sa vzťahujú na:</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a) dočasné rozdiely medzi účtovnou hodnotou majetku a účtovnou hodnotou záväzkov vykázanou v súvahe a ich daňovou základňou,</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b) možnosť umorovať daňovú stratu v budúcnosti, ktorou sa rozumie možnosť odpočítať daňovú stratu od základu dane v budúcnosti,</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c) možnosť previesť nevyužité daňové odpočty a iné daňové nároky do budúcich období.</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(m) Výdavky budúcich období a výnosy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Výdavky budúcich období a výnosy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autoSpaceDE w:val="0"/>
        <w:jc w:val="both"/>
        <w:rPr>
          <w:rFonts w:ascii="Arial" w:eastAsia="TimesNewRomanPSMT" w:hAnsi="Arial" w:cs="Arial"/>
          <w:sz w:val="20"/>
          <w:szCs w:val="20"/>
        </w:rPr>
      </w:pPr>
      <w:r>
        <w:rPr>
          <w:rFonts w:ascii="Arial" w:hAnsi="Arial" w:cs="Arial"/>
          <w:b/>
          <w:sz w:val="20"/>
          <w:szCs w:val="20"/>
        </w:rPr>
        <w:t>(p) Prenájom (lízing)</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 xml:space="preserve">Majetok prenajatý na základe operatívneho prenájmu vykazuje ako svoj majetok jeho vlastník, nie nájomca.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w:t>
      </w:r>
      <w:r>
        <w:rPr>
          <w:rFonts w:ascii="Arial" w:eastAsia="TimesNewRomanPSMT" w:hAnsi="Arial" w:cs="Arial"/>
          <w:sz w:val="20"/>
          <w:szCs w:val="20"/>
        </w:rPr>
        <w:lastRenderedPageBreak/>
        <w:t>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(q) Deriváty</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(r) Majetok a záväzky zabezpečené derivátmi</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zabezpečené derivátmi sa oceňujú reálnou hodnotou. Zmeny reálnych hodnôt majetku a záväzkov zabezpečených derivátmi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(s) Cudzia mena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(t) Výnosy</w:t>
      </w:r>
    </w:p>
    <w:p w:rsidR="00620BAC" w:rsidRDefault="00620BAC">
      <w:pPr>
        <w:autoSpaceDE w:val="0"/>
        <w:jc w:val="both"/>
        <w:rPr>
          <w:rFonts w:ascii="Arial" w:eastAsia="TimesNewRomanPSMT" w:hAnsi="Arial" w:cs="Arial"/>
          <w:sz w:val="20"/>
          <w:szCs w:val="20"/>
        </w:rPr>
      </w:pPr>
      <w:r>
        <w:rPr>
          <w:rStyle w:val="Predvolenpsmoodseku1"/>
          <w:rFonts w:ascii="Arial" w:eastAsia="TimesNewRomanPSMT" w:hAnsi="Arial" w:cs="Arial"/>
          <w:sz w:val="20"/>
          <w:szCs w:val="20"/>
        </w:rPr>
        <w:t>Tržby za vlastné výkony a tovar neobsahujú daň z pridanej hodnoty. Sú tiež znížené o zľavy a zrážky (rabaty, bonusy,</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skontá, dobropisy a pod.), bez ohľadu na to, či zákazník mal vopred na zľavu nárok, alebo či ide o dodatočne uznanú</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zľavu.</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p>
    <w:p w:rsidR="00620BAC" w:rsidRDefault="00620BAC">
      <w:pPr>
        <w:autoSpaceDE w:val="0"/>
        <w:jc w:val="center"/>
      </w:pPr>
      <w:r>
        <w:rPr>
          <w:rStyle w:val="Predvolenpsmoodseku1"/>
          <w:rFonts w:ascii="Arial" w:eastAsia="TimesNewRomanPSMT" w:hAnsi="Arial" w:cs="Arial"/>
          <w:b/>
        </w:rPr>
        <w:t>III. Informácie, ktoré vysvetľujú a dopĺňajú súvahu a výkaz ziskov a strát</w:t>
      </w:r>
    </w:p>
    <w:sectPr w:rsidR="00620BAC" w:rsidSect="00AD2300">
      <w:headerReference w:type="even" r:id="rId6"/>
      <w:headerReference w:type="default" r:id="rId7"/>
      <w:footerReference w:type="even" r:id="rId8"/>
      <w:footerReference w:type="default" r:id="rId9"/>
      <w:headerReference w:type="first" r:id="rId10"/>
      <w:footerReference w:type="first" r:id="rId11"/>
      <w:pgSz w:w="11906" w:h="16838"/>
      <w:pgMar w:top="1134" w:right="1134" w:bottom="1134" w:left="1134"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7833" w:rsidRDefault="00D47833">
      <w:pPr>
        <w:spacing w:line="240" w:lineRule="auto"/>
      </w:pPr>
      <w:r>
        <w:separator/>
      </w:r>
    </w:p>
  </w:endnote>
  <w:endnote w:type="continuationSeparator" w:id="1">
    <w:p w:rsidR="00D47833" w:rsidRDefault="00D47833">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BoldMT">
    <w:altName w:val="Times New Roman"/>
    <w:charset w:val="EE"/>
    <w:family w:val="auto"/>
    <w:pitch w:val="default"/>
    <w:sig w:usb0="00000000" w:usb1="00000000" w:usb2="00000000" w:usb3="00000000" w:csb0="00000000" w:csb1="00000000"/>
  </w:font>
  <w:font w:name="TimesNewRomanPSMT">
    <w:charset w:val="EE"/>
    <w:family w:val="roman"/>
    <w:pitch w:val="default"/>
    <w:sig w:usb0="00000000" w:usb1="00000000" w:usb2="00000000" w:usb3="00000000" w:csb0="00000000" w:csb1="00000000"/>
  </w:font>
  <w:font w:name="TimesNewRomanPS-BoldItalicMT">
    <w:charset w:val="EE"/>
    <w:family w:val="script"/>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7AFA" w:rsidRDefault="00157AFA">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BAC" w:rsidRDefault="000B0593">
    <w:pPr>
      <w:pStyle w:val="Pta"/>
      <w:jc w:val="center"/>
    </w:pPr>
    <w:fldSimple w:instr=" PAGE ">
      <w:r w:rsidR="0003503C">
        <w:rPr>
          <w:noProof/>
        </w:rPr>
        <w:t>1</w:t>
      </w:r>
    </w:fldSimple>
  </w:p>
  <w:p w:rsidR="00620BAC" w:rsidRDefault="00620BAC">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7AFA" w:rsidRDefault="00157AFA">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7833" w:rsidRDefault="00D47833">
      <w:pPr>
        <w:spacing w:line="240" w:lineRule="auto"/>
      </w:pPr>
      <w:r>
        <w:separator/>
      </w:r>
    </w:p>
  </w:footnote>
  <w:footnote w:type="continuationSeparator" w:id="1">
    <w:p w:rsidR="00D47833" w:rsidRDefault="00D47833">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7AFA" w:rsidRDefault="00157AFA">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208D" w:rsidRDefault="00620BAC">
    <w:pPr>
      <w:pStyle w:val="Hlavika"/>
      <w:rPr>
        <w:b/>
      </w:rPr>
    </w:pPr>
    <w:r>
      <w:rPr>
        <w:b/>
      </w:rPr>
      <w:t xml:space="preserve">Poznámky Úč MÚJ 3 -01                           IČO: </w:t>
    </w:r>
    <w:r w:rsidR="00157AFA">
      <w:rPr>
        <w:b/>
      </w:rPr>
      <w:t>36746134</w:t>
    </w:r>
    <w:r>
      <w:rPr>
        <w:b/>
      </w:rPr>
      <w:t xml:space="preserve">                 DIČ:</w:t>
    </w:r>
    <w:r w:rsidR="00157AFA">
      <w:rPr>
        <w:b/>
      </w:rPr>
      <w:t xml:space="preserve"> 2022352816</w:t>
    </w:r>
  </w:p>
  <w:p w:rsidR="00956931" w:rsidRDefault="00956931">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7AFA" w:rsidRDefault="00157AFA">
    <w:pPr>
      <w:pStyle w:val="Hlavika"/>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9"/>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0"/>
    <w:footnote w:id="1"/>
  </w:footnotePr>
  <w:endnotePr>
    <w:endnote w:id="0"/>
    <w:endnote w:id="1"/>
  </w:endnotePr>
  <w:compat>
    <w:spaceForUL/>
    <w:balanceSingleByteDoubleByteWidth/>
    <w:doNotLeaveBackslashAlone/>
    <w:ulTrailSpace/>
    <w:adjustLineHeightInTable/>
  </w:compat>
  <w:rsids>
    <w:rsidRoot w:val="00115145"/>
    <w:rsid w:val="0003503C"/>
    <w:rsid w:val="000B0593"/>
    <w:rsid w:val="000F54B8"/>
    <w:rsid w:val="00103964"/>
    <w:rsid w:val="00112868"/>
    <w:rsid w:val="00115145"/>
    <w:rsid w:val="00134262"/>
    <w:rsid w:val="00157AFA"/>
    <w:rsid w:val="001F149D"/>
    <w:rsid w:val="00413A57"/>
    <w:rsid w:val="004B259C"/>
    <w:rsid w:val="00541BC9"/>
    <w:rsid w:val="005971E9"/>
    <w:rsid w:val="00620BAC"/>
    <w:rsid w:val="00745A69"/>
    <w:rsid w:val="00774305"/>
    <w:rsid w:val="00862C7E"/>
    <w:rsid w:val="00864F25"/>
    <w:rsid w:val="009037CF"/>
    <w:rsid w:val="009251BC"/>
    <w:rsid w:val="00956931"/>
    <w:rsid w:val="009C20BE"/>
    <w:rsid w:val="00A72F8D"/>
    <w:rsid w:val="00AD2300"/>
    <w:rsid w:val="00AD5FCA"/>
    <w:rsid w:val="00BC713E"/>
    <w:rsid w:val="00BF6472"/>
    <w:rsid w:val="00C4208D"/>
    <w:rsid w:val="00C50531"/>
    <w:rsid w:val="00CA78F7"/>
    <w:rsid w:val="00D47833"/>
    <w:rsid w:val="00DC4F8D"/>
    <w:rsid w:val="00E21C29"/>
    <w:rsid w:val="00E82471"/>
    <w:rsid w:val="00F119A8"/>
    <w:rsid w:val="00F814A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2300"/>
    <w:pPr>
      <w:widowControl w:val="0"/>
      <w:suppressAutoHyphens/>
      <w:spacing w:line="100" w:lineRule="atLeast"/>
      <w:textAlignment w:val="baseline"/>
    </w:pPr>
    <w:rPr>
      <w:rFonts w:eastAsia="SimSun" w:cs="Mangal"/>
      <w:kern w:val="1"/>
      <w:sz w:val="24"/>
      <w:szCs w:val="24"/>
      <w:lang w:eastAsia="hi-I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Absatz-Standardschriftart">
    <w:name w:val="Absatz-Standardschriftart"/>
    <w:rsid w:val="00AD2300"/>
  </w:style>
  <w:style w:type="character" w:customStyle="1" w:styleId="WW-Absatz-Standardschriftart">
    <w:name w:val="WW-Absatz-Standardschriftart"/>
    <w:rsid w:val="00AD2300"/>
  </w:style>
  <w:style w:type="character" w:customStyle="1" w:styleId="Predvolenpsmoodseku1">
    <w:name w:val="Predvolené písmo odseku1"/>
    <w:rsid w:val="00AD2300"/>
  </w:style>
  <w:style w:type="character" w:customStyle="1" w:styleId="Symbolypreslovanie">
    <w:name w:val="Symboly pre číslovanie"/>
    <w:rsid w:val="00AD2300"/>
  </w:style>
  <w:style w:type="character" w:customStyle="1" w:styleId="HlavikaChar">
    <w:name w:val="Hlavička Char"/>
    <w:basedOn w:val="Predvolenpsmoodseku1"/>
    <w:rsid w:val="00AD2300"/>
    <w:rPr>
      <w:szCs w:val="21"/>
    </w:rPr>
  </w:style>
  <w:style w:type="character" w:customStyle="1" w:styleId="PtaChar">
    <w:name w:val="Päta Char"/>
    <w:basedOn w:val="Predvolenpsmoodseku1"/>
    <w:rsid w:val="00AD2300"/>
    <w:rPr>
      <w:szCs w:val="21"/>
    </w:rPr>
  </w:style>
  <w:style w:type="character" w:customStyle="1" w:styleId="TextbublinyChar">
    <w:name w:val="Text bubliny Char"/>
    <w:basedOn w:val="Predvolenpsmoodseku1"/>
    <w:rsid w:val="00AD2300"/>
    <w:rPr>
      <w:rFonts w:ascii="Tahoma" w:hAnsi="Tahoma" w:cs="Tahoma"/>
      <w:sz w:val="16"/>
      <w:szCs w:val="14"/>
    </w:rPr>
  </w:style>
  <w:style w:type="paragraph" w:customStyle="1" w:styleId="Nadpis">
    <w:name w:val="Nadpis"/>
    <w:basedOn w:val="Normlny"/>
    <w:next w:val="Zkladntext"/>
    <w:rsid w:val="00AD2300"/>
    <w:pPr>
      <w:keepNext/>
      <w:spacing w:before="240" w:after="120"/>
    </w:pPr>
    <w:rPr>
      <w:rFonts w:ascii="Arial" w:eastAsia="Lucida Sans Unicode" w:hAnsi="Arial"/>
      <w:sz w:val="28"/>
      <w:szCs w:val="28"/>
    </w:rPr>
  </w:style>
  <w:style w:type="paragraph" w:styleId="Zkladntext">
    <w:name w:val="Body Text"/>
    <w:basedOn w:val="Normlny"/>
    <w:rsid w:val="00AD2300"/>
    <w:pPr>
      <w:spacing w:after="120"/>
    </w:pPr>
  </w:style>
  <w:style w:type="paragraph" w:styleId="Zoznam">
    <w:name w:val="List"/>
    <w:basedOn w:val="Zkladntext"/>
    <w:rsid w:val="00AD2300"/>
  </w:style>
  <w:style w:type="paragraph" w:customStyle="1" w:styleId="Popisok">
    <w:name w:val="Popisok"/>
    <w:basedOn w:val="Normlny"/>
    <w:rsid w:val="00AD2300"/>
    <w:pPr>
      <w:suppressLineNumbers/>
      <w:spacing w:before="120" w:after="120"/>
    </w:pPr>
    <w:rPr>
      <w:i/>
      <w:iCs/>
    </w:rPr>
  </w:style>
  <w:style w:type="paragraph" w:customStyle="1" w:styleId="Index">
    <w:name w:val="Index"/>
    <w:basedOn w:val="Normlny"/>
    <w:rsid w:val="00AD2300"/>
    <w:pPr>
      <w:suppressLineNumbers/>
    </w:pPr>
  </w:style>
  <w:style w:type="paragraph" w:customStyle="1" w:styleId="Normlny1">
    <w:name w:val="Normálny1"/>
    <w:rsid w:val="00AD2300"/>
    <w:pPr>
      <w:widowControl w:val="0"/>
      <w:suppressAutoHyphens/>
      <w:spacing w:line="100" w:lineRule="atLeast"/>
      <w:textAlignment w:val="baseline"/>
    </w:pPr>
    <w:rPr>
      <w:rFonts w:eastAsia="SimSun" w:cs="Mangal"/>
      <w:kern w:val="1"/>
      <w:sz w:val="24"/>
      <w:szCs w:val="24"/>
      <w:lang w:eastAsia="hi-IN" w:bidi="hi-IN"/>
    </w:rPr>
  </w:style>
  <w:style w:type="paragraph" w:customStyle="1" w:styleId="Nzov1">
    <w:name w:val="Názov1"/>
    <w:basedOn w:val="Normlny"/>
    <w:next w:val="Zkladntext"/>
    <w:rsid w:val="00AD2300"/>
    <w:pPr>
      <w:keepNext/>
      <w:spacing w:before="240" w:after="120"/>
    </w:pPr>
    <w:rPr>
      <w:rFonts w:ascii="Arial" w:hAnsi="Arial" w:cs="Arial"/>
      <w:sz w:val="28"/>
      <w:szCs w:val="28"/>
    </w:rPr>
  </w:style>
  <w:style w:type="paragraph" w:customStyle="1" w:styleId="Popis1">
    <w:name w:val="Popis1"/>
    <w:basedOn w:val="Normlny"/>
    <w:rsid w:val="00AD2300"/>
    <w:pPr>
      <w:suppressLineNumbers/>
      <w:spacing w:before="120" w:after="120"/>
    </w:pPr>
    <w:rPr>
      <w:i/>
      <w:iCs/>
    </w:rPr>
  </w:style>
  <w:style w:type="paragraph" w:styleId="Hlavika">
    <w:name w:val="header"/>
    <w:basedOn w:val="Normlny1"/>
    <w:rsid w:val="00AD2300"/>
    <w:pPr>
      <w:tabs>
        <w:tab w:val="center" w:pos="4536"/>
        <w:tab w:val="right" w:pos="9072"/>
      </w:tabs>
    </w:pPr>
    <w:rPr>
      <w:szCs w:val="21"/>
    </w:rPr>
  </w:style>
  <w:style w:type="paragraph" w:styleId="Pta">
    <w:name w:val="footer"/>
    <w:basedOn w:val="Normlny1"/>
    <w:rsid w:val="00AD2300"/>
    <w:pPr>
      <w:tabs>
        <w:tab w:val="center" w:pos="4536"/>
        <w:tab w:val="right" w:pos="9072"/>
      </w:tabs>
    </w:pPr>
    <w:rPr>
      <w:szCs w:val="21"/>
    </w:rPr>
  </w:style>
  <w:style w:type="paragraph" w:styleId="Textbubliny">
    <w:name w:val="Balloon Text"/>
    <w:basedOn w:val="Normlny1"/>
    <w:rsid w:val="00AD2300"/>
    <w:rPr>
      <w:rFonts w:ascii="Tahoma" w:hAnsi="Tahoma" w:cs="Tahoma"/>
      <w:sz w:val="16"/>
      <w:szCs w:val="14"/>
    </w:rPr>
  </w:style>
  <w:style w:type="paragraph" w:customStyle="1" w:styleId="Obsahtabuky">
    <w:name w:val="Obsah tabuľky"/>
    <w:basedOn w:val="Normlny"/>
    <w:rsid w:val="00AD2300"/>
    <w:pPr>
      <w:suppressLineNumbers/>
    </w:pPr>
  </w:style>
  <w:style w:type="paragraph" w:customStyle="1" w:styleId="Nadpistabuky">
    <w:name w:val="Nadpis tabuľky"/>
    <w:basedOn w:val="Obsahtabuky"/>
    <w:rsid w:val="00AD2300"/>
    <w:pPr>
      <w:jc w:val="center"/>
    </w:pPr>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1453</Words>
  <Characters>8288</Characters>
  <Application>Microsoft Office Word</Application>
  <DocSecurity>0</DocSecurity>
  <Lines>69</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9722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8</cp:revision>
  <cp:lastPrinted>2017-03-27T15:43:00Z</cp:lastPrinted>
  <dcterms:created xsi:type="dcterms:W3CDTF">2021-03-27T11:19:00Z</dcterms:created>
  <dcterms:modified xsi:type="dcterms:W3CDTF">2021-03-29T13:12:00Z</dcterms:modified>
</cp:coreProperties>
</file>