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7459" w:rsidRDefault="00EA7459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>Poznámky Úč</w:t>
      </w:r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A7459" w:rsidRDefault="00EA7459" w:rsidP="002C7ABB">
      <w:pPr>
        <w:rPr>
          <w:rFonts w:ascii="Arial" w:hAnsi="Arial" w:cs="Arial"/>
        </w:rPr>
      </w:pPr>
    </w:p>
    <w:p w:rsidR="00EA7459" w:rsidRDefault="00EA7459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EA7459" w:rsidRDefault="00EA7459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  <w:bCs/>
        </w:rPr>
        <w:t>Základné informácie o účtovnej jednotke: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>
        <w:rPr>
          <w:rFonts w:ascii="ArialNarrow,Bold" w:hAnsi="ArialNarrow,Bold" w:cs="ArialNarrow,Bold"/>
          <w:b/>
          <w:bCs/>
        </w:rPr>
        <w:t>VIKON - KV, s.r.o.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Sídlo:                     017 04 Považská Bystrica, Považské Podhradie 330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 účtovnej jednotky: Účtovná závierka spoločnosti k 31. decembru 2019, za predchádzajúce účtovné obdobie, bola schválená rozhodnutím jediného spoločníka dňa 27. 3. 2020.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spoločnosti k 31. 12. 2020 je zostavená ako riadna účtovná závierka podľa § 17 ods. 6 zákona NR SR č. 431/2002 Z.z. o účtovníctve, za účtovné obdobie od 1. januára 2020 do 31. decembra 2020.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EA7459" w:rsidRPr="00FC6E4D" w:rsidRDefault="00EA7459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  <w:bCs/>
        </w:rPr>
      </w:pPr>
      <w:r w:rsidRPr="00FC6E4D">
        <w:rPr>
          <w:rFonts w:ascii="ArialNarrow" w:hAnsi="ArialNarrow" w:cs="ArialNarrow"/>
          <w:b/>
          <w:bCs/>
        </w:rPr>
        <w:t>Článok II – Informácie o prijatých postupoch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  <w:bCs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Pr="009F51F0">
        <w:rPr>
          <w:rFonts w:ascii="Arial" w:hAnsi="Arial" w:cs="Arial"/>
        </w:rPr>
        <w:t xml:space="preserve"> jednotka bude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>
        <w:rPr>
          <w:rFonts w:ascii="Arial" w:hAnsi="Arial" w:cs="Arial"/>
        </w:rPr>
        <w:t>epretržite pokračovať vo svojej činnosti minimálne 12 mesiacov po závierkovom</w:t>
      </w:r>
      <w:r w:rsidRPr="009F51F0">
        <w:rPr>
          <w:rFonts w:ascii="Arial" w:hAnsi="Arial" w:cs="Arial"/>
        </w:rPr>
        <w:t xml:space="preserve"> dni v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Pr="009F51F0">
        <w:rPr>
          <w:rFonts w:ascii="Arial" w:hAnsi="Arial" w:cs="Arial"/>
        </w:rPr>
        <w:t>tovnou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  <w:bCs/>
        </w:rPr>
        <w:t>) Informácia o aplikácii účtovných zásad a účtovných metód</w:t>
      </w:r>
      <w:r w:rsidRPr="009F51F0">
        <w:rPr>
          <w:rFonts w:ascii="Arial" w:hAnsi="Arial" w:cs="Arial"/>
        </w:rPr>
        <w:t>: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Pr="009F51F0">
        <w:rPr>
          <w:rFonts w:ascii="Arial" w:hAnsi="Arial" w:cs="Arial"/>
        </w:rPr>
        <w:t xml:space="preserve"> majetok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spoločnosť</w:t>
      </w:r>
      <w:r w:rsidRPr="009F51F0">
        <w:rPr>
          <w:rFonts w:ascii="Arial" w:hAnsi="Arial" w:cs="Arial"/>
        </w:rPr>
        <w:t xml:space="preserve"> neeviduje.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spoločnosť</w:t>
      </w:r>
      <w:r w:rsidRPr="009F51F0">
        <w:rPr>
          <w:rFonts w:ascii="Arial" w:hAnsi="Arial" w:cs="Arial"/>
        </w:rPr>
        <w:t xml:space="preserve"> neeviduje.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Pr="009F51F0">
        <w:rPr>
          <w:rFonts w:ascii="Arial" w:hAnsi="Arial" w:cs="Arial"/>
        </w:rPr>
        <w:t xml:space="preserve"> papiere a podiely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nevlastní cenné</w:t>
      </w:r>
      <w:r w:rsidRPr="009F51F0">
        <w:rPr>
          <w:rFonts w:ascii="Arial" w:hAnsi="Arial" w:cs="Arial"/>
        </w:rPr>
        <w:t xml:space="preserve"> papiere a vklady.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Pr="009F51F0">
        <w:rPr>
          <w:rFonts w:ascii="Arial" w:hAnsi="Arial" w:cs="Arial"/>
        </w:rPr>
        <w:t>soby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Pr="009F51F0">
        <w:rPr>
          <w:rFonts w:ascii="Arial" w:hAnsi="Arial" w:cs="Arial"/>
        </w:rPr>
        <w:t>a cenu obstarania 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Pr="009F51F0">
        <w:rPr>
          <w:rFonts w:ascii="Arial" w:hAnsi="Arial" w:cs="Arial"/>
        </w:rPr>
        <w:t>roky z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súčasťou obstará</w:t>
      </w:r>
      <w:r w:rsidRPr="009F51F0">
        <w:rPr>
          <w:rFonts w:ascii="Arial" w:hAnsi="Arial" w:cs="Arial"/>
        </w:rPr>
        <w:t>vacej ceny.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Pr="009F51F0">
        <w:rPr>
          <w:rFonts w:ascii="Arial" w:hAnsi="Arial" w:cs="Arial"/>
        </w:rPr>
        <w:t>roba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spoločnosť</w:t>
      </w:r>
      <w:r w:rsidRPr="009F51F0">
        <w:rPr>
          <w:rFonts w:ascii="Arial" w:hAnsi="Arial" w:cs="Arial"/>
        </w:rPr>
        <w:t xml:space="preserve"> neeviduje.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Pr="009F51F0">
        <w:rPr>
          <w:rFonts w:ascii="Arial" w:hAnsi="Arial" w:cs="Arial"/>
        </w:rPr>
        <w:t>vky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postúpené pohľadá</w:t>
      </w:r>
      <w:r w:rsidRPr="009F51F0">
        <w:rPr>
          <w:rFonts w:ascii="Arial" w:hAnsi="Arial" w:cs="Arial"/>
        </w:rPr>
        <w:t>vky sa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Pr="009F51F0">
        <w:rPr>
          <w:rFonts w:ascii="Arial" w:hAnsi="Arial" w:cs="Arial"/>
        </w:rPr>
        <w:t>visiacich s obstaraním. Toto ocenenie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Pr="009F51F0">
        <w:rPr>
          <w:rFonts w:ascii="Arial" w:hAnsi="Arial" w:cs="Arial"/>
        </w:rPr>
        <w:t>vky.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Pr="009F51F0">
        <w:rPr>
          <w:rFonts w:ascii="Arial" w:hAnsi="Arial" w:cs="Arial"/>
        </w:rPr>
        <w:t xml:space="preserve"> prostriedky a ceniny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Pr="009F51F0">
        <w:rPr>
          <w:rFonts w:ascii="Arial" w:hAnsi="Arial" w:cs="Arial"/>
        </w:rPr>
        <w:t>enie ich hodnoty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Pr="009F51F0">
        <w:rPr>
          <w:rFonts w:ascii="Arial" w:hAnsi="Arial" w:cs="Arial"/>
        </w:rPr>
        <w:t>kou.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Pr="009F51F0">
        <w:rPr>
          <w:rFonts w:ascii="Arial" w:hAnsi="Arial" w:cs="Arial"/>
        </w:rPr>
        <w:t>cich období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Pr="009F51F0">
        <w:rPr>
          <w:rFonts w:ascii="Arial" w:hAnsi="Arial" w:cs="Arial"/>
        </w:rPr>
        <w:t xml:space="preserve"> na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Pr="009F51F0">
        <w:rPr>
          <w:rFonts w:ascii="Arial" w:hAnsi="Arial" w:cs="Arial"/>
        </w:rPr>
        <w:t>m obdobím.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Rezervy sú záväzky predstavujúce existujúcu povinnost’, ktorá vznikla z minulý</w:t>
      </w:r>
      <w:r w:rsidRPr="009F51F0">
        <w:rPr>
          <w:rFonts w:ascii="Arial" w:hAnsi="Arial" w:cs="Arial"/>
        </w:rPr>
        <w:t>ch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Pr="009F51F0">
        <w:rPr>
          <w:rFonts w:ascii="Arial" w:hAnsi="Arial" w:cs="Arial"/>
        </w:rPr>
        <w:t>om nie je</w:t>
      </w:r>
    </w:p>
    <w:p w:rsidR="00EA7459" w:rsidRDefault="00EA7459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t>Poznámky Úč</w:t>
      </w:r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A7459" w:rsidRDefault="00EA7459" w:rsidP="00EE2FEB">
      <w:pPr>
        <w:rPr>
          <w:rFonts w:ascii="Arial" w:hAnsi="Arial" w:cs="Arial"/>
        </w:rPr>
      </w:pP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Pr="009F51F0">
        <w:rPr>
          <w:rFonts w:ascii="Arial" w:hAnsi="Arial" w:cs="Arial"/>
        </w:rPr>
        <w:t>ke potrebnej na splnenie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existujúcej povinnosti k závierkovému dň</w:t>
      </w:r>
      <w:r w:rsidRPr="009F51F0">
        <w:rPr>
          <w:rFonts w:ascii="Arial" w:hAnsi="Arial" w:cs="Arial"/>
        </w:rPr>
        <w:t>u.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Pr="009F51F0">
        <w:rPr>
          <w:rFonts w:ascii="Arial" w:hAnsi="Arial" w:cs="Arial"/>
        </w:rPr>
        <w:t>zky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Pr="009F51F0">
        <w:rPr>
          <w:rFonts w:ascii="Arial" w:hAnsi="Arial" w:cs="Arial"/>
        </w:rPr>
        <w:t>zky pri ich prebratí sa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Pr="009F51F0">
        <w:rPr>
          <w:rFonts w:ascii="Arial" w:hAnsi="Arial" w:cs="Arial"/>
        </w:rPr>
        <w:t>vierke v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Pr="009F51F0">
        <w:rPr>
          <w:rFonts w:ascii="Arial" w:hAnsi="Arial" w:cs="Arial"/>
        </w:rPr>
        <w:t>cich období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Pr="009F51F0">
        <w:rPr>
          <w:rFonts w:ascii="Arial" w:hAnsi="Arial" w:cs="Arial"/>
        </w:rPr>
        <w:t xml:space="preserve"> je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Pr="009F51F0">
        <w:rPr>
          <w:rFonts w:ascii="Arial" w:hAnsi="Arial" w:cs="Arial"/>
        </w:rPr>
        <w:t>m obdobím.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Pr="009F51F0">
        <w:rPr>
          <w:rFonts w:ascii="Arial" w:hAnsi="Arial" w:cs="Arial"/>
        </w:rPr>
        <w:t xml:space="preserve"> neeviduje.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Pr="009F51F0">
        <w:rPr>
          <w:rFonts w:ascii="Arial" w:hAnsi="Arial" w:cs="Arial"/>
        </w:rPr>
        <w:t xml:space="preserve"> neeviduje.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Pr="009F51F0">
        <w:rPr>
          <w:rFonts w:ascii="Arial" w:hAnsi="Arial" w:cs="Arial"/>
        </w:rPr>
        <w:t xml:space="preserve"> dane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Pr="009F51F0">
        <w:rPr>
          <w:rFonts w:ascii="Arial" w:hAnsi="Arial" w:cs="Arial"/>
        </w:rPr>
        <w:t>tuje.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Pr="009F51F0">
        <w:rPr>
          <w:rFonts w:ascii="Arial" w:hAnsi="Arial" w:cs="Arial"/>
        </w:rPr>
        <w:t>nosy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Pr="009F51F0">
        <w:rPr>
          <w:rFonts w:ascii="Arial" w:hAnsi="Arial" w:cs="Arial"/>
        </w:rPr>
        <w:t>z pridanej hodnoty.</w:t>
      </w:r>
      <w:r>
        <w:rPr>
          <w:rFonts w:ascii="Arial" w:hAnsi="Arial" w:cs="Arial"/>
        </w:rPr>
        <w:t xml:space="preserve"> 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  <w:bCs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Pr="009F51F0">
        <w:rPr>
          <w:rFonts w:ascii="Arial" w:hAnsi="Arial" w:cs="Arial"/>
        </w:rPr>
        <w:t>cich odhadov):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Pr="009F51F0">
        <w:rPr>
          <w:rFonts w:ascii="Arial" w:hAnsi="Arial" w:cs="Arial"/>
        </w:rPr>
        <w:t>zkov (§ 25 ZoU):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Názov položky                                                                 Spôsob oceň</w:t>
      </w:r>
      <w:r w:rsidRPr="009F51F0">
        <w:rPr>
          <w:rFonts w:ascii="Arial" w:hAnsi="Arial" w:cs="Arial"/>
        </w:rPr>
        <w:t>ovania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Zásoby obstarané kúpou:                                                Obstará</w:t>
      </w:r>
      <w:r w:rsidRPr="009F51F0">
        <w:rPr>
          <w:rFonts w:ascii="Arial" w:hAnsi="Arial" w:cs="Arial"/>
        </w:rPr>
        <w:t>vacia cena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                                                        Menovitá</w:t>
      </w:r>
      <w:r w:rsidRPr="009F51F0">
        <w:rPr>
          <w:rFonts w:ascii="Arial" w:hAnsi="Arial" w:cs="Arial"/>
        </w:rPr>
        <w:t xml:space="preserve"> hodnota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Kúpené pohľadávky:                                                        Obstará</w:t>
      </w:r>
      <w:r w:rsidRPr="009F51F0">
        <w:rPr>
          <w:rFonts w:ascii="Arial" w:hAnsi="Arial" w:cs="Arial"/>
        </w:rPr>
        <w:t>vacia cena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Krátkodobý finančný majetok:                                          Obstará</w:t>
      </w:r>
      <w:r w:rsidRPr="009F51F0">
        <w:rPr>
          <w:rFonts w:ascii="Arial" w:hAnsi="Arial" w:cs="Arial"/>
        </w:rPr>
        <w:t>vacia cena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Pr="009F51F0">
        <w:rPr>
          <w:rFonts w:ascii="Arial" w:hAnsi="Arial" w:cs="Arial"/>
        </w:rPr>
        <w:t xml:space="preserve"> hodnota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Pr="009F51F0">
        <w:rPr>
          <w:rFonts w:ascii="Arial" w:hAnsi="Arial" w:cs="Arial"/>
        </w:rPr>
        <w:t xml:space="preserve"> hodnota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                       Menovitá</w:t>
      </w:r>
      <w:r w:rsidRPr="009F51F0">
        <w:rPr>
          <w:rFonts w:ascii="Arial" w:hAnsi="Arial" w:cs="Arial"/>
        </w:rPr>
        <w:t xml:space="preserve"> hodnota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Pr="009F51F0">
        <w:rPr>
          <w:rFonts w:ascii="Arial" w:hAnsi="Arial" w:cs="Arial"/>
        </w:rPr>
        <w:t>enie hodnoty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 odborný</w:t>
      </w:r>
      <w:r w:rsidRPr="009F51F0">
        <w:rPr>
          <w:rFonts w:ascii="Arial" w:hAnsi="Arial" w:cs="Arial"/>
        </w:rPr>
        <w:t>m odhadom bonity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Záväzky účtovná</w:t>
      </w:r>
      <w:r w:rsidRPr="009F51F0">
        <w:rPr>
          <w:rFonts w:ascii="Arial" w:hAnsi="Arial" w:cs="Arial"/>
        </w:rPr>
        <w:t xml:space="preserve"> jednotk</w:t>
      </w:r>
      <w:r>
        <w:rPr>
          <w:rFonts w:ascii="Arial" w:hAnsi="Arial" w:cs="Arial"/>
        </w:rPr>
        <w:t>a ocenila menovitou hodnotou záväzkov. Rezervy účtovná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Pr="009F51F0">
        <w:rPr>
          <w:rFonts w:ascii="Arial" w:hAnsi="Arial" w:cs="Arial"/>
        </w:rPr>
        <w:t>hradu.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Pr="009F51F0">
        <w:rPr>
          <w:rFonts w:ascii="Arial" w:hAnsi="Arial" w:cs="Arial"/>
        </w:rPr>
        <w:t>zkov: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Pr="009F51F0">
        <w:rPr>
          <w:rFonts w:ascii="Arial" w:hAnsi="Arial" w:cs="Arial"/>
        </w:rPr>
        <w:t>ky, stanovila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Pr="009F51F0">
        <w:rPr>
          <w:rFonts w:ascii="Arial" w:hAnsi="Arial" w:cs="Arial"/>
        </w:rPr>
        <w:t>ho majetku.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>počas účtovného obdobia (§ 25 ZoU), ani k závierkovému dňu (§ 27 ZoU) nepouž</w:t>
      </w:r>
      <w:r w:rsidRPr="009F51F0">
        <w:rPr>
          <w:rFonts w:ascii="Arial" w:hAnsi="Arial" w:cs="Arial"/>
        </w:rPr>
        <w:t>ila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Pr="009F51F0">
        <w:rPr>
          <w:rFonts w:ascii="Arial" w:hAnsi="Arial" w:cs="Arial"/>
        </w:rPr>
        <w:t>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Pr="009F51F0">
        <w:rPr>
          <w:rFonts w:ascii="Arial" w:hAnsi="Arial" w:cs="Arial"/>
        </w:rPr>
        <w:t>du FIFO.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Pr="009F51F0">
        <w:rPr>
          <w:rFonts w:ascii="Arial" w:hAnsi="Arial" w:cs="Arial"/>
        </w:rPr>
        <w:t>et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Pr="009F51F0">
        <w:rPr>
          <w:rFonts w:ascii="Arial" w:hAnsi="Arial" w:cs="Arial"/>
        </w:rPr>
        <w:t>tnej banky (§ 24/3 ZoU).</w:t>
      </w: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bankového úč</w:t>
      </w:r>
      <w:r w:rsidRPr="009F51F0">
        <w:rPr>
          <w:rFonts w:ascii="Arial" w:hAnsi="Arial" w:cs="Arial"/>
        </w:rPr>
        <w:t>tu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Pr="009F51F0">
        <w:rPr>
          <w:rFonts w:ascii="Arial" w:hAnsi="Arial" w:cs="Arial"/>
        </w:rPr>
        <w:t>ho prípadu (§24/2/a; § 24/6 ZoU).</w:t>
      </w:r>
    </w:p>
    <w:p w:rsidR="00EA7459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:rsidR="00EA7459" w:rsidRDefault="00EA7459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:rsidR="00EA7459" w:rsidRDefault="00EA7459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t>Poznámky Úč</w:t>
      </w:r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A7459" w:rsidRDefault="00EA7459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A7459" w:rsidRDefault="00EA7459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A7459" w:rsidRPr="009F51F0" w:rsidRDefault="00EA7459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Pr="009F51F0">
        <w:rPr>
          <w:rFonts w:ascii="Arial" w:hAnsi="Arial" w:cs="Arial"/>
          <w:b/>
          <w:bCs/>
        </w:rPr>
        <w:t>lánok III</w:t>
      </w:r>
    </w:p>
    <w:p w:rsidR="00EA7459" w:rsidRPr="009F51F0" w:rsidRDefault="00EA7459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9F51F0">
        <w:rPr>
          <w:rFonts w:ascii="Arial" w:hAnsi="Arial" w:cs="Arial"/>
          <w:b/>
          <w:bCs/>
        </w:rPr>
        <w:t>Informácie, ktoré vysvetľujú a dopĺňajú súvahu a výkaz ziskov a strát</w:t>
      </w:r>
    </w:p>
    <w:p w:rsidR="00EA7459" w:rsidRDefault="00EA7459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A7459" w:rsidRPr="009F51F0" w:rsidRDefault="00EA7459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31.12.2020 nenastali žiadne udalosti, ktoré majú vplyv na verné</w:t>
      </w:r>
      <w:r w:rsidRPr="009F51F0">
        <w:rPr>
          <w:rFonts w:ascii="Arial" w:hAnsi="Arial" w:cs="Arial"/>
        </w:rPr>
        <w:t xml:space="preserve"> zobrazenie</w:t>
      </w:r>
    </w:p>
    <w:p w:rsidR="00EA7459" w:rsidRPr="009F51F0" w:rsidRDefault="00EA745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Pr="009F51F0">
        <w:rPr>
          <w:rFonts w:ascii="Arial" w:hAnsi="Arial" w:cs="Arial"/>
        </w:rPr>
        <w:t>tovníctva.</w:t>
      </w:r>
    </w:p>
    <w:sectPr w:rsidR="00EA7459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C7ABB"/>
    <w:rsid w:val="000259CC"/>
    <w:rsid w:val="0004696F"/>
    <w:rsid w:val="000656D5"/>
    <w:rsid w:val="00072F30"/>
    <w:rsid w:val="00073E25"/>
    <w:rsid w:val="000973E8"/>
    <w:rsid w:val="0016489D"/>
    <w:rsid w:val="001A0351"/>
    <w:rsid w:val="001D602C"/>
    <w:rsid w:val="001F5115"/>
    <w:rsid w:val="002534B4"/>
    <w:rsid w:val="00271F2F"/>
    <w:rsid w:val="002C7ABB"/>
    <w:rsid w:val="003A1FB6"/>
    <w:rsid w:val="003D4390"/>
    <w:rsid w:val="004D4239"/>
    <w:rsid w:val="004E3A5A"/>
    <w:rsid w:val="005D7213"/>
    <w:rsid w:val="006D7F0F"/>
    <w:rsid w:val="00707D27"/>
    <w:rsid w:val="0073114D"/>
    <w:rsid w:val="007328AF"/>
    <w:rsid w:val="00741EE0"/>
    <w:rsid w:val="007440CA"/>
    <w:rsid w:val="00823952"/>
    <w:rsid w:val="0090067D"/>
    <w:rsid w:val="00994345"/>
    <w:rsid w:val="009F51F0"/>
    <w:rsid w:val="00BF35B0"/>
    <w:rsid w:val="00D86707"/>
    <w:rsid w:val="00DC3340"/>
    <w:rsid w:val="00E72CD7"/>
    <w:rsid w:val="00EA7459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1FB6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848</Words>
  <Characters>4838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                               IČO: 44774010     DIČ: 2022820778 </dc:title>
  <dc:subject/>
  <dc:creator>obchod3</dc:creator>
  <cp:keywords/>
  <dc:description/>
  <cp:lastModifiedBy>Uzivatel</cp:lastModifiedBy>
  <cp:revision>2</cp:revision>
  <cp:lastPrinted>2021-03-09T12:54:00Z</cp:lastPrinted>
  <dcterms:created xsi:type="dcterms:W3CDTF">2021-03-31T08:26:00Z</dcterms:created>
  <dcterms:modified xsi:type="dcterms:W3CDTF">2021-03-31T08:26:00Z</dcterms:modified>
</cp:coreProperties>
</file>