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3060"/>
        <w:gridCol w:w="2664"/>
        <w:gridCol w:w="340"/>
        <w:gridCol w:w="339"/>
        <w:gridCol w:w="339"/>
        <w:gridCol w:w="339"/>
        <w:gridCol w:w="340"/>
        <w:gridCol w:w="339"/>
        <w:gridCol w:w="339"/>
        <w:gridCol w:w="340"/>
        <w:gridCol w:w="566"/>
        <w:gridCol w:w="339"/>
        <w:gridCol w:w="340"/>
        <w:gridCol w:w="339"/>
        <w:gridCol w:w="502"/>
      </w:tblGrid>
      <w:tr w:rsidR="00000000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keepNext/>
              <w:spacing w:before="0" w:line="100" w:lineRule="atLeast"/>
              <w:jc w:val="left"/>
              <w:rPr>
                <w:rFonts w:ascii="Arial" w:hAnsi="Arial"/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/>
                <w:sz w:val="22"/>
                <w:szCs w:val="22"/>
              </w:rPr>
              <w:t>Poznámky (Úč  NUJ 3 – 01)</w:t>
            </w:r>
          </w:p>
        </w:tc>
        <w:tc>
          <w:tcPr>
            <w:tcW w:w="266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keepNext/>
              <w:spacing w:before="0" w:line="100" w:lineRule="atLeast"/>
              <w:jc w:val="right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6" w:type="dxa"/>
            <w:tcBorders>
              <w:left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napToGrid w:val="0"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napToGrid w:val="0"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napToGrid w:val="0"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keepNext/>
              <w:snapToGrid w:val="0"/>
              <w:spacing w:before="0" w:line="100" w:lineRule="atLeast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</w:tr>
    </w:tbl>
    <w:p w:rsidR="00000000" w:rsidRDefault="00863523">
      <w:pPr>
        <w:keepNext/>
        <w:spacing w:before="0" w:line="100" w:lineRule="atLeast"/>
      </w:pPr>
    </w:p>
    <w:p w:rsidR="00000000" w:rsidRDefault="00863523">
      <w:pPr>
        <w:keepNext/>
        <w:spacing w:before="0" w:line="100" w:lineRule="atLeas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000000" w:rsidRDefault="00863523">
      <w:pPr>
        <w:keepNext/>
        <w:spacing w:before="0" w:line="100" w:lineRule="atLeas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</w:p>
    <w:p w:rsidR="00000000" w:rsidRDefault="00863523">
      <w:pPr>
        <w:spacing w:before="0" w:after="0" w:line="100" w:lineRule="atLeast"/>
        <w:jc w:val="lef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Názov politickej strany / hnutia 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SOLIDARITA – Hnutie pracujúcej chudoby</w:t>
      </w:r>
    </w:p>
    <w:p w:rsidR="00000000" w:rsidRDefault="00863523">
      <w:pPr>
        <w:spacing w:before="0" w:after="0" w:line="100" w:lineRule="atLeast"/>
        <w:jc w:val="lef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Skratka názvu politickej strany / hnutia:</w:t>
      </w:r>
      <w:r>
        <w:rPr>
          <w:sz w:val="22"/>
          <w:szCs w:val="22"/>
        </w:rPr>
        <w:t xml:space="preserve"> strana nepoužíva skratku</w:t>
      </w:r>
    </w:p>
    <w:p w:rsidR="00000000" w:rsidRDefault="00863523">
      <w:pPr>
        <w:spacing w:before="0" w:after="0" w:line="100" w:lineRule="atLeast"/>
        <w:jc w:val="lef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Typ:</w:t>
      </w:r>
      <w:r>
        <w:rPr>
          <w:sz w:val="22"/>
          <w:szCs w:val="22"/>
        </w:rPr>
        <w:t xml:space="preserve"> Strana </w:t>
      </w:r>
    </w:p>
    <w:p w:rsidR="00000000" w:rsidRDefault="00863523">
      <w:pPr>
        <w:spacing w:before="0" w:after="0" w:line="100" w:lineRule="atLeast"/>
        <w:jc w:val="lef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Sídlo:</w:t>
      </w:r>
      <w:r>
        <w:rPr>
          <w:sz w:val="22"/>
          <w:szCs w:val="22"/>
        </w:rPr>
        <w:t xml:space="preserve"> Kuzmányho 204/</w:t>
      </w:r>
      <w:r>
        <w:rPr>
          <w:sz w:val="22"/>
          <w:szCs w:val="22"/>
        </w:rPr>
        <w:t xml:space="preserve">16, 974 01  Banská Bystrica </w:t>
      </w:r>
    </w:p>
    <w:p w:rsidR="00000000" w:rsidRDefault="00863523">
      <w:pPr>
        <w:spacing w:before="0" w:after="0" w:line="100" w:lineRule="atLeast"/>
        <w:jc w:val="lef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IČO:</w:t>
      </w:r>
      <w:r>
        <w:rPr>
          <w:sz w:val="22"/>
          <w:szCs w:val="22"/>
        </w:rPr>
        <w:t xml:space="preserve"> 42418186 </w:t>
      </w:r>
    </w:p>
    <w:p w:rsidR="00000000" w:rsidRDefault="00863523">
      <w:pPr>
        <w:spacing w:before="0" w:after="0" w:line="100" w:lineRule="atLeast"/>
        <w:jc w:val="lef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 registrácie :</w:t>
      </w:r>
      <w:r>
        <w:rPr>
          <w:sz w:val="22"/>
          <w:szCs w:val="22"/>
        </w:rPr>
        <w:t xml:space="preserve"> 05.03.2015 </w:t>
      </w:r>
    </w:p>
    <w:p w:rsidR="00000000" w:rsidRDefault="00863523">
      <w:pPr>
        <w:spacing w:before="0" w:after="0" w:line="100" w:lineRule="atLeast"/>
        <w:jc w:val="left"/>
        <w:rPr>
          <w:sz w:val="22"/>
          <w:szCs w:val="22"/>
        </w:rPr>
      </w:pPr>
      <w:r>
        <w:rPr>
          <w:b/>
          <w:bCs/>
          <w:sz w:val="22"/>
          <w:szCs w:val="22"/>
        </w:rPr>
        <w:t>Číslo registrácie :</w:t>
      </w:r>
      <w:r>
        <w:rPr>
          <w:sz w:val="22"/>
          <w:szCs w:val="22"/>
        </w:rPr>
        <w:t xml:space="preserve"> SVS-OVR-2015/001821 </w:t>
      </w:r>
    </w:p>
    <w:p w:rsidR="00000000" w:rsidRDefault="00863523">
      <w:pPr>
        <w:spacing w:before="0" w:after="0" w:line="100" w:lineRule="atLeast"/>
        <w:jc w:val="left"/>
        <w:rPr>
          <w:sz w:val="22"/>
          <w:szCs w:val="22"/>
        </w:rPr>
      </w:pPr>
    </w:p>
    <w:p w:rsidR="00000000" w:rsidRDefault="00863523">
      <w:pPr>
        <w:spacing w:before="0" w:after="0" w:line="100" w:lineRule="atLeast"/>
        <w:jc w:val="left"/>
        <w:rPr>
          <w:sz w:val="22"/>
          <w:szCs w:val="22"/>
        </w:rPr>
      </w:pPr>
      <w:r>
        <w:rPr>
          <w:b/>
          <w:bCs/>
          <w:sz w:val="22"/>
          <w:szCs w:val="22"/>
        </w:rPr>
        <w:t>Členovia prípravného výboru:</w:t>
      </w:r>
      <w:r>
        <w:rPr>
          <w:sz w:val="22"/>
          <w:szCs w:val="22"/>
        </w:rPr>
        <w:t xml:space="preserve"> </w:t>
      </w:r>
    </w:p>
    <w:p w:rsidR="00000000" w:rsidRDefault="00863523">
      <w:pPr>
        <w:numPr>
          <w:ilvl w:val="0"/>
          <w:numId w:val="8"/>
        </w:numPr>
        <w:spacing w:before="28" w:after="28" w:line="100" w:lineRule="atLeast"/>
        <w:ind w:left="730" w:firstLine="0"/>
        <w:jc w:val="left"/>
        <w:rPr>
          <w:sz w:val="22"/>
          <w:szCs w:val="22"/>
        </w:rPr>
      </w:pPr>
      <w:r>
        <w:rPr>
          <w:sz w:val="22"/>
          <w:szCs w:val="22"/>
        </w:rPr>
        <w:t>PhDr. Juraj Miškov, Prešernova 56/4, 81102 Bratislava-Staré Mesto - člen</w:t>
      </w:r>
    </w:p>
    <w:p w:rsidR="00000000" w:rsidRDefault="00863523">
      <w:pPr>
        <w:numPr>
          <w:ilvl w:val="0"/>
          <w:numId w:val="8"/>
        </w:numPr>
        <w:spacing w:before="28" w:after="28" w:line="100" w:lineRule="atLeast"/>
        <w:ind w:left="730" w:firstLine="0"/>
        <w:jc w:val="left"/>
        <w:rPr>
          <w:sz w:val="22"/>
          <w:szCs w:val="22"/>
        </w:rPr>
      </w:pPr>
      <w:r>
        <w:rPr>
          <w:sz w:val="22"/>
          <w:szCs w:val="22"/>
        </w:rPr>
        <w:t>Rastislav Antala, Kysucká 7047/1, 8</w:t>
      </w:r>
      <w:r>
        <w:rPr>
          <w:sz w:val="22"/>
          <w:szCs w:val="22"/>
        </w:rPr>
        <w:t>1104 Bratislava-Staré Mesto - člen</w:t>
      </w:r>
    </w:p>
    <w:p w:rsidR="00000000" w:rsidRDefault="00863523">
      <w:pPr>
        <w:numPr>
          <w:ilvl w:val="0"/>
          <w:numId w:val="8"/>
        </w:numPr>
        <w:spacing w:before="28" w:after="28" w:line="100" w:lineRule="atLeast"/>
        <w:ind w:left="730" w:firstLine="0"/>
        <w:jc w:val="left"/>
        <w:rPr>
          <w:sz w:val="22"/>
          <w:szCs w:val="22"/>
        </w:rPr>
      </w:pPr>
      <w:r>
        <w:rPr>
          <w:sz w:val="22"/>
          <w:szCs w:val="22"/>
        </w:rPr>
        <w:t>Monika Dimitriadu, Na Dúbravy 482/14, 01311 Lietavská Lúčka - člen</w:t>
      </w:r>
    </w:p>
    <w:p w:rsidR="00000000" w:rsidRDefault="00863523">
      <w:pPr>
        <w:numPr>
          <w:ilvl w:val="0"/>
          <w:numId w:val="8"/>
        </w:numPr>
        <w:spacing w:before="28" w:after="28" w:line="100" w:lineRule="atLeast"/>
        <w:ind w:left="730" w:firstLine="0"/>
        <w:jc w:val="left"/>
        <w:rPr>
          <w:b/>
          <w:bCs/>
          <w:sz w:val="22"/>
          <w:szCs w:val="22"/>
        </w:rPr>
      </w:pPr>
      <w:r>
        <w:rPr>
          <w:sz w:val="22"/>
          <w:szCs w:val="22"/>
        </w:rPr>
        <w:t>Dr. iur. Michal Nižňan, Budmerice 355, 90086 Budmerice - splnomocnenec</w:t>
      </w:r>
    </w:p>
    <w:p w:rsidR="00000000" w:rsidRDefault="00863523">
      <w:pPr>
        <w:spacing w:before="0" w:after="0" w:line="100" w:lineRule="atLeast"/>
        <w:jc w:val="left"/>
        <w:rPr>
          <w:sz w:val="22"/>
          <w:szCs w:val="22"/>
        </w:rPr>
      </w:pPr>
      <w:r>
        <w:rPr>
          <w:b/>
          <w:bCs/>
          <w:sz w:val="22"/>
          <w:szCs w:val="22"/>
        </w:rPr>
        <w:t>Štatutárny organ</w:t>
      </w:r>
      <w:r>
        <w:rPr>
          <w:sz w:val="22"/>
          <w:szCs w:val="22"/>
        </w:rPr>
        <w:t xml:space="preserve"> </w:t>
      </w:r>
    </w:p>
    <w:p w:rsidR="00000000" w:rsidRDefault="00863523">
      <w:pPr>
        <w:numPr>
          <w:ilvl w:val="0"/>
          <w:numId w:val="9"/>
        </w:numPr>
        <w:spacing w:before="28" w:after="28" w:line="100" w:lineRule="atLeast"/>
        <w:ind w:left="730" w:firstLine="0"/>
        <w:jc w:val="left"/>
        <w:rPr>
          <w:sz w:val="22"/>
          <w:szCs w:val="22"/>
        </w:rPr>
      </w:pPr>
      <w:r>
        <w:rPr>
          <w:sz w:val="22"/>
          <w:szCs w:val="22"/>
        </w:rPr>
        <w:t>Dr. iur. Michal Nižňan, Budmerice 355, 90086 Budmerice do 7.11.20</w:t>
      </w:r>
      <w:r>
        <w:rPr>
          <w:sz w:val="22"/>
          <w:szCs w:val="22"/>
        </w:rPr>
        <w:t>18</w:t>
      </w:r>
    </w:p>
    <w:p w:rsidR="00000000" w:rsidRDefault="00863523">
      <w:pPr>
        <w:numPr>
          <w:ilvl w:val="0"/>
          <w:numId w:val="9"/>
        </w:numPr>
        <w:spacing w:before="28" w:after="28" w:line="100" w:lineRule="atLeast"/>
        <w:ind w:left="730" w:firstLine="0"/>
        <w:jc w:val="left"/>
        <w:rPr>
          <w:sz w:val="22"/>
          <w:szCs w:val="22"/>
        </w:rPr>
      </w:pPr>
      <w:r>
        <w:rPr>
          <w:sz w:val="22"/>
          <w:szCs w:val="22"/>
        </w:rPr>
        <w:t>JUDr. Ivo Barcaj, Zámocká 6455/8, 81101 Bratislava do 12.11.2019</w:t>
      </w:r>
    </w:p>
    <w:p w:rsidR="00000000" w:rsidRDefault="00863523">
      <w:pPr>
        <w:numPr>
          <w:ilvl w:val="0"/>
          <w:numId w:val="9"/>
        </w:numPr>
        <w:spacing w:before="28" w:after="28" w:line="100" w:lineRule="atLeast"/>
        <w:ind w:left="730" w:firstLine="0"/>
        <w:jc w:val="left"/>
        <w:rPr>
          <w:sz w:val="22"/>
          <w:szCs w:val="22"/>
        </w:rPr>
      </w:pPr>
      <w:r>
        <w:rPr>
          <w:sz w:val="22"/>
          <w:szCs w:val="22"/>
        </w:rPr>
        <w:t>Mgr. Miroslav Seget, Ostrý Grúň 192, 966 77  Ostrý Grúň od 12.11.2019</w:t>
      </w:r>
    </w:p>
    <w:p w:rsidR="00000000" w:rsidRDefault="00863523">
      <w:pPr>
        <w:pStyle w:val="ListParagraph"/>
        <w:numPr>
          <w:ilvl w:val="0"/>
          <w:numId w:val="5"/>
        </w:numPr>
        <w:spacing w:before="0" w:line="100" w:lineRule="atLeast"/>
        <w:rPr>
          <w:color w:val="000000"/>
          <w:sz w:val="22"/>
          <w:szCs w:val="22"/>
        </w:rPr>
      </w:pPr>
      <w:r>
        <w:rPr>
          <w:sz w:val="22"/>
          <w:szCs w:val="22"/>
        </w:rPr>
        <w:t>Opis činnosti, na účel ktorej bola účtovná jednotka zriadená a opis druhu podnikateľskej činnosti, ak ju účtovná jedno</w:t>
      </w:r>
      <w:r>
        <w:rPr>
          <w:sz w:val="22"/>
          <w:szCs w:val="22"/>
        </w:rPr>
        <w:t>tka vykonáva.</w:t>
      </w:r>
    </w:p>
    <w:p w:rsidR="00000000" w:rsidRDefault="00863523">
      <w:pPr>
        <w:suppressAutoHyphens w:val="0"/>
        <w:spacing w:before="240"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Základnými hodnotami politickej strany SOLIDARITA – Hnutie pracujúcej chudoby sú sloboda, tolerancia, ľudská dôstojnosť, solidarita a rovnosť pred zákonom. </w:t>
      </w:r>
    </w:p>
    <w:p w:rsidR="00000000" w:rsidRDefault="00863523">
      <w:pPr>
        <w:suppressAutoHyphens w:val="0"/>
        <w:spacing w:before="240" w:after="0" w:line="240" w:lineRule="auto"/>
        <w:rPr>
          <w:sz w:val="22"/>
          <w:szCs w:val="22"/>
        </w:rPr>
      </w:pPr>
      <w:r>
        <w:rPr>
          <w:color w:val="000000"/>
          <w:sz w:val="22"/>
          <w:szCs w:val="22"/>
        </w:rPr>
        <w:t>Cieľom Politickej strany SOLIDARITA – Hnutie pracujúcej chudoby je urobiť zo Slovensk</w:t>
      </w:r>
      <w:r>
        <w:rPr>
          <w:color w:val="000000"/>
          <w:sz w:val="22"/>
          <w:szCs w:val="22"/>
        </w:rPr>
        <w:t>a prosperujúcu a dobre spravovanú krajinu, v ktorej sú občania silní v právach, slobodní v rozhodovaní, rovní si v povinnostiach</w:t>
      </w:r>
      <w:r>
        <w:rPr>
          <w:sz w:val="22"/>
          <w:szCs w:val="22"/>
        </w:rPr>
        <w:t xml:space="preserve"> a kde nájdu svoju sebarealizáciu a uplatnenie</w:t>
      </w:r>
      <w:r>
        <w:rPr>
          <w:color w:val="000000"/>
          <w:sz w:val="22"/>
          <w:szCs w:val="22"/>
        </w:rPr>
        <w:t xml:space="preserve">. </w:t>
      </w:r>
    </w:p>
    <w:p w:rsidR="00000000" w:rsidRDefault="00863523">
      <w:pPr>
        <w:suppressAutoHyphens w:val="0"/>
        <w:spacing w:before="240" w:after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Navrhované programové riešenia budú vychádzať z nasledovných princípov: 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obhajo</w:t>
      </w:r>
      <w:r>
        <w:rPr>
          <w:rFonts w:ascii="Arial Narrow" w:hAnsi="Arial Narrow" w:cs="Arial Narrow"/>
          <w:sz w:val="22"/>
          <w:szCs w:val="22"/>
        </w:rPr>
        <w:t xml:space="preserve">ba práv pracujúcich, malých podnikateľov a živnostníkov, 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ochrana prírodných hodnôt a obnova krajiny s ohľadom na zmenu klímy,    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verejná správa má slúžiť občanovi, 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sebestačné, prosperujúce a príťažlivé regióny, 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dostupnosť bývania, vzdelania, sociálnej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a zdravotnej starostlivosti pre celú populáciu, 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zlepšenie uplatnenia mladých ľudí a podpora mladých rodín,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ochrana a rozvoj kultúrneho dedičstva – pamiatok a tradícií Slovenskej republiky,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posilnenie spoluúčasti verejnosti na správe vecí verejných, 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rovno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sť pred zákonom a spravodlivosť pre všetkých, 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zníženie energetickej náročnosti hospodárstva a jeho transformácia na obehovú ekonomiku, podpora vedy, výskumu a inovácií,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ekologizácia dopravy a znižovanie emisií do ovzdušia, pôdy a vody, </w:t>
      </w:r>
    </w:p>
    <w:p w:rsidR="00000000" w:rsidRDefault="00863523">
      <w:pPr>
        <w:pStyle w:val="subparagraph"/>
        <w:numPr>
          <w:ilvl w:val="0"/>
          <w:numId w:val="10"/>
        </w:num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posilnenie postave</w:t>
      </w:r>
      <w:r>
        <w:rPr>
          <w:rFonts w:ascii="Arial Narrow" w:hAnsi="Arial Narrow" w:cs="Arial Narrow"/>
          <w:sz w:val="22"/>
          <w:szCs w:val="22"/>
        </w:rPr>
        <w:t>nia Slovenska v EÚ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. </w:t>
      </w:r>
    </w:p>
    <w:p w:rsidR="00000000" w:rsidRDefault="00863523">
      <w:pPr>
        <w:pStyle w:val="subparagraph"/>
        <w:tabs>
          <w:tab w:val="clear" w:pos="360"/>
        </w:tabs>
        <w:ind w:left="1429"/>
        <w:rPr>
          <w:rFonts w:ascii="Arial Narrow" w:hAnsi="Arial Narrow" w:cs="Arial Narrow"/>
          <w:color w:val="000000"/>
          <w:sz w:val="22"/>
          <w:szCs w:val="22"/>
        </w:rPr>
      </w:pPr>
    </w:p>
    <w:p w:rsidR="00000000" w:rsidRDefault="00863523">
      <w:pPr>
        <w:pStyle w:val="ListParagraph"/>
        <w:numPr>
          <w:ilvl w:val="0"/>
          <w:numId w:val="5"/>
        </w:numPr>
        <w:spacing w:before="0" w:line="100" w:lineRule="atLeast"/>
        <w:rPr>
          <w:b/>
          <w:sz w:val="22"/>
          <w:szCs w:val="22"/>
        </w:rPr>
      </w:pPr>
      <w:r>
        <w:rPr>
          <w:sz w:val="22"/>
          <w:szCs w:val="22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</w:t>
      </w:r>
      <w:r>
        <w:rPr>
          <w:sz w:val="22"/>
          <w:szCs w:val="22"/>
        </w:rPr>
        <w:t xml:space="preserve">obdobie. Počet dobrovoľníkov vyslaných účtovnou jednotkou a počet dobrovoľníkov, ktorí </w:t>
      </w:r>
      <w:r>
        <w:rPr>
          <w:sz w:val="22"/>
          <w:szCs w:val="22"/>
        </w:rPr>
        <w:lastRenderedPageBreak/>
        <w:t xml:space="preserve">vykonávali dobrovoľnícku činnosť pre účtovnú jednotku počas bežného účtovného obdobia a bezprostredne predchádzajúceho účtovného obdobia. </w:t>
      </w:r>
    </w:p>
    <w:p w:rsidR="00000000" w:rsidRDefault="00863523">
      <w:pPr>
        <w:spacing w:before="0" w:line="100" w:lineRule="atLeast"/>
        <w:jc w:val="left"/>
      </w:pPr>
      <w:r>
        <w:rPr>
          <w:b/>
          <w:sz w:val="22"/>
          <w:szCs w:val="22"/>
        </w:rPr>
        <w:t>Tabuľka k čl. I ods.  4 o počt</w:t>
      </w:r>
      <w:r>
        <w:rPr>
          <w:b/>
          <w:sz w:val="22"/>
          <w:szCs w:val="22"/>
        </w:rPr>
        <w:t>e zamestnancov a dobrovoľníkov</w:t>
      </w: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4960"/>
        <w:gridCol w:w="2409"/>
        <w:gridCol w:w="2704"/>
      </w:tblGrid>
      <w:tr w:rsidR="00000000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pStyle w:val="Textopatrenia"/>
              <w:snapToGrid w:val="0"/>
              <w:spacing w:before="0" w:after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 účtovné obdobie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</w:tbl>
    <w:p w:rsidR="00000000" w:rsidRDefault="00863523">
      <w:pPr>
        <w:sectPr w:rsidR="00000000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851" w:right="851" w:bottom="709" w:left="851" w:header="709" w:footer="142" w:gutter="0"/>
          <w:cols w:space="708"/>
          <w:docGrid w:linePitch="600" w:charSpace="40960"/>
        </w:sectPr>
      </w:pP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4960"/>
        <w:gridCol w:w="2409"/>
        <w:gridCol w:w="2704"/>
      </w:tblGrid>
      <w:tr w:rsidR="00000000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pacing w:before="0" w:after="0"/>
              <w:jc w:val="left"/>
            </w:pPr>
            <w:r>
              <w:lastRenderedPageBreak/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napToGrid w:val="0"/>
              <w:spacing w:before="0" w:after="0"/>
              <w:jc w:val="left"/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napToGrid w:val="0"/>
              <w:spacing w:before="0" w:after="0"/>
              <w:jc w:val="left"/>
            </w:pPr>
          </w:p>
        </w:tc>
      </w:tr>
      <w:tr w:rsidR="00000000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napToGrid w:val="0"/>
              <w:spacing w:before="0" w:after="0"/>
              <w:jc w:val="left"/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napToGrid w:val="0"/>
              <w:spacing w:before="0" w:after="0"/>
              <w:jc w:val="left"/>
            </w:pPr>
          </w:p>
        </w:tc>
      </w:tr>
      <w:tr w:rsidR="00000000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napToGrid w:val="0"/>
              <w:spacing w:before="0" w:after="0"/>
              <w:jc w:val="left"/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napToGrid w:val="0"/>
              <w:spacing w:before="0" w:after="0"/>
              <w:jc w:val="left"/>
            </w:pPr>
          </w:p>
        </w:tc>
      </w:tr>
      <w:tr w:rsidR="00000000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pacing w:before="0" w:after="0"/>
              <w:jc w:val="left"/>
            </w:pPr>
            <w:r>
              <w:t>Počet dobrovoľníko</w:t>
            </w:r>
            <w:r>
              <w:t>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napToGrid w:val="0"/>
              <w:spacing w:before="0" w:after="0"/>
              <w:jc w:val="left"/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extopatrenia"/>
              <w:snapToGrid w:val="0"/>
              <w:spacing w:before="0" w:after="0"/>
              <w:jc w:val="left"/>
            </w:pPr>
          </w:p>
        </w:tc>
      </w:tr>
    </w:tbl>
    <w:p w:rsidR="00000000" w:rsidRDefault="00863523">
      <w:pPr>
        <w:pStyle w:val="ListParagraph"/>
        <w:spacing w:before="0" w:line="100" w:lineRule="atLeast"/>
      </w:pPr>
    </w:p>
    <w:p w:rsidR="00000000" w:rsidRDefault="00863523">
      <w:pPr>
        <w:pStyle w:val="ListParagraph"/>
        <w:numPr>
          <w:ilvl w:val="0"/>
          <w:numId w:val="5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Informácia o organizáciách v zriaďovateľskej pôsobnosti účtovnej jednotky.</w:t>
      </w:r>
    </w:p>
    <w:p w:rsidR="00000000" w:rsidRDefault="00863523">
      <w:pPr>
        <w:pStyle w:val="ListParagraph"/>
        <w:spacing w:before="0" w:line="100" w:lineRule="atLeast"/>
        <w:rPr>
          <w:b/>
          <w:bCs/>
          <w:sz w:val="22"/>
          <w:szCs w:val="22"/>
        </w:rPr>
      </w:pPr>
      <w:r>
        <w:rPr>
          <w:sz w:val="22"/>
          <w:szCs w:val="22"/>
        </w:rPr>
        <w:t>Bez náplne</w:t>
      </w:r>
    </w:p>
    <w:p w:rsidR="00000000" w:rsidRDefault="00863523">
      <w:pPr>
        <w:keepNext/>
        <w:spacing w:before="0" w:line="100" w:lineRule="atLeas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II</w:t>
      </w:r>
    </w:p>
    <w:p w:rsidR="00000000" w:rsidRDefault="00863523">
      <w:pPr>
        <w:keepNext/>
        <w:spacing w:before="0" w:line="100" w:lineRule="atLeas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000000" w:rsidRDefault="00863523">
      <w:pPr>
        <w:pStyle w:val="ListParagraph"/>
        <w:numPr>
          <w:ilvl w:val="0"/>
          <w:numId w:val="6"/>
        </w:numPr>
        <w:spacing w:before="0" w:line="100" w:lineRule="atLeast"/>
        <w:rPr>
          <w:rFonts w:cs="Times New Roman"/>
          <w:color w:val="000000"/>
          <w:sz w:val="22"/>
          <w:szCs w:val="22"/>
        </w:rPr>
      </w:pPr>
      <w:r>
        <w:rPr>
          <w:sz w:val="22"/>
          <w:szCs w:val="22"/>
        </w:rPr>
        <w:t>Účtovná závierka bo</w:t>
      </w:r>
      <w:r>
        <w:rPr>
          <w:sz w:val="22"/>
          <w:szCs w:val="22"/>
        </w:rPr>
        <w:t>la zostavená za predpokladu nepretržitého pokračovania vo svojej činnosti (going concern)</w:t>
      </w:r>
    </w:p>
    <w:p w:rsidR="00000000" w:rsidRDefault="00863523">
      <w:pPr>
        <w:pStyle w:val="ListParagraph"/>
        <w:numPr>
          <w:ilvl w:val="0"/>
          <w:numId w:val="6"/>
        </w:numPr>
        <w:spacing w:before="0" w:after="0" w:line="100" w:lineRule="atLeast"/>
        <w:rPr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  <w:t>Účtovné metódy a všeobecné účtovné zásady boli účtovnou jednotkou konzistentne aplikované.</w:t>
      </w:r>
    </w:p>
    <w:p w:rsidR="00000000" w:rsidRDefault="00863523">
      <w:pPr>
        <w:pStyle w:val="ListParagraph"/>
        <w:numPr>
          <w:ilvl w:val="0"/>
          <w:numId w:val="6"/>
        </w:numPr>
        <w:spacing w:before="0" w:after="0" w:line="100" w:lineRule="atLeast"/>
        <w:rPr>
          <w:sz w:val="22"/>
          <w:szCs w:val="22"/>
        </w:rPr>
      </w:pPr>
      <w:r>
        <w:rPr>
          <w:sz w:val="22"/>
          <w:szCs w:val="22"/>
        </w:rPr>
        <w:t>Spôsob oceňovania jednotlivých položiek majetku a záväzkov v členení na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>
        <w:rPr>
          <w:sz w:val="22"/>
          <w:szCs w:val="22"/>
        </w:rPr>
        <w:t>dlhodobý nehmotný majetok obstaraný kúpou – bez náplne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 – bez náplne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c) dlhodobý nehmotný majetok obstaraný iným spôsobom – bez náplne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d) dlhodobý hmotný majetok obstaraný kúpou – menovitou hodnotou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 – bez náplne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 – bez náplne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g) dlhodobý finančný majetok – bez náplne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h) zásoby obstarané kúpou – bez náplne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i) zásoby vytvorené vlastnou činnosťou – b</w:t>
      </w:r>
      <w:r>
        <w:rPr>
          <w:sz w:val="22"/>
          <w:szCs w:val="22"/>
        </w:rPr>
        <w:t>ez náplne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j) zásoby obstarané iným spôsobom – bez náplne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l) krátkodobý finančný majetok – menovitou hodnotou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m) časové rozlíšenie na strane aktív – na účtoch časového rozlíšenia sa účtujú náklady a príjmy v rozlíšení s úč</w:t>
      </w:r>
      <w:r>
        <w:rPr>
          <w:sz w:val="22"/>
          <w:szCs w:val="22"/>
        </w:rPr>
        <w:t>tovným obdobím s ktorým časovo a vecne súvisia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 – menovitou hodnotou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o) časové rozlíšenie na strane pasív - na účtoch časového rozlíšenia sa účtujú výdavky a výnosy v rozlíšení s účtovným obdobím s kto</w:t>
      </w:r>
      <w:r>
        <w:rPr>
          <w:sz w:val="22"/>
          <w:szCs w:val="22"/>
        </w:rPr>
        <w:t>rým časovo a vecne súvisia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p) deriváty – bez náplne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r) majetok a záväzky zabezpečené derivátmi – bez náplne</w:t>
      </w:r>
    </w:p>
    <w:p w:rsidR="00000000" w:rsidRDefault="00863523">
      <w:pPr>
        <w:spacing w:before="0" w:line="100" w:lineRule="atLeast"/>
        <w:rPr>
          <w:rFonts w:ascii="Arial" w:hAnsi="Arial"/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(4) Spôsob zostavenia odpisového plánu pre jednotlivé druhy dlhodobého hmotného majetku  a dlhodobého nehmotného majetku, pričom sa uvádza doba odp</w:t>
      </w:r>
      <w:r>
        <w:rPr>
          <w:sz w:val="22"/>
          <w:szCs w:val="22"/>
        </w:rPr>
        <w:t xml:space="preserve">isovania, použité sadzby odpisov a odpisové metódy pri určení odpisov. </w:t>
      </w: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2585"/>
        <w:gridCol w:w="2586"/>
        <w:gridCol w:w="2586"/>
        <w:gridCol w:w="2735"/>
      </w:tblGrid>
      <w:tr w:rsidR="00000000">
        <w:trPr>
          <w:trHeight w:val="391"/>
        </w:trPr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Popis majetku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Doba odpisovania v mesiacoch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Metóda odpisovania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</w:pPr>
            <w:r>
              <w:rPr>
                <w:rFonts w:ascii="Arial" w:hAnsi="Arial"/>
                <w:b/>
                <w:sz w:val="22"/>
                <w:szCs w:val="22"/>
              </w:rPr>
              <w:t>Ročná sadzba v %</w:t>
            </w:r>
          </w:p>
        </w:tc>
      </w:tr>
      <w:tr w:rsidR="00000000">
        <w:trPr>
          <w:trHeight w:val="391"/>
        </w:trPr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Nehmotný majetok – softvér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60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rovnomerná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</w:pPr>
            <w:r>
              <w:rPr>
                <w:rFonts w:ascii="Arial" w:hAnsi="Arial"/>
                <w:sz w:val="22"/>
                <w:szCs w:val="22"/>
              </w:rPr>
              <w:t>20,00</w:t>
            </w:r>
          </w:p>
        </w:tc>
      </w:tr>
      <w:tr w:rsidR="00000000">
        <w:trPr>
          <w:trHeight w:val="391"/>
        </w:trPr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Stavby, budovy, haly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240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rovnomerná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</w:pPr>
            <w:r>
              <w:rPr>
                <w:rFonts w:ascii="Arial" w:hAnsi="Arial"/>
                <w:sz w:val="22"/>
                <w:szCs w:val="22"/>
              </w:rPr>
              <w:t>5,00</w:t>
            </w:r>
          </w:p>
        </w:tc>
      </w:tr>
      <w:tr w:rsidR="00000000">
        <w:trPr>
          <w:trHeight w:val="391"/>
        </w:trPr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Stroje a príst</w:t>
            </w:r>
            <w:r>
              <w:rPr>
                <w:rFonts w:ascii="Arial" w:hAnsi="Arial"/>
                <w:sz w:val="22"/>
                <w:szCs w:val="22"/>
              </w:rPr>
              <w:t>roje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48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rovnomerná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</w:pPr>
            <w:r>
              <w:rPr>
                <w:rFonts w:ascii="Arial" w:hAnsi="Arial"/>
                <w:sz w:val="22"/>
                <w:szCs w:val="22"/>
              </w:rPr>
              <w:t>25,00</w:t>
            </w:r>
          </w:p>
        </w:tc>
      </w:tr>
      <w:tr w:rsidR="00000000">
        <w:trPr>
          <w:trHeight w:val="391"/>
        </w:trPr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lastRenderedPageBreak/>
              <w:t>Nábytok a zariadenie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72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rovnomerná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</w:pPr>
            <w:r>
              <w:rPr>
                <w:rFonts w:ascii="Arial" w:hAnsi="Arial"/>
                <w:sz w:val="22"/>
                <w:szCs w:val="22"/>
              </w:rPr>
              <w:t>16,67</w:t>
            </w:r>
          </w:p>
        </w:tc>
      </w:tr>
      <w:tr w:rsidR="00000000">
        <w:trPr>
          <w:trHeight w:val="391"/>
        </w:trPr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Automobily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48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rovnomerná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</w:pPr>
            <w:r>
              <w:rPr>
                <w:rFonts w:ascii="Arial" w:hAnsi="Arial"/>
                <w:sz w:val="22"/>
                <w:szCs w:val="22"/>
              </w:rPr>
              <w:t>25,00</w:t>
            </w:r>
          </w:p>
        </w:tc>
      </w:tr>
      <w:tr w:rsidR="00000000">
        <w:trPr>
          <w:trHeight w:val="391"/>
        </w:trPr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Ostatný hmotný majetok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48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rovnomerná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</w:pPr>
            <w:r>
              <w:rPr>
                <w:rFonts w:ascii="Arial" w:hAnsi="Arial"/>
                <w:sz w:val="22"/>
                <w:szCs w:val="22"/>
              </w:rPr>
              <w:t>25,00</w:t>
            </w:r>
          </w:p>
        </w:tc>
      </w:tr>
      <w:tr w:rsidR="00000000">
        <w:trPr>
          <w:trHeight w:val="391"/>
        </w:trPr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Ostatný hmotný majetok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72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rovnomerná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</w:pPr>
            <w:r>
              <w:rPr>
                <w:rFonts w:ascii="Arial" w:hAnsi="Arial"/>
                <w:sz w:val="22"/>
                <w:szCs w:val="22"/>
              </w:rPr>
              <w:t>16,67</w:t>
            </w:r>
          </w:p>
        </w:tc>
      </w:tr>
    </w:tbl>
    <w:p w:rsidR="00000000" w:rsidRDefault="00863523">
      <w:pPr>
        <w:spacing w:before="0" w:line="100" w:lineRule="atLeast"/>
      </w:pPr>
      <w:r>
        <w:rPr>
          <w:rFonts w:ascii="Arial" w:hAnsi="Arial"/>
          <w:sz w:val="22"/>
          <w:szCs w:val="22"/>
        </w:rPr>
        <w:t>(5) Zásady pre zohľadnenie zníženia hodnoty majetku. Uvádza sa, či ú</w:t>
      </w:r>
      <w:r>
        <w:rPr>
          <w:rFonts w:ascii="Arial" w:hAnsi="Arial"/>
          <w:sz w:val="22"/>
          <w:szCs w:val="22"/>
        </w:rPr>
        <w:t>čtovná jednotka uplatňuje opravné položky a rezervy – bez náplne</w:t>
      </w:r>
    </w:p>
    <w:p w:rsidR="00000000" w:rsidRDefault="00863523">
      <w:pPr>
        <w:pStyle w:val="Pta"/>
      </w:pPr>
    </w:p>
    <w:p w:rsidR="00000000" w:rsidRDefault="00863523">
      <w:pPr>
        <w:sectPr w:rsidR="00000000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851" w:right="851" w:bottom="851" w:left="851" w:header="720" w:footer="709" w:gutter="0"/>
          <w:cols w:space="708"/>
          <w:docGrid w:linePitch="600" w:charSpace="40960"/>
        </w:sectPr>
      </w:pPr>
    </w:p>
    <w:p w:rsidR="00000000" w:rsidRDefault="00863523">
      <w:pPr>
        <w:keepNext/>
        <w:spacing w:before="0" w:line="100" w:lineRule="atLeas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Čl. III</w:t>
      </w:r>
    </w:p>
    <w:p w:rsidR="00000000" w:rsidRDefault="00863523">
      <w:pPr>
        <w:keepNext/>
        <w:spacing w:before="0" w:line="100" w:lineRule="atLeas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000000" w:rsidRDefault="00863523">
      <w:pPr>
        <w:numPr>
          <w:ilvl w:val="0"/>
          <w:numId w:val="4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dlhodobom nehmotnom majetku a dlhodobom hmotnom majetku za bežné účtovné obdobie, a to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a) prehľad o dlhodobom majetku</w:t>
      </w:r>
      <w:r>
        <w:rPr>
          <w:sz w:val="22"/>
          <w:szCs w:val="22"/>
        </w:rPr>
        <w:t xml:space="preserve">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b) prehľad o</w:t>
      </w:r>
      <w:r>
        <w:rPr>
          <w:sz w:val="22"/>
          <w:szCs w:val="22"/>
        </w:rPr>
        <w:t>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</w:t>
      </w:r>
      <w:r>
        <w:rPr>
          <w:sz w:val="22"/>
          <w:szCs w:val="22"/>
        </w:rPr>
        <w:t xml:space="preserve"> bežného účtovného obdobia a zostatok na konci bežného účtovného obdobia,</w:t>
      </w:r>
    </w:p>
    <w:p w:rsidR="00000000" w:rsidRDefault="00863523">
      <w:pPr>
        <w:spacing w:before="0" w:line="100" w:lineRule="atLeast"/>
        <w:rPr>
          <w:b/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000000" w:rsidRDefault="00863523">
      <w:pPr>
        <w:spacing w:before="0" w:line="100" w:lineRule="atLeast"/>
      </w:pPr>
      <w:r>
        <w:rPr>
          <w:b/>
          <w:sz w:val="22"/>
          <w:szCs w:val="22"/>
        </w:rPr>
        <w:t>Tabuľka č. 2</w:t>
      </w: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1317"/>
        <w:gridCol w:w="626"/>
        <w:gridCol w:w="1225"/>
        <w:gridCol w:w="753"/>
        <w:gridCol w:w="1684"/>
        <w:gridCol w:w="1246"/>
        <w:gridCol w:w="991"/>
        <w:gridCol w:w="1307"/>
        <w:gridCol w:w="1607"/>
        <w:gridCol w:w="1227"/>
        <w:gridCol w:w="1087"/>
        <w:gridCol w:w="1402"/>
        <w:gridCol w:w="1222"/>
        <w:gridCol w:w="40"/>
        <w:gridCol w:w="40"/>
        <w:gridCol w:w="40"/>
        <w:gridCol w:w="20"/>
      </w:tblGrid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</w:t>
            </w:r>
            <w:r>
              <w:rPr>
                <w:b/>
                <w:sz w:val="22"/>
                <w:szCs w:val="22"/>
              </w:rPr>
              <w:t>otný majetok</w:t>
            </w: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</w:t>
            </w:r>
            <w:r>
              <w:rPr>
                <w:sz w:val="22"/>
                <w:szCs w:val="22"/>
              </w:rPr>
              <w:t>bdobia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</w:t>
            </w:r>
            <w:r>
              <w:rPr>
                <w:sz w:val="22"/>
                <w:szCs w:val="22"/>
              </w:rPr>
              <w:t>tovného obdobia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blPrEx>
          <w:tblCellMar>
            <w:left w:w="0" w:type="dxa"/>
            <w:right w:w="0" w:type="dxa"/>
          </w:tblCellMar>
        </w:tblPrEx>
        <w:trPr>
          <w:gridAfter w:val="1"/>
          <w:wAfter w:w="20" w:type="dxa"/>
          <w:trHeight w:val="361"/>
        </w:trPr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  <w:tc>
          <w:tcPr>
            <w:tcW w:w="14377" w:type="dxa"/>
            <w:gridSpan w:val="12"/>
            <w:tcBorders>
              <w:lef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1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3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sz w:val="22"/>
                <w:szCs w:val="22"/>
              </w:rPr>
            </w:pPr>
          </w:p>
        </w:tc>
      </w:tr>
    </w:tbl>
    <w:p w:rsidR="00000000" w:rsidRDefault="00863523">
      <w:pPr>
        <w:sectPr w:rsidR="00000000">
          <w:headerReference w:type="even" r:id="rId19"/>
          <w:headerReference w:type="default" r:id="rId20"/>
          <w:footerReference w:type="even" r:id="rId21"/>
          <w:footerReference w:type="default" r:id="rId22"/>
          <w:headerReference w:type="first" r:id="rId23"/>
          <w:footerReference w:type="first" r:id="rId24"/>
          <w:pgSz w:w="16838" w:h="11906" w:orient="landscape"/>
          <w:pgMar w:top="851" w:right="851" w:bottom="709" w:left="851" w:header="709" w:footer="142" w:gutter="0"/>
          <w:cols w:space="708"/>
          <w:docGrid w:linePitch="600" w:charSpace="40960"/>
        </w:sectPr>
      </w:pPr>
    </w:p>
    <w:p w:rsidR="00000000" w:rsidRDefault="00863523">
      <w:pPr>
        <w:spacing w:before="0" w:line="100" w:lineRule="atLeast"/>
        <w:rPr>
          <w:sz w:val="22"/>
          <w:szCs w:val="22"/>
        </w:rPr>
      </w:pPr>
    </w:p>
    <w:p w:rsidR="00000000" w:rsidRDefault="00863523">
      <w:pPr>
        <w:numPr>
          <w:ilvl w:val="0"/>
          <w:numId w:val="4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dlhodobého majetku, na ktorý je zriadené záložné právo a dlhodobého majetku, pri ktoro</w:t>
      </w:r>
      <w:r>
        <w:rPr>
          <w:sz w:val="22"/>
          <w:szCs w:val="22"/>
        </w:rPr>
        <w:t>m má účtovná jednotka obmedzené právo s ním nakladať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00000" w:rsidRDefault="00863523">
      <w:pPr>
        <w:numPr>
          <w:ilvl w:val="0"/>
          <w:numId w:val="4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spôsobe a výške poistenia dlhodobého nehmotného majetku a dlhodobého hmotného majetku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00000" w:rsidRDefault="00863523">
      <w:pPr>
        <w:numPr>
          <w:ilvl w:val="0"/>
          <w:numId w:val="4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štruktúre dlhodobého finančného majetku za bežné účtovné obdobie a jeho umies</w:t>
      </w:r>
      <w:r>
        <w:rPr>
          <w:sz w:val="22"/>
          <w:szCs w:val="22"/>
        </w:rPr>
        <w:t>tnenie v členení podľa položiek súvahy a o zmenách, ktoré sa uskutočnili v priebehu bežného účtovného obdobia v jednotlivých položkách dlhodobého  finančného  majetku.</w:t>
      </w:r>
    </w:p>
    <w:p w:rsidR="00000000" w:rsidRDefault="00863523">
      <w:pPr>
        <w:spacing w:before="0" w:line="100" w:lineRule="atLeast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Podiel v obchodnej spoločnosti SK-OK, s.r.o., </w:t>
      </w:r>
      <w:r>
        <w:rPr>
          <w:rStyle w:val="ra"/>
        </w:rPr>
        <w:t xml:space="preserve">Štefánikova 41, Bratislava, 811 04 - </w:t>
      </w:r>
    </w:p>
    <w:p w:rsidR="00000000" w:rsidRDefault="00863523">
      <w:pPr>
        <w:numPr>
          <w:ilvl w:val="0"/>
          <w:numId w:val="4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</w:t>
      </w:r>
      <w:r>
        <w:rPr>
          <w:sz w:val="22"/>
          <w:szCs w:val="22"/>
        </w:rPr>
        <w:t>ormácia o výške tvorby, zníženia a zúčtovania opravných položiek k dlhodobému finančnému majetku a opis dôvodu ich tvorby, zníženia a zúčtovania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00000" w:rsidRDefault="00863523">
      <w:pPr>
        <w:numPr>
          <w:ilvl w:val="0"/>
          <w:numId w:val="4"/>
        </w:numPr>
        <w:spacing w:before="0" w:line="100" w:lineRule="atLeast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významných položkách krátkodobého finančného majetku a  o ocenení krátkodobého finančného</w:t>
      </w:r>
      <w:r>
        <w:rPr>
          <w:sz w:val="22"/>
          <w:szCs w:val="22"/>
        </w:rPr>
        <w:t xml:space="preserve"> majetku  reálnou hodnotou ku dňu, ku ktorému sa zostavuje účtovná závierka, pričom sa uvádza vplyv takéhoto ocenenia na výsledok hospodárenia účtovnej jednotky.</w:t>
      </w:r>
    </w:p>
    <w:p w:rsidR="00000000" w:rsidRDefault="00863523">
      <w:pPr>
        <w:spacing w:before="0" w:line="100" w:lineRule="atLeast"/>
        <w:rPr>
          <w:rFonts w:ascii="Arial" w:hAnsi="Arial"/>
          <w:b/>
          <w:sz w:val="22"/>
          <w:szCs w:val="22"/>
        </w:rPr>
      </w:pPr>
      <w:r>
        <w:rPr>
          <w:b/>
          <w:sz w:val="22"/>
          <w:szCs w:val="22"/>
        </w:rPr>
        <w:t>Tabuľka k čl. III ods. 6 o položkách krátkodobého finančného majetku</w:t>
      </w: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2305"/>
        <w:gridCol w:w="2403"/>
        <w:gridCol w:w="2640"/>
      </w:tblGrid>
      <w:tr w:rsidR="00000000">
        <w:trPr>
          <w:trHeight w:val="361"/>
        </w:trPr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</w:t>
            </w:r>
            <w:r>
              <w:rPr>
                <w:rFonts w:ascii="Arial" w:hAnsi="Arial"/>
                <w:b/>
                <w:sz w:val="22"/>
                <w:szCs w:val="22"/>
              </w:rPr>
              <w:t>ok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center"/>
            </w:pPr>
            <w:r>
              <w:rPr>
                <w:rFonts w:ascii="Arial" w:hAnsi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00000">
        <w:trPr>
          <w:trHeight w:val="361"/>
        </w:trPr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Pokladnica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128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jc w:val="right"/>
            </w:pPr>
            <w:r>
              <w:rPr>
                <w:rFonts w:ascii="Arial" w:hAnsi="Arial"/>
                <w:sz w:val="22"/>
                <w:szCs w:val="22"/>
              </w:rPr>
              <w:t>128</w:t>
            </w:r>
          </w:p>
        </w:tc>
      </w:tr>
      <w:tr w:rsidR="00000000">
        <w:trPr>
          <w:trHeight w:val="361"/>
        </w:trPr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Ceniny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jc w:val="right"/>
              <w:rPr>
                <w:rFonts w:ascii="Arial" w:hAnsi="Arial"/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Bežné bankové účty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204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jc w:val="right"/>
            </w:pPr>
            <w:r>
              <w:rPr>
                <w:rFonts w:ascii="Arial" w:hAnsi="Arial"/>
                <w:sz w:val="22"/>
                <w:szCs w:val="22"/>
              </w:rPr>
              <w:t>413</w:t>
            </w:r>
          </w:p>
        </w:tc>
      </w:tr>
      <w:tr w:rsidR="00000000">
        <w:trPr>
          <w:trHeight w:val="361"/>
        </w:trPr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Bankové účty s dobou viazanosťou dlhšou ako 1rok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jc w:val="right"/>
              <w:rPr>
                <w:rFonts w:ascii="Arial" w:hAnsi="Arial"/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jc w:val="lef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Peniaze na ceste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jc w:val="right"/>
              <w:rPr>
                <w:rFonts w:ascii="Arial" w:hAnsi="Arial"/>
                <w:sz w:val="22"/>
                <w:szCs w:val="22"/>
              </w:rPr>
            </w:pPr>
          </w:p>
        </w:tc>
      </w:tr>
      <w:tr w:rsidR="00000000">
        <w:trPr>
          <w:trHeight w:val="361"/>
        </w:trPr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332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jc w:val="right"/>
            </w:pPr>
            <w:r>
              <w:rPr>
                <w:rFonts w:ascii="Arial" w:hAnsi="Arial"/>
                <w:b/>
                <w:sz w:val="22"/>
                <w:szCs w:val="22"/>
              </w:rPr>
              <w:t>541</w:t>
            </w:r>
          </w:p>
        </w:tc>
      </w:tr>
    </w:tbl>
    <w:p w:rsidR="00000000" w:rsidRDefault="00863523">
      <w:pPr>
        <w:spacing w:before="0" w:line="100" w:lineRule="atLeast"/>
      </w:pPr>
    </w:p>
    <w:p w:rsidR="00000000" w:rsidRDefault="00863523">
      <w:pPr>
        <w:numPr>
          <w:ilvl w:val="0"/>
          <w:numId w:val="4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</w:t>
      </w:r>
      <w:r>
        <w:rPr>
          <w:sz w:val="22"/>
          <w:szCs w:val="22"/>
        </w:rPr>
        <w:t>rby, zníženia alebo zúčtovania opravných položiek k zásobám.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00000" w:rsidRDefault="00863523">
      <w:pPr>
        <w:numPr>
          <w:ilvl w:val="0"/>
          <w:numId w:val="4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významných pohľadávok v nadväznosti na položky súvahy a v členení na pohľadávky za hlavnú nezdaňovanú  činnosť,  zdaňovanú činnosť a podnikateľskú činnosť.</w:t>
      </w:r>
    </w:p>
    <w:p w:rsidR="00000000" w:rsidRDefault="00863523">
      <w:pPr>
        <w:numPr>
          <w:ilvl w:val="0"/>
          <w:numId w:val="4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opravných po</w:t>
      </w:r>
      <w:r>
        <w:rPr>
          <w:sz w:val="22"/>
          <w:szCs w:val="22"/>
        </w:rPr>
        <w:t>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</w:t>
      </w:r>
      <w:r>
        <w:rPr>
          <w:sz w:val="22"/>
          <w:szCs w:val="22"/>
        </w:rPr>
        <w:t>vania opravných položiek k pohľadávkam.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00000" w:rsidRDefault="00863523">
      <w:pPr>
        <w:numPr>
          <w:ilvl w:val="0"/>
          <w:numId w:val="4"/>
        </w:numPr>
        <w:spacing w:before="0" w:line="100" w:lineRule="atLeast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 pohľadávok do lehoty splatnosti a po lehote splatnosti.</w:t>
      </w:r>
    </w:p>
    <w:p w:rsidR="00000000" w:rsidRDefault="00863523">
      <w:pPr>
        <w:spacing w:before="0" w:line="100" w:lineRule="atLeast"/>
      </w:pPr>
      <w:r>
        <w:rPr>
          <w:b/>
          <w:sz w:val="22"/>
          <w:szCs w:val="22"/>
        </w:rPr>
        <w:lastRenderedPageBreak/>
        <w:t xml:space="preserve">Tabuľka k čl. III ods. 10  o pohľadávkach do lehoty splatnosti a po lehote splatnosti </w:t>
      </w:r>
    </w:p>
    <w:tbl>
      <w:tblPr>
        <w:tblW w:w="0" w:type="auto"/>
        <w:tblInd w:w="-17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65"/>
        <w:gridCol w:w="3131"/>
        <w:gridCol w:w="275"/>
        <w:gridCol w:w="3461"/>
        <w:gridCol w:w="40"/>
        <w:gridCol w:w="40"/>
        <w:gridCol w:w="40"/>
        <w:gridCol w:w="20"/>
      </w:tblGrid>
      <w:tr w:rsidR="00000000">
        <w:trPr>
          <w:gridAfter w:val="1"/>
          <w:wAfter w:w="20" w:type="dxa"/>
          <w:trHeight w:val="397"/>
        </w:trPr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</w:pPr>
          </w:p>
        </w:tc>
        <w:tc>
          <w:tcPr>
            <w:tcW w:w="34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</w:t>
            </w:r>
          </w:p>
        </w:tc>
        <w:tc>
          <w:tcPr>
            <w:tcW w:w="3461" w:type="dxa"/>
            <w:tcBorders>
              <w:lef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35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387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center"/>
            </w:pPr>
            <w:r>
              <w:rPr>
                <w:b/>
                <w:sz w:val="22"/>
                <w:szCs w:val="22"/>
              </w:rPr>
              <w:t>bezpr</w:t>
            </w:r>
            <w:r>
              <w:rPr>
                <w:b/>
                <w:sz w:val="22"/>
                <w:szCs w:val="22"/>
              </w:rPr>
              <w:t>ostredne predchádzajúceho účtovného obdobia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35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7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35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87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35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87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000000" w:rsidRDefault="00863523">
      <w:pPr>
        <w:spacing w:before="0" w:line="100" w:lineRule="atLeast"/>
      </w:pPr>
    </w:p>
    <w:p w:rsidR="00000000" w:rsidRDefault="00863523">
      <w:pPr>
        <w:numPr>
          <w:ilvl w:val="0"/>
          <w:numId w:val="4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významných položiek časového rozlíšenia nákladov budúcich období a príjmov budúcich období.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Náklady na pred</w:t>
      </w:r>
      <w:r>
        <w:rPr>
          <w:sz w:val="22"/>
          <w:szCs w:val="22"/>
        </w:rPr>
        <w:t>volebnú kampaň, reklamné služby</w:t>
      </w:r>
    </w:p>
    <w:p w:rsidR="00000000" w:rsidRDefault="00863523">
      <w:pPr>
        <w:numPr>
          <w:ilvl w:val="0"/>
          <w:numId w:val="4"/>
        </w:numPr>
        <w:spacing w:before="0" w:line="100" w:lineRule="atLeast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Opis a výška zmien vlastných zdrojov krytia neobežného majetku a obežného majetku podľa položiek súvahy za bežné účtovné obdobie, a to </w:t>
      </w:r>
    </w:p>
    <w:p w:rsidR="00000000" w:rsidRDefault="00863523">
      <w:pPr>
        <w:spacing w:before="0" w:line="100" w:lineRule="atLeast"/>
      </w:pPr>
      <w:r>
        <w:rPr>
          <w:b/>
          <w:sz w:val="22"/>
          <w:szCs w:val="22"/>
        </w:rPr>
        <w:t>Tabuľka k čl. III ods. 12 o zmenách vlastných zdrojov krytia neobežného majetku a obežn</w:t>
      </w:r>
      <w:r>
        <w:rPr>
          <w:b/>
          <w:sz w:val="22"/>
          <w:szCs w:val="22"/>
        </w:rPr>
        <w:t xml:space="preserve">ého majetku    </w:t>
      </w: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1740"/>
        <w:gridCol w:w="325"/>
        <w:gridCol w:w="2054"/>
        <w:gridCol w:w="1488"/>
        <w:gridCol w:w="1332"/>
        <w:gridCol w:w="1457"/>
        <w:gridCol w:w="1996"/>
        <w:gridCol w:w="40"/>
        <w:gridCol w:w="40"/>
        <w:gridCol w:w="40"/>
        <w:gridCol w:w="20"/>
      </w:tblGrid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</w:pP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after="0" w:line="100" w:lineRule="atLeast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00000">
        <w:tblPrEx>
          <w:tblCellMar>
            <w:left w:w="0" w:type="dxa"/>
            <w:right w:w="0" w:type="dxa"/>
          </w:tblCellMar>
        </w:tblPrEx>
        <w:trPr>
          <w:gridAfter w:val="1"/>
          <w:wAfter w:w="20" w:type="dxa"/>
          <w:trHeight w:val="391"/>
        </w:trPr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  <w:tc>
          <w:tcPr>
            <w:tcW w:w="8652" w:type="dxa"/>
            <w:gridSpan w:val="6"/>
            <w:tcBorders>
              <w:lef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</w:t>
            </w:r>
            <w:r>
              <w:rPr>
                <w:sz w:val="22"/>
                <w:szCs w:val="22"/>
              </w:rPr>
              <w:t>ný majetok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</w:tr>
      <w:tr w:rsidR="00000000">
        <w:tblPrEx>
          <w:tblCellMar>
            <w:left w:w="0" w:type="dxa"/>
            <w:right w:w="0" w:type="dxa"/>
          </w:tblCellMar>
        </w:tblPrEx>
        <w:trPr>
          <w:gridAfter w:val="1"/>
          <w:wAfter w:w="20" w:type="dxa"/>
          <w:trHeight w:val="391"/>
        </w:trPr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  <w:tc>
          <w:tcPr>
            <w:tcW w:w="8652" w:type="dxa"/>
            <w:gridSpan w:val="6"/>
            <w:tcBorders>
              <w:lef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</w:t>
            </w:r>
            <w:r>
              <w:rPr>
                <w:sz w:val="22"/>
                <w:szCs w:val="22"/>
              </w:rPr>
              <w:t>é zo zisku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74861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-2062</w:t>
            </w: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</w:pPr>
            <w:r>
              <w:rPr>
                <w:sz w:val="22"/>
                <w:szCs w:val="22"/>
              </w:rPr>
              <w:t>72799</w:t>
            </w: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Výsledok hospodárenia za účtovné obdobie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-2062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after="0" w:line="100" w:lineRule="atLeas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-71310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2062</w:t>
            </w: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after="0" w:line="100" w:lineRule="atLeast"/>
            </w:pPr>
            <w:r>
              <w:rPr>
                <w:b/>
                <w:sz w:val="22"/>
                <w:szCs w:val="22"/>
              </w:rPr>
              <w:t>-71310</w:t>
            </w:r>
          </w:p>
        </w:tc>
      </w:tr>
      <w:tr w:rsidR="00000000">
        <w:trPr>
          <w:trHeight w:val="391"/>
        </w:trPr>
        <w:tc>
          <w:tcPr>
            <w:tcW w:w="2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after="0" w:line="100" w:lineRule="atLeas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-71310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after="0" w:line="100" w:lineRule="atLeast"/>
            </w:pPr>
            <w:r>
              <w:rPr>
                <w:sz w:val="22"/>
                <w:szCs w:val="22"/>
              </w:rPr>
              <w:t>1489</w:t>
            </w:r>
          </w:p>
        </w:tc>
      </w:tr>
    </w:tbl>
    <w:p w:rsidR="00000000" w:rsidRDefault="00863523">
      <w:pPr>
        <w:spacing w:before="0" w:line="100" w:lineRule="atLeast"/>
        <w:ind w:left="142" w:hanging="142"/>
      </w:pPr>
    </w:p>
    <w:p w:rsidR="00000000" w:rsidRDefault="00863523">
      <w:pPr>
        <w:numPr>
          <w:ilvl w:val="0"/>
          <w:numId w:val="4"/>
        </w:numPr>
        <w:spacing w:before="0" w:line="100" w:lineRule="atLeast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Informácia o rozdelení účtovného zisku alebo vysporiad</w:t>
      </w:r>
      <w:r>
        <w:rPr>
          <w:sz w:val="22"/>
          <w:szCs w:val="22"/>
        </w:rPr>
        <w:t>aní účtovnej straty vykázanej v minulých účtovných obdobiach.</w:t>
      </w:r>
    </w:p>
    <w:p w:rsidR="00000000" w:rsidRDefault="00863523">
      <w:pPr>
        <w:spacing w:before="0" w:line="100" w:lineRule="atLeast"/>
      </w:pPr>
      <w:r>
        <w:rPr>
          <w:b/>
          <w:sz w:val="22"/>
          <w:szCs w:val="22"/>
        </w:rPr>
        <w:t>Tabuľka k čl. III ods. 13 o rozdelení účtovného zisku alebo vysporiadaní účtovnej straty</w:t>
      </w: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5219"/>
        <w:gridCol w:w="681"/>
        <w:gridCol w:w="4529"/>
        <w:gridCol w:w="40"/>
        <w:gridCol w:w="40"/>
        <w:gridCol w:w="40"/>
        <w:gridCol w:w="20"/>
      </w:tblGrid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pStyle w:val="TopHeader"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blPrEx>
          <w:tblCellMar>
            <w:left w:w="0" w:type="dxa"/>
            <w:right w:w="0" w:type="dxa"/>
          </w:tblCellMar>
        </w:tblPrEx>
        <w:trPr>
          <w:gridAfter w:val="1"/>
          <w:wAfter w:w="20" w:type="dxa"/>
          <w:trHeight w:val="330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  <w:tc>
          <w:tcPr>
            <w:tcW w:w="52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do soc</w:t>
            </w:r>
            <w:r>
              <w:rPr>
                <w:color w:val="000000"/>
                <w:sz w:val="22"/>
                <w:szCs w:val="22"/>
              </w:rPr>
              <w:t xml:space="preserve">iálneho fondu 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</w:pPr>
            <w:r>
              <w:rPr>
                <w:color w:val="000000"/>
                <w:sz w:val="22"/>
                <w:szCs w:val="22"/>
              </w:rPr>
              <w:t>-2062</w:t>
            </w:r>
          </w:p>
        </w:tc>
      </w:tr>
      <w:tr w:rsidR="00000000">
        <w:tblPrEx>
          <w:tblCellMar>
            <w:left w:w="0" w:type="dxa"/>
            <w:right w:w="0" w:type="dxa"/>
          </w:tblCellMar>
        </w:tblPrEx>
        <w:trPr>
          <w:gridAfter w:val="1"/>
          <w:wAfter w:w="20" w:type="dxa"/>
          <w:trHeight w:val="330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  <w:tc>
          <w:tcPr>
            <w:tcW w:w="52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</w:t>
            </w:r>
            <w:r>
              <w:rPr>
                <w:color w:val="000000"/>
                <w:sz w:val="22"/>
                <w:szCs w:val="22"/>
              </w:rPr>
              <w:t>o zisku minulých rokov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</w:pPr>
            <w:r>
              <w:rPr>
                <w:color w:val="000000"/>
                <w:sz w:val="22"/>
                <w:szCs w:val="22"/>
              </w:rPr>
              <w:t>-2062</w:t>
            </w:r>
          </w:p>
        </w:tc>
      </w:tr>
      <w:tr w:rsidR="00000000">
        <w:trPr>
          <w:trHeight w:val="330"/>
        </w:trPr>
        <w:tc>
          <w:tcPr>
            <w:tcW w:w="5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6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000000" w:rsidRDefault="00863523">
      <w:pPr>
        <w:spacing w:before="0" w:line="100" w:lineRule="atLeast"/>
      </w:pPr>
    </w:p>
    <w:p w:rsidR="00000000" w:rsidRDefault="00863523">
      <w:pPr>
        <w:numPr>
          <w:ilvl w:val="0"/>
          <w:numId w:val="4"/>
        </w:numPr>
        <w:spacing w:before="0" w:line="100" w:lineRule="atLeast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a výška cudzích zdrojov, a to</w:t>
      </w:r>
    </w:p>
    <w:p w:rsidR="00000000" w:rsidRDefault="00863523">
      <w:pPr>
        <w:spacing w:before="0" w:line="100" w:lineRule="atLeast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III ods. 14 písm. a) o  tvorbe a použití rezerv</w:t>
      </w: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2098"/>
        <w:gridCol w:w="1909"/>
        <w:gridCol w:w="1401"/>
        <w:gridCol w:w="1374"/>
        <w:gridCol w:w="1546"/>
        <w:gridCol w:w="2061"/>
      </w:tblGrid>
      <w:tr w:rsidR="00000000">
        <w:trPr>
          <w:trHeight w:val="489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</w:t>
            </w:r>
            <w:r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00000">
        <w:trPr>
          <w:trHeight w:val="489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spracovanie ÚZ a audit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</w:pPr>
            <w:r>
              <w:rPr>
                <w:sz w:val="22"/>
                <w:szCs w:val="22"/>
              </w:rPr>
              <w:t>800</w:t>
            </w:r>
          </w:p>
        </w:tc>
      </w:tr>
      <w:tr w:rsidR="00000000">
        <w:trPr>
          <w:trHeight w:val="489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</w:p>
        </w:tc>
      </w:tr>
      <w:tr w:rsidR="00000000">
        <w:trPr>
          <w:trHeight w:val="489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Rezerva na nevyčerpané dovolenky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489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poistné k nevyčerpaným</w:t>
            </w:r>
            <w:r>
              <w:rPr>
                <w:sz w:val="22"/>
                <w:szCs w:val="22"/>
              </w:rPr>
              <w:t xml:space="preserve"> dovolenkám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489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240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350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240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</w:pPr>
            <w:r>
              <w:rPr>
                <w:b/>
                <w:sz w:val="22"/>
                <w:szCs w:val="22"/>
              </w:rPr>
              <w:t>350</w:t>
            </w:r>
          </w:p>
        </w:tc>
      </w:tr>
      <w:tr w:rsidR="00000000">
        <w:trPr>
          <w:trHeight w:val="489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1040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1100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1040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</w:pPr>
            <w:r>
              <w:rPr>
                <w:b/>
                <w:sz w:val="22"/>
                <w:szCs w:val="22"/>
              </w:rPr>
              <w:t>1100</w:t>
            </w:r>
          </w:p>
        </w:tc>
      </w:tr>
    </w:tbl>
    <w:p w:rsidR="00000000" w:rsidRDefault="00863523">
      <w:pPr>
        <w:pStyle w:val="ListParagraph"/>
        <w:spacing w:before="0" w:line="100" w:lineRule="atLeast"/>
      </w:pPr>
    </w:p>
    <w:p w:rsidR="00000000" w:rsidRDefault="00863523">
      <w:pPr>
        <w:pStyle w:val="ListParagraph"/>
        <w:spacing w:line="100" w:lineRule="atLeast"/>
        <w:rPr>
          <w:sz w:val="22"/>
          <w:szCs w:val="22"/>
        </w:rPr>
      </w:pPr>
    </w:p>
    <w:p w:rsidR="00000000" w:rsidRDefault="00863523">
      <w:pPr>
        <w:spacing w:before="0" w:line="100" w:lineRule="atLeast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III ods. 14 písm. c) a d) o záväzkoch</w:t>
      </w:r>
    </w:p>
    <w:tbl>
      <w:tblPr>
        <w:tblW w:w="0" w:type="auto"/>
        <w:tblInd w:w="-17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7"/>
        <w:gridCol w:w="919"/>
        <w:gridCol w:w="2499"/>
        <w:gridCol w:w="260"/>
        <w:gridCol w:w="3148"/>
        <w:gridCol w:w="40"/>
        <w:gridCol w:w="40"/>
        <w:gridCol w:w="40"/>
        <w:gridCol w:w="20"/>
      </w:tblGrid>
      <w:tr w:rsidR="00000000">
        <w:trPr>
          <w:gridAfter w:val="1"/>
          <w:wAfter w:w="20" w:type="dxa"/>
          <w:trHeight w:val="398"/>
        </w:trPr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3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</w:t>
            </w:r>
          </w:p>
        </w:tc>
        <w:tc>
          <w:tcPr>
            <w:tcW w:w="34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4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after="0" w:line="100" w:lineRule="atLeast"/>
              <w:rPr>
                <w:b/>
                <w:sz w:val="22"/>
                <w:szCs w:val="22"/>
              </w:rPr>
            </w:pPr>
          </w:p>
        </w:tc>
        <w:tc>
          <w:tcPr>
            <w:tcW w:w="27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32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</w:pPr>
            <w:r>
              <w:rPr>
                <w:b/>
                <w:sz w:val="22"/>
                <w:szCs w:val="22"/>
              </w:rPr>
              <w:t>bezprostredne predchádzajúceho účtovného obdobia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4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7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2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4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7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360</w:t>
            </w:r>
          </w:p>
        </w:tc>
        <w:tc>
          <w:tcPr>
            <w:tcW w:w="32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</w:pPr>
            <w:r>
              <w:rPr>
                <w:b/>
                <w:sz w:val="22"/>
                <w:szCs w:val="22"/>
              </w:rPr>
              <w:t>1153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4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7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360</w:t>
            </w:r>
          </w:p>
        </w:tc>
        <w:tc>
          <w:tcPr>
            <w:tcW w:w="32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</w:pPr>
            <w:r>
              <w:rPr>
                <w:b/>
                <w:sz w:val="22"/>
                <w:szCs w:val="22"/>
              </w:rPr>
              <w:t>1153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4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7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2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4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</w:t>
            </w:r>
            <w:r>
              <w:rPr>
                <w:sz w:val="22"/>
                <w:szCs w:val="22"/>
              </w:rPr>
              <w:t xml:space="preserve">atkovou dobou splatnosti viac ako päť rokov </w:t>
            </w:r>
          </w:p>
        </w:tc>
        <w:tc>
          <w:tcPr>
            <w:tcW w:w="27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2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4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7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2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4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7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360</w:t>
            </w:r>
          </w:p>
        </w:tc>
        <w:tc>
          <w:tcPr>
            <w:tcW w:w="32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</w:pPr>
            <w:r>
              <w:rPr>
                <w:b/>
                <w:sz w:val="22"/>
                <w:szCs w:val="22"/>
              </w:rPr>
              <w:t>1153</w:t>
            </w:r>
          </w:p>
        </w:tc>
      </w:tr>
    </w:tbl>
    <w:p w:rsidR="00000000" w:rsidRDefault="00863523">
      <w:pPr>
        <w:spacing w:line="100" w:lineRule="atLeast"/>
        <w:ind w:left="180" w:hanging="180"/>
      </w:pPr>
    </w:p>
    <w:p w:rsidR="00000000" w:rsidRDefault="00863523">
      <w:pPr>
        <w:spacing w:line="100" w:lineRule="atLeast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Záväzky z obchodného styku vo výške 360 eur tvoria záväzky z bežnej činnosti a sú v termíne splatnosti. </w:t>
      </w:r>
    </w:p>
    <w:p w:rsidR="00000000" w:rsidRDefault="00863523">
      <w:pPr>
        <w:spacing w:line="100" w:lineRule="atLeast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Záväzky voči účastníkom sú vo </w:t>
      </w:r>
      <w:r>
        <w:rPr>
          <w:sz w:val="22"/>
          <w:szCs w:val="22"/>
        </w:rPr>
        <w:t xml:space="preserve">výške 0 eur. </w:t>
      </w:r>
    </w:p>
    <w:p w:rsidR="00000000" w:rsidRDefault="00863523">
      <w:pPr>
        <w:spacing w:line="100" w:lineRule="atLeast"/>
        <w:ind w:left="180" w:hanging="180"/>
        <w:rPr>
          <w:sz w:val="22"/>
          <w:szCs w:val="22"/>
        </w:rPr>
      </w:pPr>
    </w:p>
    <w:p w:rsidR="00000000" w:rsidRDefault="00863523">
      <w:pPr>
        <w:spacing w:before="0" w:line="100" w:lineRule="atLeast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III ods. 14 písm. e) o vývoji sociálneho fondu</w:t>
      </w: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3824"/>
        <w:gridCol w:w="3208"/>
        <w:gridCol w:w="3358"/>
      </w:tblGrid>
      <w:tr w:rsidR="00000000">
        <w:trPr>
          <w:trHeight w:val="557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 účtovné obdobie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</w:pPr>
            <w:r>
              <w:rPr>
                <w:b/>
                <w:sz w:val="22"/>
                <w:szCs w:val="22"/>
              </w:rPr>
              <w:t>Bezprostredne predchádzajúce účtovné  obdobie</w:t>
            </w:r>
          </w:p>
        </w:tc>
      </w:tr>
      <w:tr w:rsidR="00000000">
        <w:trPr>
          <w:trHeight w:val="557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</w:p>
        </w:tc>
      </w:tr>
      <w:tr w:rsidR="00000000">
        <w:trPr>
          <w:trHeight w:val="557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rPr>
          <w:trHeight w:val="557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rPr>
          <w:trHeight w:val="557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rPr>
          <w:trHeight w:val="557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000000" w:rsidRDefault="00863523">
      <w:pPr>
        <w:spacing w:before="0" w:after="240" w:line="100" w:lineRule="atLeast"/>
      </w:pPr>
    </w:p>
    <w:p w:rsidR="00000000" w:rsidRDefault="00863523">
      <w:pPr>
        <w:numPr>
          <w:ilvl w:val="0"/>
          <w:numId w:val="4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>
        <w:rPr>
          <w:sz w:val="22"/>
          <w:szCs w:val="22"/>
        </w:rPr>
        <w:t xml:space="preserve">Prehľad o významných položkách výnosov budúcich období </w:t>
      </w:r>
    </w:p>
    <w:p w:rsidR="00000000" w:rsidRDefault="00863523">
      <w:pPr>
        <w:spacing w:before="0" w:line="100" w:lineRule="atLeast"/>
        <w:rPr>
          <w:b/>
          <w:sz w:val="22"/>
          <w:szCs w:val="22"/>
        </w:rPr>
      </w:pPr>
      <w:r>
        <w:rPr>
          <w:sz w:val="22"/>
          <w:szCs w:val="22"/>
        </w:rPr>
        <w:t>Bez náplne</w:t>
      </w:r>
    </w:p>
    <w:p w:rsidR="00000000" w:rsidRDefault="00863523">
      <w:pPr>
        <w:spacing w:before="0" w:line="100" w:lineRule="atLeas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2199"/>
        <w:gridCol w:w="2775"/>
        <w:gridCol w:w="1584"/>
        <w:gridCol w:w="1578"/>
        <w:gridCol w:w="2397"/>
      </w:tblGrid>
      <w:tr w:rsidR="00000000">
        <w:trPr>
          <w:trHeight w:val="557"/>
        </w:trPr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bezpr</w:t>
            </w:r>
            <w:r>
              <w:rPr>
                <w:b/>
                <w:sz w:val="22"/>
                <w:szCs w:val="22"/>
              </w:rPr>
              <w:t>ostredne predchádzajúceho účtovného obdobia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00000">
        <w:trPr>
          <w:trHeight w:val="557"/>
        </w:trPr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557"/>
        </w:trPr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557"/>
        </w:trPr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</w:t>
            </w:r>
            <w:r>
              <w:rPr>
                <w:sz w:val="22"/>
                <w:szCs w:val="22"/>
              </w:rPr>
              <w:t>urópskej únie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557"/>
        </w:trPr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557"/>
        </w:trPr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557"/>
        </w:trPr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</w:tr>
      <w:tr w:rsidR="00000000">
        <w:trPr>
          <w:trHeight w:val="557"/>
        </w:trPr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pacing w:before="0" w:line="100" w:lineRule="atLeast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spacing w:before="0" w:line="100" w:lineRule="atLeast"/>
              <w:rPr>
                <w:sz w:val="22"/>
                <w:szCs w:val="22"/>
              </w:rPr>
            </w:pPr>
          </w:p>
        </w:tc>
      </w:tr>
    </w:tbl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000000" w:rsidRDefault="00863523">
      <w:pPr>
        <w:numPr>
          <w:ilvl w:val="0"/>
          <w:numId w:val="4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Údaje o majetku prenajatom formou finančného prenájmu, a to</w:t>
      </w:r>
    </w:p>
    <w:p w:rsidR="00000000" w:rsidRDefault="00863523">
      <w:pPr>
        <w:spacing w:line="100" w:lineRule="atLeast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000000" w:rsidRDefault="00863523">
      <w:pPr>
        <w:spacing w:line="100" w:lineRule="atLeast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000000" w:rsidRDefault="00863523">
      <w:pPr>
        <w:spacing w:line="100" w:lineRule="atLeast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000000" w:rsidRDefault="00863523">
      <w:pPr>
        <w:spacing w:line="100" w:lineRule="atLeast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</w:t>
      </w:r>
      <w:r>
        <w:rPr>
          <w:sz w:val="22"/>
          <w:szCs w:val="22"/>
        </w:rPr>
        <w:t>e,</w:t>
      </w:r>
    </w:p>
    <w:p w:rsidR="00000000" w:rsidRDefault="00863523">
      <w:p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>
        <w:rPr>
          <w:sz w:val="22"/>
          <w:szCs w:val="22"/>
        </w:rPr>
        <w:t>3. viac ako päť rokov.</w:t>
      </w:r>
    </w:p>
    <w:p w:rsidR="00000000" w:rsidRDefault="00863523">
      <w:pPr>
        <w:spacing w:before="0" w:line="100" w:lineRule="atLeast"/>
        <w:rPr>
          <w:b/>
          <w:bCs/>
          <w:sz w:val="22"/>
          <w:szCs w:val="22"/>
        </w:rPr>
      </w:pPr>
      <w:r>
        <w:rPr>
          <w:sz w:val="22"/>
          <w:szCs w:val="22"/>
        </w:rPr>
        <w:t>Bez náplne</w:t>
      </w:r>
    </w:p>
    <w:p w:rsidR="00000000" w:rsidRDefault="00863523">
      <w:pPr>
        <w:keepNext/>
        <w:spacing w:before="0" w:line="100" w:lineRule="atLeas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IV</w:t>
      </w:r>
    </w:p>
    <w:p w:rsidR="00000000" w:rsidRDefault="00863523">
      <w:pPr>
        <w:keepNext/>
        <w:spacing w:before="0" w:line="100" w:lineRule="atLeas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000000" w:rsidRDefault="00863523">
      <w:pPr>
        <w:pStyle w:val="ListParagraph"/>
        <w:numPr>
          <w:ilvl w:val="0"/>
          <w:numId w:val="7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Prehľad tržieb za vlastné výkony a tovar s uvedením ich opisu a vyčíslením hodnoty tržieb podľa jednotlivých hlavných druhov výrobkov,  </w:t>
      </w:r>
      <w:r>
        <w:rPr>
          <w:sz w:val="22"/>
          <w:szCs w:val="22"/>
        </w:rPr>
        <w:t>služieb hlavnej činnosti a podnikateľskej činnosti účtovnej jednotky.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</w:p>
    <w:p w:rsidR="00000000" w:rsidRDefault="00863523">
      <w:pPr>
        <w:pStyle w:val="ListParagraph"/>
        <w:numPr>
          <w:ilvl w:val="0"/>
          <w:numId w:val="7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Opis a vyčíslenie hodnoty významných položiek prijatých darov, osobitných výnosov, zákonných poplatkov a iných ostatných výnosov. 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Prijaté dary vo výške 8255 eur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lastRenderedPageBreak/>
        <w:t>Prijaté prís</w:t>
      </w:r>
      <w:r>
        <w:rPr>
          <w:sz w:val="22"/>
          <w:szCs w:val="22"/>
        </w:rPr>
        <w:t>pevky od fyzických osôb vo výške 0 eur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Prijaté členské príspevky vo výške 250,- eur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</w:p>
    <w:p w:rsidR="00000000" w:rsidRDefault="00863523">
      <w:pPr>
        <w:pStyle w:val="ListParagraph"/>
        <w:numPr>
          <w:ilvl w:val="0"/>
          <w:numId w:val="7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Prehľad  dotácií a grantov, ktoré účtovná jednotka prijala v priebehu bežného účtovného obdobia.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00000" w:rsidRDefault="00863523">
      <w:pPr>
        <w:pStyle w:val="ListParagraph"/>
        <w:numPr>
          <w:ilvl w:val="0"/>
          <w:numId w:val="7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Opis a suma významných položiek finančných výnosov; uvádza sa a</w:t>
      </w:r>
      <w:r>
        <w:rPr>
          <w:sz w:val="22"/>
          <w:szCs w:val="22"/>
        </w:rPr>
        <w:t>j celková suma kurzových ziskov, pričom  osobitne sa uvádza hodnota kurzových ziskov účtovaná ku dňu, ku ktorému sa zostavuje účtovná závierka.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Úroky z poskytnutej pôžičke vo výške 0 eur.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</w:p>
    <w:p w:rsidR="00000000" w:rsidRDefault="00863523">
      <w:pPr>
        <w:pStyle w:val="ListParagraph"/>
        <w:numPr>
          <w:ilvl w:val="0"/>
          <w:numId w:val="7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Opis a vyčíslenie hodnoty významných položiek nákladov, nákladov na</w:t>
      </w:r>
      <w:r>
        <w:rPr>
          <w:sz w:val="22"/>
          <w:szCs w:val="22"/>
        </w:rPr>
        <w:t xml:space="preserve"> ostatné služby, osobitných nákladov a iných ostatných nákladov. 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Náklady na propagácie, reklamu, predvolebnú kampaň v členení : </w:t>
      </w:r>
      <w:r>
        <w:rPr>
          <w:sz w:val="22"/>
          <w:szCs w:val="22"/>
        </w:rPr>
        <w:tab/>
        <w:t xml:space="preserve">materiály </w:t>
      </w:r>
      <w:r>
        <w:rPr>
          <w:sz w:val="22"/>
          <w:szCs w:val="22"/>
        </w:rPr>
        <w:tab/>
        <w:t>1821 eur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</w:t>
      </w:r>
      <w:r>
        <w:rPr>
          <w:sz w:val="22"/>
          <w:szCs w:val="22"/>
        </w:rPr>
        <w:tab/>
        <w:t xml:space="preserve">                                                     </w:t>
      </w:r>
      <w:r>
        <w:rPr>
          <w:sz w:val="22"/>
          <w:szCs w:val="22"/>
        </w:rPr>
        <w:t xml:space="preserve">    služby  7474,- eur</w:t>
      </w:r>
    </w:p>
    <w:p w:rsidR="00000000" w:rsidRDefault="00863523">
      <w:pPr>
        <w:spacing w:before="0" w:line="100" w:lineRule="atLeast"/>
        <w:ind w:left="3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000000" w:rsidRDefault="00863523">
      <w:pPr>
        <w:pStyle w:val="ListParagraph"/>
        <w:numPr>
          <w:ilvl w:val="0"/>
          <w:numId w:val="7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Prehľad o účele a výške použitia podielu zaplatenej dane za bežné účtovné obdobie.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</w:p>
    <w:p w:rsidR="00000000" w:rsidRDefault="00863523">
      <w:pPr>
        <w:spacing w:before="0" w:line="100" w:lineRule="atLeas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3339"/>
        <w:gridCol w:w="3251"/>
        <w:gridCol w:w="89"/>
        <w:gridCol w:w="10"/>
        <w:gridCol w:w="3340"/>
        <w:gridCol w:w="40"/>
        <w:gridCol w:w="40"/>
        <w:gridCol w:w="40"/>
        <w:gridCol w:w="20"/>
      </w:tblGrid>
      <w:tr w:rsidR="00000000">
        <w:trPr>
          <w:trHeight w:val="285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</w:t>
            </w:r>
            <w:r>
              <w:rPr>
                <w:b/>
                <w:sz w:val="22"/>
                <w:szCs w:val="22"/>
              </w:rPr>
              <w:t>ostredne predchádzajúceho účtovného obdobia</w:t>
            </w:r>
          </w:p>
        </w:tc>
        <w:tc>
          <w:tcPr>
            <w:tcW w:w="3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center"/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000000">
        <w:trPr>
          <w:trHeight w:val="285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rPr>
          <w:trHeight w:val="285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rPr>
          <w:trHeight w:val="285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  <w:tc>
          <w:tcPr>
            <w:tcW w:w="3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sz w:val="22"/>
                <w:szCs w:val="22"/>
              </w:rPr>
            </w:pPr>
          </w:p>
        </w:tc>
      </w:tr>
      <w:tr w:rsidR="00000000">
        <w:tblPrEx>
          <w:tblCellMar>
            <w:left w:w="0" w:type="dxa"/>
            <w:right w:w="0" w:type="dxa"/>
          </w:tblCellMar>
        </w:tblPrEx>
        <w:trPr>
          <w:gridAfter w:val="1"/>
          <w:wAfter w:w="20" w:type="dxa"/>
          <w:trHeight w:val="285"/>
        </w:trPr>
        <w:tc>
          <w:tcPr>
            <w:tcW w:w="6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Zostatok podielu zaplatenej dane bežného účtovného obdobia                                      </w:t>
            </w:r>
          </w:p>
        </w:tc>
        <w:tc>
          <w:tcPr>
            <w:tcW w:w="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863523">
            <w:pPr>
              <w:snapToGrid w:val="0"/>
              <w:spacing w:before="0" w:after="0" w:line="100" w:lineRule="atLeast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340" w:type="dxa"/>
            <w:tcBorders>
              <w:left w:val="single" w:sz="4" w:space="0" w:color="000000"/>
            </w:tcBorders>
            <w:shd w:val="clear" w:color="auto" w:fill="auto"/>
          </w:tcPr>
          <w:p w:rsidR="00000000" w:rsidRDefault="00863523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000000" w:rsidRDefault="00863523">
            <w:pPr>
              <w:snapToGrid w:val="0"/>
            </w:pPr>
          </w:p>
        </w:tc>
      </w:tr>
    </w:tbl>
    <w:p w:rsidR="00000000" w:rsidRDefault="00863523">
      <w:pPr>
        <w:pStyle w:val="ListParagraph"/>
        <w:spacing w:before="0" w:line="100" w:lineRule="atLeast"/>
      </w:pPr>
    </w:p>
    <w:p w:rsidR="00000000" w:rsidRDefault="00863523">
      <w:pPr>
        <w:pStyle w:val="ListParagraph"/>
        <w:numPr>
          <w:ilvl w:val="0"/>
          <w:numId w:val="7"/>
        </w:numPr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>Opis a suma významných položiek finančných nákladov; uvá</w:t>
      </w:r>
      <w:r>
        <w:rPr>
          <w:sz w:val="22"/>
          <w:szCs w:val="22"/>
        </w:rPr>
        <w:t>dza sa aj celková suma kurzových strát, pričom osobitne sa uvádza hodnota kurzových strát účtovaná ku dňu, ku ktorému sa zostavuje účtovná závierka.</w:t>
      </w:r>
    </w:p>
    <w:p w:rsidR="00000000" w:rsidRDefault="00863523">
      <w:pPr>
        <w:pStyle w:val="ListParagraph"/>
        <w:spacing w:before="0" w:line="100" w:lineRule="atLeast"/>
        <w:rPr>
          <w:sz w:val="22"/>
          <w:szCs w:val="22"/>
        </w:rPr>
      </w:pPr>
      <w:r>
        <w:rPr>
          <w:sz w:val="22"/>
          <w:szCs w:val="22"/>
        </w:rPr>
        <w:t xml:space="preserve">Bez náplne </w:t>
      </w:r>
    </w:p>
    <w:p w:rsidR="00000000" w:rsidRDefault="00863523">
      <w:pPr>
        <w:pStyle w:val="ListParagraph"/>
        <w:numPr>
          <w:ilvl w:val="0"/>
          <w:numId w:val="7"/>
        </w:num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V účtovnej jednotke, ktorá má povinnosť overenia účtovnej závierky audítorom, sa uvedie vymedze</w:t>
      </w:r>
      <w:r>
        <w:rPr>
          <w:sz w:val="22"/>
          <w:szCs w:val="22"/>
        </w:rPr>
        <w:t>nie a suma nákladov za účtovné obdobie v členení na náklady za</w:t>
      </w:r>
    </w:p>
    <w:p w:rsidR="00000000" w:rsidRDefault="00863523">
      <w:p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a</w:t>
      </w:r>
      <w:r>
        <w:rPr>
          <w:sz w:val="22"/>
          <w:szCs w:val="22"/>
          <w:shd w:val="clear" w:color="auto" w:fill="FFFF00"/>
        </w:rPr>
        <w:t>) overenie účtovnej závierky vo výške</w:t>
      </w:r>
      <w:r>
        <w:rPr>
          <w:sz w:val="22"/>
          <w:szCs w:val="22"/>
        </w:rPr>
        <w:t xml:space="preserve">  800,-Eur</w:t>
      </w:r>
    </w:p>
    <w:p w:rsidR="00000000" w:rsidRDefault="00863523">
      <w:p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:rsidR="00000000" w:rsidRDefault="00863523">
      <w:p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000000" w:rsidRDefault="00863523">
      <w:pPr>
        <w:spacing w:line="100" w:lineRule="atLeast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863523" w:rsidRDefault="00863523">
      <w:pPr>
        <w:spacing w:before="0" w:line="100" w:lineRule="atLeast"/>
      </w:pPr>
      <w:r>
        <w:rPr>
          <w:sz w:val="22"/>
          <w:szCs w:val="22"/>
        </w:rPr>
        <w:t>e) ostatné neaudítorsk</w:t>
      </w:r>
      <w:r>
        <w:rPr>
          <w:sz w:val="22"/>
          <w:szCs w:val="22"/>
        </w:rPr>
        <w:t>é služby.</w:t>
      </w:r>
    </w:p>
    <w:sectPr w:rsidR="00863523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6" w:h="16838"/>
      <w:pgMar w:top="851" w:right="851" w:bottom="709" w:left="851" w:header="709" w:footer="142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3523" w:rsidRDefault="00863523">
      <w:pPr>
        <w:spacing w:before="0" w:after="0" w:line="240" w:lineRule="auto"/>
      </w:pPr>
      <w:r>
        <w:separator/>
      </w:r>
    </w:p>
  </w:endnote>
  <w:endnote w:type="continuationSeparator" w:id="0">
    <w:p w:rsidR="00863523" w:rsidRDefault="0086352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font292"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>
    <w:pPr>
      <w:pStyle w:val="Pta"/>
      <w:jc w:val="right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CB6ADC">
      <w:rPr>
        <w:noProof/>
      </w:rPr>
      <w:t>12</w:t>
    </w:r>
    <w:r>
      <w:fldChar w:fldCharType="end"/>
    </w:r>
  </w:p>
  <w:p w:rsidR="00000000" w:rsidRDefault="00863523">
    <w:pPr>
      <w:pStyle w:val="Pta"/>
    </w:pP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>
    <w:pPr>
      <w:pStyle w:val="Pta"/>
      <w:jc w:val="right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CB6ADC">
      <w:rPr>
        <w:noProof/>
      </w:rPr>
      <w:t>1</w:t>
    </w:r>
    <w:r>
      <w:fldChar w:fldCharType="end"/>
    </w:r>
  </w:p>
  <w:p w:rsidR="00000000" w:rsidRDefault="0086352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>
    <w:pPr>
      <w:pStyle w:val="Pta"/>
      <w:jc w:val="right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CB6ADC">
      <w:rPr>
        <w:noProof/>
      </w:rPr>
      <w:t>4</w:t>
    </w:r>
    <w:r>
      <w:fldChar w:fldCharType="end"/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>
    <w:pPr>
      <w:pStyle w:val="Pta"/>
      <w:jc w:val="right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CB6ADC">
      <w:rPr>
        <w:noProof/>
      </w:rPr>
      <w:t>6</w:t>
    </w:r>
    <w:r>
      <w:fldChar w:fldCharType="end"/>
    </w:r>
  </w:p>
  <w:p w:rsidR="00000000" w:rsidRDefault="00863523">
    <w:pPr>
      <w:pStyle w:val="Pta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3523" w:rsidRDefault="00863523">
      <w:pPr>
        <w:spacing w:before="0" w:after="0" w:line="240" w:lineRule="auto"/>
      </w:pPr>
      <w:r>
        <w:separator/>
      </w:r>
    </w:p>
  </w:footnote>
  <w:footnote w:type="continuationSeparator" w:id="0">
    <w:p w:rsidR="00863523" w:rsidRDefault="0086352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>
    <w:pPr>
      <w:pStyle w:val="Hlavika"/>
      <w:jc w:val="right"/>
    </w:pPr>
  </w:p>
  <w:p w:rsidR="00000000" w:rsidRDefault="00863523">
    <w:pPr>
      <w:pStyle w:val="Hlavika"/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>
    <w:pPr>
      <w:pStyle w:val="Hlavika"/>
      <w:jc w:val="right"/>
    </w:pPr>
  </w:p>
  <w:p w:rsidR="00000000" w:rsidRDefault="00863523">
    <w:pPr>
      <w:pStyle w:val="Hlavika"/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>
    <w:pPr>
      <w:pStyle w:val="Hlavika"/>
      <w:jc w:val="right"/>
    </w:pPr>
  </w:p>
  <w:p w:rsidR="00000000" w:rsidRDefault="00863523">
    <w:pPr>
      <w:pStyle w:val="Hlavika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352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432" w:hanging="432"/>
      </w:pPr>
      <w:rPr>
        <w:rFonts w:cs="Times New Roman"/>
        <w:b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b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b/>
        <w:sz w:val="22"/>
        <w:szCs w:val="22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b/>
        <w:sz w:val="22"/>
        <w:szCs w:val="22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b/>
        <w:sz w:val="22"/>
        <w:szCs w:val="22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b/>
        <w:sz w:val="22"/>
        <w:szCs w:val="22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b/>
        <w:sz w:val="22"/>
        <w:szCs w:val="22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b/>
        <w:sz w:val="22"/>
        <w:szCs w:val="22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b/>
        <w:sz w:val="22"/>
        <w:szCs w:val="22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b/>
        <w:sz w:val="22"/>
        <w:szCs w:val="22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  <w:b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sz w:val="20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ascii="Wingdings" w:hAnsi="Wingdings" w:cs="Wingdings"/>
        <w:sz w:val="20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 w:val="20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ascii="Wingdings" w:hAnsi="Wingdings" w:cs="Wingdings"/>
        <w:sz w:val="20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 w:cs="Symbol"/>
        <w:color w:val="000000"/>
        <w:sz w:val="20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ADC"/>
    <w:rsid w:val="00863523"/>
    <w:rsid w:val="00CB6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before="120" w:after="120" w:line="360" w:lineRule="auto"/>
      <w:jc w:val="both"/>
    </w:pPr>
    <w:rPr>
      <w:rFonts w:ascii="Arial Narrow" w:hAnsi="Arial Narrow" w:cs="Arial"/>
      <w:kern w:val="1"/>
      <w:szCs w:val="24"/>
      <w:lang w:eastAsia="ar-SA"/>
    </w:rPr>
  </w:style>
  <w:style w:type="paragraph" w:styleId="Nadpis1">
    <w:name w:val="heading 1"/>
    <w:basedOn w:val="Normlny"/>
    <w:next w:val="Zkladntext"/>
    <w:qFormat/>
    <w:pPr>
      <w:keepNext/>
      <w:spacing w:line="100" w:lineRule="atLeast"/>
      <w:jc w:val="center"/>
      <w:outlineLvl w:val="0"/>
    </w:pPr>
    <w:rPr>
      <w:b/>
      <w:bCs/>
    </w:rPr>
  </w:style>
  <w:style w:type="paragraph" w:styleId="Nadpis2">
    <w:name w:val="heading 2"/>
    <w:basedOn w:val="Normlny"/>
    <w:next w:val="Zkladntext"/>
    <w:qFormat/>
    <w:pPr>
      <w:keepNext/>
      <w:numPr>
        <w:ilvl w:val="1"/>
        <w:numId w:val="1"/>
      </w:numPr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cs="Times New Roman"/>
      <w:b/>
      <w:sz w:val="22"/>
      <w:szCs w:val="22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b/>
      <w:sz w:val="22"/>
      <w:szCs w:val="22"/>
    </w:rPr>
  </w:style>
  <w:style w:type="character" w:customStyle="1" w:styleId="WW8Num5z0">
    <w:name w:val="WW8Num5z0"/>
    <w:rPr>
      <w:rFonts w:cs="Times New Roman"/>
      <w:b/>
      <w:color w:val="000000"/>
      <w:sz w:val="22"/>
      <w:szCs w:val="22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Symbol" w:hAnsi="Symbol" w:cs="Symbol"/>
      <w:color w:val="000000"/>
      <w:sz w:val="20"/>
      <w:szCs w:val="22"/>
    </w:rPr>
  </w:style>
  <w:style w:type="character" w:customStyle="1" w:styleId="WW8Num6z1">
    <w:name w:val="WW8Num6z1"/>
    <w:rPr>
      <w:rFonts w:ascii="Courier New" w:hAnsi="Courier New" w:cs="Courier New"/>
      <w:sz w:val="20"/>
    </w:rPr>
  </w:style>
  <w:style w:type="character" w:customStyle="1" w:styleId="WW8Num6z2">
    <w:name w:val="WW8Num6z2"/>
    <w:rPr>
      <w:rFonts w:ascii="Wingdings" w:hAnsi="Wingdings" w:cs="Wingdings"/>
      <w:sz w:val="20"/>
    </w:rPr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Symbol" w:hAnsi="Symbol" w:cs="Symbol"/>
      <w:sz w:val="20"/>
      <w:szCs w:val="22"/>
    </w:rPr>
  </w:style>
  <w:style w:type="character" w:customStyle="1" w:styleId="WW8Num7z1">
    <w:name w:val="WW8Num7z1"/>
    <w:rPr>
      <w:rFonts w:ascii="Courier New" w:hAnsi="Courier New" w:cs="Courier New"/>
      <w:sz w:val="20"/>
    </w:rPr>
  </w:style>
  <w:style w:type="character" w:customStyle="1" w:styleId="WW8Num7z2">
    <w:name w:val="WW8Num7z2"/>
    <w:rPr>
      <w:rFonts w:ascii="Wingdings" w:hAnsi="Wingdings" w:cs="Wingdings"/>
      <w:sz w:val="20"/>
    </w:rPr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hAnsi="Symbol" w:cs="Symbol"/>
      <w:sz w:val="20"/>
      <w:szCs w:val="22"/>
    </w:rPr>
  </w:style>
  <w:style w:type="character" w:customStyle="1" w:styleId="WW8Num8z1">
    <w:name w:val="WW8Num8z1"/>
    <w:rPr>
      <w:rFonts w:ascii="Courier New" w:hAnsi="Courier New" w:cs="Courier New"/>
      <w:sz w:val="20"/>
    </w:rPr>
  </w:style>
  <w:style w:type="character" w:customStyle="1" w:styleId="WW8Num8z2">
    <w:name w:val="WW8Num8z2"/>
    <w:rPr>
      <w:rFonts w:ascii="Wingdings" w:hAnsi="Wingdings" w:cs="Wingdings"/>
      <w:sz w:val="20"/>
    </w:rPr>
  </w:style>
  <w:style w:type="character" w:customStyle="1" w:styleId="WW8Num9z0">
    <w:name w:val="WW8Num9z0"/>
    <w:rPr>
      <w:rFonts w:ascii="Symbol" w:hAnsi="Symbol" w:cs="Symbol"/>
      <w:sz w:val="20"/>
      <w:szCs w:val="22"/>
    </w:rPr>
  </w:style>
  <w:style w:type="character" w:customStyle="1" w:styleId="WW8Num9z1">
    <w:name w:val="WW8Num9z1"/>
    <w:rPr>
      <w:rFonts w:ascii="Courier New" w:hAnsi="Courier New" w:cs="Courier New"/>
      <w:sz w:val="20"/>
    </w:rPr>
  </w:style>
  <w:style w:type="character" w:customStyle="1" w:styleId="WW8Num9z2">
    <w:name w:val="WW8Num9z2"/>
    <w:rPr>
      <w:rFonts w:ascii="Wingdings" w:hAnsi="Wingdings" w:cs="Wingdings"/>
      <w:sz w:val="20"/>
    </w:rPr>
  </w:style>
  <w:style w:type="character" w:customStyle="1" w:styleId="WW8Num10z0">
    <w:name w:val="WW8Num10z0"/>
    <w:rPr>
      <w:rFonts w:ascii="Symbol" w:hAnsi="Symbol" w:cs="Symbol"/>
      <w:color w:val="000000"/>
      <w:sz w:val="20"/>
      <w:szCs w:val="22"/>
    </w:rPr>
  </w:style>
  <w:style w:type="character" w:customStyle="1" w:styleId="WW8Num10z1">
    <w:name w:val="WW8Num10z1"/>
    <w:rPr>
      <w:rFonts w:ascii="Courier New" w:hAnsi="Courier New" w:cs="Courier New"/>
      <w:sz w:val="20"/>
    </w:rPr>
  </w:style>
  <w:style w:type="character" w:customStyle="1" w:styleId="WW8Num10z2">
    <w:name w:val="WW8Num10z2"/>
    <w:rPr>
      <w:rFonts w:ascii="Wingdings" w:hAnsi="Wingdings" w:cs="Wingdings"/>
      <w:sz w:val="20"/>
    </w:rPr>
  </w:style>
  <w:style w:type="character" w:customStyle="1" w:styleId="WW8Num11z0">
    <w:name w:val="WW8Num11z0"/>
    <w:rPr>
      <w:rFonts w:ascii="Symbol" w:hAnsi="Symbol" w:cs="Symbol" w:hint="default"/>
      <w:color w:val="000000"/>
      <w:sz w:val="22"/>
      <w:szCs w:val="22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2z2">
    <w:name w:val="WW8Num12z2"/>
    <w:rPr>
      <w:rFonts w:hint="default"/>
      <w:b w:val="0"/>
      <w:bCs/>
      <w:i w:val="0"/>
      <w:iCs/>
      <w:color w:val="000000"/>
    </w:rPr>
  </w:style>
  <w:style w:type="character" w:customStyle="1" w:styleId="WW8Num13z0">
    <w:name w:val="WW8Num13z0"/>
    <w:rPr>
      <w:rFonts w:hint="default"/>
    </w:rPr>
  </w:style>
  <w:style w:type="character" w:customStyle="1" w:styleId="WW8Num13z2">
    <w:name w:val="WW8Num13z2"/>
    <w:rPr>
      <w:rFonts w:hint="default"/>
      <w:color w:val="auto"/>
    </w:rPr>
  </w:style>
  <w:style w:type="character" w:customStyle="1" w:styleId="WW8Num14z0">
    <w:name w:val="WW8Num14z0"/>
    <w:rPr>
      <w:rFonts w:hint="default"/>
    </w:rPr>
  </w:style>
  <w:style w:type="character" w:customStyle="1" w:styleId="Predvolenpsmoodseku1">
    <w:name w:val="Predvolené písmo odseku1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DefaultParagraphFont">
    <w:name w:val="Default Paragraph Font"/>
  </w:style>
  <w:style w:type="character" w:customStyle="1" w:styleId="Nadpis1Char">
    <w:name w:val="Nadpis 1 Char"/>
    <w:rPr>
      <w:rFonts w:ascii="Cambria" w:hAnsi="Cambria" w:cs="font292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hAnsi="Cambria" w:cs="font292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rPr>
      <w:rFonts w:ascii="Arial" w:hAnsi="Arial" w:cs="Arial"/>
      <w:sz w:val="24"/>
      <w:szCs w:val="24"/>
    </w:rPr>
  </w:style>
  <w:style w:type="character" w:customStyle="1" w:styleId="pagenumber">
    <w:name w:val="page number"/>
    <w:rPr>
      <w:rFonts w:cs="Times New Roman"/>
    </w:rPr>
  </w:style>
  <w:style w:type="character" w:styleId="Siln">
    <w:name w:val="Strong"/>
    <w:qFormat/>
    <w:rPr>
      <w:rFonts w:cs="Times New Roman"/>
      <w:b/>
      <w:bCs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  <w:rPr>
      <w:rFonts w:ascii="Arial Narrow" w:hAnsi="Arial Narrow" w:cs="Arial"/>
      <w:sz w:val="24"/>
      <w:szCs w:val="24"/>
    </w:rPr>
  </w:style>
  <w:style w:type="character" w:customStyle="1" w:styleId="ra">
    <w:name w:val="ra"/>
    <w:basedOn w:val="DefaultParagraphFont"/>
  </w:style>
  <w:style w:type="character" w:customStyle="1" w:styleId="cell1">
    <w:name w:val="cell1"/>
    <w:basedOn w:val="DefaultParagraphFont"/>
  </w:style>
  <w:style w:type="character" w:customStyle="1" w:styleId="ListLabel1">
    <w:name w:val="ListLabel 1"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rPr>
      <w:rFonts w:cs="Times New Roman"/>
      <w:b/>
      <w:bCs/>
      <w:i w:val="0"/>
      <w:iCs w:val="0"/>
    </w:rPr>
  </w:style>
  <w:style w:type="character" w:customStyle="1" w:styleId="ListLabel3">
    <w:name w:val="ListLabel 3"/>
    <w:rPr>
      <w:rFonts w:cs="Times New Roman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dstrike/>
      <w:vanish w:val="0"/>
      <w:color w:val="00000A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ListLabel5">
    <w:name w:val="ListLabel 5"/>
    <w:rPr>
      <w:sz w:val="20"/>
    </w:rPr>
  </w:style>
  <w:style w:type="character" w:customStyle="1" w:styleId="NzovChar">
    <w:name w:val="Názov Char"/>
    <w:rPr>
      <w:rFonts w:ascii="Arial" w:hAnsi="Arial" w:cs="Arial"/>
      <w:b/>
      <w:spacing w:val="-10"/>
      <w:kern w:val="1"/>
      <w:sz w:val="24"/>
      <w:szCs w:val="56"/>
    </w:rPr>
  </w:style>
  <w:style w:type="paragraph" w:customStyle="1" w:styleId="Nadpis">
    <w:name w:val="Nadpis"/>
    <w:basedOn w:val="Normlny"/>
    <w:next w:val="Zkladntext"/>
    <w:pPr>
      <w:keepNext/>
      <w:spacing w:before="24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pPr>
      <w:spacing w:before="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</w:pPr>
    <w:rPr>
      <w:rFonts w:cs="Mangal"/>
      <w:i/>
      <w:iCs/>
      <w:sz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tl11ptTuniernaPodaokrajaVavo019cmRiadkova">
    <w:name w:val="Štýl 11 pt Tučné Čierna Podľa okraja Vľavo:  019 cm Riadkova..."/>
    <w:pPr>
      <w:suppressAutoHyphens/>
      <w:spacing w:line="360" w:lineRule="auto"/>
      <w:jc w:val="both"/>
    </w:pPr>
    <w:rPr>
      <w:rFonts w:ascii="Arial" w:hAnsi="Arial" w:cs="Arial"/>
      <w:color w:val="000000"/>
      <w:kern w:val="1"/>
      <w:sz w:val="24"/>
      <w:szCs w:val="24"/>
      <w:lang w:eastAsia="ar-SA"/>
    </w:rPr>
  </w:style>
  <w:style w:type="paragraph" w:customStyle="1" w:styleId="tlPodaokrajaVavo019cmRiadkovanie15riadka">
    <w:name w:val="Štýl Podľa okraja Vľavo:  019 cm Riadkovanie:  15 riadka"/>
    <w:basedOn w:val="Normlny"/>
    <w:pPr>
      <w:ind w:left="108"/>
    </w:pPr>
  </w:style>
  <w:style w:type="paragraph" w:customStyle="1" w:styleId="Bododvodnenie">
    <w:name w:val="Bod odôvodnenie"/>
    <w:pPr>
      <w:numPr>
        <w:numId w:val="3"/>
      </w:numPr>
      <w:suppressAutoHyphens/>
      <w:spacing w:before="120" w:after="120"/>
    </w:pPr>
    <w:rPr>
      <w:rFonts w:ascii="Arial" w:hAnsi="Arial" w:cs="Arial"/>
      <w:b/>
      <w:bCs/>
      <w:kern w:val="1"/>
      <w:sz w:val="24"/>
      <w:szCs w:val="24"/>
      <w:lang w:eastAsia="ar-SA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hAnsi="Arial" w:cs="Arial"/>
      <w:kern w:val="1"/>
      <w:sz w:val="16"/>
      <w:szCs w:val="16"/>
      <w:lang w:eastAsia="ar-SA"/>
    </w:rPr>
  </w:style>
  <w:style w:type="paragraph" w:customStyle="1" w:styleId="Textpoznmky">
    <w:name w:val="Text poznámky"/>
    <w:basedOn w:val="Normlny"/>
    <w:pPr>
      <w:numPr>
        <w:numId w:val="2"/>
      </w:numPr>
      <w:spacing w:line="100" w:lineRule="atLeast"/>
    </w:pPr>
  </w:style>
  <w:style w:type="paragraph" w:styleId="Pta">
    <w:name w:val="footer"/>
    <w:basedOn w:val="Normlny"/>
    <w:pPr>
      <w:suppressLineNumbers/>
      <w:tabs>
        <w:tab w:val="center" w:pos="4536"/>
        <w:tab w:val="right" w:pos="9072"/>
      </w:tabs>
    </w:pPr>
  </w:style>
  <w:style w:type="paragraph" w:customStyle="1" w:styleId="Normlny1">
    <w:name w:val="Normálny1"/>
    <w:pPr>
      <w:suppressAutoHyphens/>
      <w:spacing w:before="120" w:after="120" w:line="360" w:lineRule="auto"/>
      <w:ind w:firstLine="709"/>
      <w:jc w:val="both"/>
    </w:pPr>
    <w:rPr>
      <w:rFonts w:ascii="Arial" w:hAnsi="Arial" w:cs="Arial"/>
      <w:kern w:val="1"/>
      <w:sz w:val="24"/>
      <w:szCs w:val="24"/>
      <w:lang w:eastAsia="ar-SA"/>
    </w:rPr>
  </w:style>
  <w:style w:type="paragraph" w:customStyle="1" w:styleId="Textopatrenia">
    <w:name w:val="Text opatrenia"/>
    <w:pPr>
      <w:suppressAutoHyphens/>
      <w:spacing w:before="120" w:after="120"/>
      <w:jc w:val="both"/>
    </w:pPr>
    <w:rPr>
      <w:rFonts w:ascii="Arial Narrow" w:hAnsi="Arial Narrow" w:cs="Arial"/>
      <w:kern w:val="1"/>
      <w:sz w:val="22"/>
      <w:szCs w:val="22"/>
      <w:lang w:eastAsia="ar-SA"/>
    </w:rPr>
  </w:style>
  <w:style w:type="paragraph" w:customStyle="1" w:styleId="TopHeader">
    <w:name w:val="Top Header"/>
    <w:basedOn w:val="Normlny"/>
    <w:pPr>
      <w:spacing w:before="0" w:after="0" w:line="100" w:lineRule="atLeast"/>
      <w:jc w:val="center"/>
    </w:pPr>
    <w:rPr>
      <w:rFonts w:cs="Times New Roman"/>
      <w:b/>
      <w:bCs/>
      <w:sz w:val="22"/>
      <w:szCs w:val="22"/>
    </w:rPr>
  </w:style>
  <w:style w:type="paragraph" w:customStyle="1" w:styleId="BalloonText">
    <w:name w:val="Balloon Text"/>
    <w:basedOn w:val="Normlny"/>
    <w:pPr>
      <w:spacing w:before="0" w:after="0" w:line="100" w:lineRule="atLeast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pPr>
      <w:suppressLineNumbers/>
      <w:tabs>
        <w:tab w:val="center" w:pos="4536"/>
        <w:tab w:val="right" w:pos="9072"/>
      </w:tabs>
    </w:pPr>
  </w:style>
  <w:style w:type="paragraph" w:customStyle="1" w:styleId="ListParagraph">
    <w:name w:val="List Paragraph"/>
    <w:basedOn w:val="Normlny"/>
    <w:pPr>
      <w:ind w:left="720"/>
    </w:pPr>
  </w:style>
  <w:style w:type="paragraph" w:customStyle="1" w:styleId="NormalWeb">
    <w:name w:val="Normal (Web)"/>
    <w:basedOn w:val="Normlny"/>
    <w:pPr>
      <w:spacing w:before="0" w:after="150" w:line="100" w:lineRule="atLeast"/>
      <w:jc w:val="left"/>
    </w:pPr>
    <w:rPr>
      <w:rFonts w:ascii="Times New Roman" w:hAnsi="Times New Roman" w:cs="Times New Roman"/>
      <w:sz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Nzov">
    <w:name w:val="Title"/>
    <w:basedOn w:val="Normlny"/>
    <w:next w:val="Normlny"/>
    <w:qFormat/>
    <w:pPr>
      <w:suppressAutoHyphens w:val="0"/>
      <w:spacing w:before="240" w:after="240" w:line="240" w:lineRule="auto"/>
      <w:ind w:left="794" w:hanging="794"/>
      <w:jc w:val="center"/>
    </w:pPr>
    <w:rPr>
      <w:rFonts w:ascii="Arial" w:hAnsi="Arial" w:cs="Times New Roman"/>
      <w:b/>
      <w:spacing w:val="-10"/>
      <w:sz w:val="24"/>
      <w:szCs w:val="56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subparagraph">
    <w:name w:val="subparagraph"/>
    <w:basedOn w:val="Normlny"/>
    <w:pPr>
      <w:tabs>
        <w:tab w:val="left" w:pos="360"/>
      </w:tabs>
      <w:suppressAutoHyphens w:val="0"/>
      <w:spacing w:before="0" w:after="0" w:line="240" w:lineRule="auto"/>
    </w:pPr>
    <w:rPr>
      <w:rFonts w:ascii="Arial" w:eastAsia="Calibri" w:hAnsi="Arial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before="120" w:after="120" w:line="360" w:lineRule="auto"/>
      <w:jc w:val="both"/>
    </w:pPr>
    <w:rPr>
      <w:rFonts w:ascii="Arial Narrow" w:hAnsi="Arial Narrow" w:cs="Arial"/>
      <w:kern w:val="1"/>
      <w:szCs w:val="24"/>
      <w:lang w:eastAsia="ar-SA"/>
    </w:rPr>
  </w:style>
  <w:style w:type="paragraph" w:styleId="Nadpis1">
    <w:name w:val="heading 1"/>
    <w:basedOn w:val="Normlny"/>
    <w:next w:val="Zkladntext"/>
    <w:qFormat/>
    <w:pPr>
      <w:keepNext/>
      <w:spacing w:line="100" w:lineRule="atLeast"/>
      <w:jc w:val="center"/>
      <w:outlineLvl w:val="0"/>
    </w:pPr>
    <w:rPr>
      <w:b/>
      <w:bCs/>
    </w:rPr>
  </w:style>
  <w:style w:type="paragraph" w:styleId="Nadpis2">
    <w:name w:val="heading 2"/>
    <w:basedOn w:val="Normlny"/>
    <w:next w:val="Zkladntext"/>
    <w:qFormat/>
    <w:pPr>
      <w:keepNext/>
      <w:numPr>
        <w:ilvl w:val="1"/>
        <w:numId w:val="1"/>
      </w:numPr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cs="Times New Roman"/>
      <w:b/>
      <w:sz w:val="22"/>
      <w:szCs w:val="22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b/>
      <w:sz w:val="22"/>
      <w:szCs w:val="22"/>
    </w:rPr>
  </w:style>
  <w:style w:type="character" w:customStyle="1" w:styleId="WW8Num5z0">
    <w:name w:val="WW8Num5z0"/>
    <w:rPr>
      <w:rFonts w:cs="Times New Roman"/>
      <w:b/>
      <w:color w:val="000000"/>
      <w:sz w:val="22"/>
      <w:szCs w:val="22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Symbol" w:hAnsi="Symbol" w:cs="Symbol"/>
      <w:color w:val="000000"/>
      <w:sz w:val="20"/>
      <w:szCs w:val="22"/>
    </w:rPr>
  </w:style>
  <w:style w:type="character" w:customStyle="1" w:styleId="WW8Num6z1">
    <w:name w:val="WW8Num6z1"/>
    <w:rPr>
      <w:rFonts w:ascii="Courier New" w:hAnsi="Courier New" w:cs="Courier New"/>
      <w:sz w:val="20"/>
    </w:rPr>
  </w:style>
  <w:style w:type="character" w:customStyle="1" w:styleId="WW8Num6z2">
    <w:name w:val="WW8Num6z2"/>
    <w:rPr>
      <w:rFonts w:ascii="Wingdings" w:hAnsi="Wingdings" w:cs="Wingdings"/>
      <w:sz w:val="20"/>
    </w:rPr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Symbol" w:hAnsi="Symbol" w:cs="Symbol"/>
      <w:sz w:val="20"/>
      <w:szCs w:val="22"/>
    </w:rPr>
  </w:style>
  <w:style w:type="character" w:customStyle="1" w:styleId="WW8Num7z1">
    <w:name w:val="WW8Num7z1"/>
    <w:rPr>
      <w:rFonts w:ascii="Courier New" w:hAnsi="Courier New" w:cs="Courier New"/>
      <w:sz w:val="20"/>
    </w:rPr>
  </w:style>
  <w:style w:type="character" w:customStyle="1" w:styleId="WW8Num7z2">
    <w:name w:val="WW8Num7z2"/>
    <w:rPr>
      <w:rFonts w:ascii="Wingdings" w:hAnsi="Wingdings" w:cs="Wingdings"/>
      <w:sz w:val="20"/>
    </w:rPr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hAnsi="Symbol" w:cs="Symbol"/>
      <w:sz w:val="20"/>
      <w:szCs w:val="22"/>
    </w:rPr>
  </w:style>
  <w:style w:type="character" w:customStyle="1" w:styleId="WW8Num8z1">
    <w:name w:val="WW8Num8z1"/>
    <w:rPr>
      <w:rFonts w:ascii="Courier New" w:hAnsi="Courier New" w:cs="Courier New"/>
      <w:sz w:val="20"/>
    </w:rPr>
  </w:style>
  <w:style w:type="character" w:customStyle="1" w:styleId="WW8Num8z2">
    <w:name w:val="WW8Num8z2"/>
    <w:rPr>
      <w:rFonts w:ascii="Wingdings" w:hAnsi="Wingdings" w:cs="Wingdings"/>
      <w:sz w:val="20"/>
    </w:rPr>
  </w:style>
  <w:style w:type="character" w:customStyle="1" w:styleId="WW8Num9z0">
    <w:name w:val="WW8Num9z0"/>
    <w:rPr>
      <w:rFonts w:ascii="Symbol" w:hAnsi="Symbol" w:cs="Symbol"/>
      <w:sz w:val="20"/>
      <w:szCs w:val="22"/>
    </w:rPr>
  </w:style>
  <w:style w:type="character" w:customStyle="1" w:styleId="WW8Num9z1">
    <w:name w:val="WW8Num9z1"/>
    <w:rPr>
      <w:rFonts w:ascii="Courier New" w:hAnsi="Courier New" w:cs="Courier New"/>
      <w:sz w:val="20"/>
    </w:rPr>
  </w:style>
  <w:style w:type="character" w:customStyle="1" w:styleId="WW8Num9z2">
    <w:name w:val="WW8Num9z2"/>
    <w:rPr>
      <w:rFonts w:ascii="Wingdings" w:hAnsi="Wingdings" w:cs="Wingdings"/>
      <w:sz w:val="20"/>
    </w:rPr>
  </w:style>
  <w:style w:type="character" w:customStyle="1" w:styleId="WW8Num10z0">
    <w:name w:val="WW8Num10z0"/>
    <w:rPr>
      <w:rFonts w:ascii="Symbol" w:hAnsi="Symbol" w:cs="Symbol"/>
      <w:color w:val="000000"/>
      <w:sz w:val="20"/>
      <w:szCs w:val="22"/>
    </w:rPr>
  </w:style>
  <w:style w:type="character" w:customStyle="1" w:styleId="WW8Num10z1">
    <w:name w:val="WW8Num10z1"/>
    <w:rPr>
      <w:rFonts w:ascii="Courier New" w:hAnsi="Courier New" w:cs="Courier New"/>
      <w:sz w:val="20"/>
    </w:rPr>
  </w:style>
  <w:style w:type="character" w:customStyle="1" w:styleId="WW8Num10z2">
    <w:name w:val="WW8Num10z2"/>
    <w:rPr>
      <w:rFonts w:ascii="Wingdings" w:hAnsi="Wingdings" w:cs="Wingdings"/>
      <w:sz w:val="20"/>
    </w:rPr>
  </w:style>
  <w:style w:type="character" w:customStyle="1" w:styleId="WW8Num11z0">
    <w:name w:val="WW8Num11z0"/>
    <w:rPr>
      <w:rFonts w:ascii="Symbol" w:hAnsi="Symbol" w:cs="Symbol" w:hint="default"/>
      <w:color w:val="000000"/>
      <w:sz w:val="22"/>
      <w:szCs w:val="22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2z2">
    <w:name w:val="WW8Num12z2"/>
    <w:rPr>
      <w:rFonts w:hint="default"/>
      <w:b w:val="0"/>
      <w:bCs/>
      <w:i w:val="0"/>
      <w:iCs/>
      <w:color w:val="000000"/>
    </w:rPr>
  </w:style>
  <w:style w:type="character" w:customStyle="1" w:styleId="WW8Num13z0">
    <w:name w:val="WW8Num13z0"/>
    <w:rPr>
      <w:rFonts w:hint="default"/>
    </w:rPr>
  </w:style>
  <w:style w:type="character" w:customStyle="1" w:styleId="WW8Num13z2">
    <w:name w:val="WW8Num13z2"/>
    <w:rPr>
      <w:rFonts w:hint="default"/>
      <w:color w:val="auto"/>
    </w:rPr>
  </w:style>
  <w:style w:type="character" w:customStyle="1" w:styleId="WW8Num14z0">
    <w:name w:val="WW8Num14z0"/>
    <w:rPr>
      <w:rFonts w:hint="default"/>
    </w:rPr>
  </w:style>
  <w:style w:type="character" w:customStyle="1" w:styleId="Predvolenpsmoodseku1">
    <w:name w:val="Predvolené písmo odseku1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DefaultParagraphFont">
    <w:name w:val="Default Paragraph Font"/>
  </w:style>
  <w:style w:type="character" w:customStyle="1" w:styleId="Nadpis1Char">
    <w:name w:val="Nadpis 1 Char"/>
    <w:rPr>
      <w:rFonts w:ascii="Cambria" w:hAnsi="Cambria" w:cs="font292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hAnsi="Cambria" w:cs="font292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rPr>
      <w:rFonts w:ascii="Arial" w:hAnsi="Arial" w:cs="Arial"/>
      <w:sz w:val="24"/>
      <w:szCs w:val="24"/>
    </w:rPr>
  </w:style>
  <w:style w:type="character" w:customStyle="1" w:styleId="pagenumber">
    <w:name w:val="page number"/>
    <w:rPr>
      <w:rFonts w:cs="Times New Roman"/>
    </w:rPr>
  </w:style>
  <w:style w:type="character" w:styleId="Siln">
    <w:name w:val="Strong"/>
    <w:qFormat/>
    <w:rPr>
      <w:rFonts w:cs="Times New Roman"/>
      <w:b/>
      <w:bCs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  <w:rPr>
      <w:rFonts w:ascii="Arial Narrow" w:hAnsi="Arial Narrow" w:cs="Arial"/>
      <w:sz w:val="24"/>
      <w:szCs w:val="24"/>
    </w:rPr>
  </w:style>
  <w:style w:type="character" w:customStyle="1" w:styleId="ra">
    <w:name w:val="ra"/>
    <w:basedOn w:val="DefaultParagraphFont"/>
  </w:style>
  <w:style w:type="character" w:customStyle="1" w:styleId="cell1">
    <w:name w:val="cell1"/>
    <w:basedOn w:val="DefaultParagraphFont"/>
  </w:style>
  <w:style w:type="character" w:customStyle="1" w:styleId="ListLabel1">
    <w:name w:val="ListLabel 1"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rPr>
      <w:rFonts w:cs="Times New Roman"/>
      <w:b/>
      <w:bCs/>
      <w:i w:val="0"/>
      <w:iCs w:val="0"/>
    </w:rPr>
  </w:style>
  <w:style w:type="character" w:customStyle="1" w:styleId="ListLabel3">
    <w:name w:val="ListLabel 3"/>
    <w:rPr>
      <w:rFonts w:cs="Times New Roman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dstrike/>
      <w:vanish w:val="0"/>
      <w:color w:val="00000A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ListLabel5">
    <w:name w:val="ListLabel 5"/>
    <w:rPr>
      <w:sz w:val="20"/>
    </w:rPr>
  </w:style>
  <w:style w:type="character" w:customStyle="1" w:styleId="NzovChar">
    <w:name w:val="Názov Char"/>
    <w:rPr>
      <w:rFonts w:ascii="Arial" w:hAnsi="Arial" w:cs="Arial"/>
      <w:b/>
      <w:spacing w:val="-10"/>
      <w:kern w:val="1"/>
      <w:sz w:val="24"/>
      <w:szCs w:val="56"/>
    </w:rPr>
  </w:style>
  <w:style w:type="paragraph" w:customStyle="1" w:styleId="Nadpis">
    <w:name w:val="Nadpis"/>
    <w:basedOn w:val="Normlny"/>
    <w:next w:val="Zkladntext"/>
    <w:pPr>
      <w:keepNext/>
      <w:spacing w:before="24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pPr>
      <w:spacing w:before="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</w:pPr>
    <w:rPr>
      <w:rFonts w:cs="Mangal"/>
      <w:i/>
      <w:iCs/>
      <w:sz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tl11ptTuniernaPodaokrajaVavo019cmRiadkova">
    <w:name w:val="Štýl 11 pt Tučné Čierna Podľa okraja Vľavo:  019 cm Riadkova..."/>
    <w:pPr>
      <w:suppressAutoHyphens/>
      <w:spacing w:line="360" w:lineRule="auto"/>
      <w:jc w:val="both"/>
    </w:pPr>
    <w:rPr>
      <w:rFonts w:ascii="Arial" w:hAnsi="Arial" w:cs="Arial"/>
      <w:color w:val="000000"/>
      <w:kern w:val="1"/>
      <w:sz w:val="24"/>
      <w:szCs w:val="24"/>
      <w:lang w:eastAsia="ar-SA"/>
    </w:rPr>
  </w:style>
  <w:style w:type="paragraph" w:customStyle="1" w:styleId="tlPodaokrajaVavo019cmRiadkovanie15riadka">
    <w:name w:val="Štýl Podľa okraja Vľavo:  019 cm Riadkovanie:  15 riadka"/>
    <w:basedOn w:val="Normlny"/>
    <w:pPr>
      <w:ind w:left="108"/>
    </w:pPr>
  </w:style>
  <w:style w:type="paragraph" w:customStyle="1" w:styleId="Bododvodnenie">
    <w:name w:val="Bod odôvodnenie"/>
    <w:pPr>
      <w:numPr>
        <w:numId w:val="3"/>
      </w:numPr>
      <w:suppressAutoHyphens/>
      <w:spacing w:before="120" w:after="120"/>
    </w:pPr>
    <w:rPr>
      <w:rFonts w:ascii="Arial" w:hAnsi="Arial" w:cs="Arial"/>
      <w:b/>
      <w:bCs/>
      <w:kern w:val="1"/>
      <w:sz w:val="24"/>
      <w:szCs w:val="24"/>
      <w:lang w:eastAsia="ar-SA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hAnsi="Arial" w:cs="Arial"/>
      <w:kern w:val="1"/>
      <w:sz w:val="16"/>
      <w:szCs w:val="16"/>
      <w:lang w:eastAsia="ar-SA"/>
    </w:rPr>
  </w:style>
  <w:style w:type="paragraph" w:customStyle="1" w:styleId="Textpoznmky">
    <w:name w:val="Text poznámky"/>
    <w:basedOn w:val="Normlny"/>
    <w:pPr>
      <w:numPr>
        <w:numId w:val="2"/>
      </w:numPr>
      <w:spacing w:line="100" w:lineRule="atLeast"/>
    </w:pPr>
  </w:style>
  <w:style w:type="paragraph" w:styleId="Pta">
    <w:name w:val="footer"/>
    <w:basedOn w:val="Normlny"/>
    <w:pPr>
      <w:suppressLineNumbers/>
      <w:tabs>
        <w:tab w:val="center" w:pos="4536"/>
        <w:tab w:val="right" w:pos="9072"/>
      </w:tabs>
    </w:pPr>
  </w:style>
  <w:style w:type="paragraph" w:customStyle="1" w:styleId="Normlny1">
    <w:name w:val="Normálny1"/>
    <w:pPr>
      <w:suppressAutoHyphens/>
      <w:spacing w:before="120" w:after="120" w:line="360" w:lineRule="auto"/>
      <w:ind w:firstLine="709"/>
      <w:jc w:val="both"/>
    </w:pPr>
    <w:rPr>
      <w:rFonts w:ascii="Arial" w:hAnsi="Arial" w:cs="Arial"/>
      <w:kern w:val="1"/>
      <w:sz w:val="24"/>
      <w:szCs w:val="24"/>
      <w:lang w:eastAsia="ar-SA"/>
    </w:rPr>
  </w:style>
  <w:style w:type="paragraph" w:customStyle="1" w:styleId="Textopatrenia">
    <w:name w:val="Text opatrenia"/>
    <w:pPr>
      <w:suppressAutoHyphens/>
      <w:spacing w:before="120" w:after="120"/>
      <w:jc w:val="both"/>
    </w:pPr>
    <w:rPr>
      <w:rFonts w:ascii="Arial Narrow" w:hAnsi="Arial Narrow" w:cs="Arial"/>
      <w:kern w:val="1"/>
      <w:sz w:val="22"/>
      <w:szCs w:val="22"/>
      <w:lang w:eastAsia="ar-SA"/>
    </w:rPr>
  </w:style>
  <w:style w:type="paragraph" w:customStyle="1" w:styleId="TopHeader">
    <w:name w:val="Top Header"/>
    <w:basedOn w:val="Normlny"/>
    <w:pPr>
      <w:spacing w:before="0" w:after="0" w:line="100" w:lineRule="atLeast"/>
      <w:jc w:val="center"/>
    </w:pPr>
    <w:rPr>
      <w:rFonts w:cs="Times New Roman"/>
      <w:b/>
      <w:bCs/>
      <w:sz w:val="22"/>
      <w:szCs w:val="22"/>
    </w:rPr>
  </w:style>
  <w:style w:type="paragraph" w:customStyle="1" w:styleId="BalloonText">
    <w:name w:val="Balloon Text"/>
    <w:basedOn w:val="Normlny"/>
    <w:pPr>
      <w:spacing w:before="0" w:after="0" w:line="100" w:lineRule="atLeast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pPr>
      <w:suppressLineNumbers/>
      <w:tabs>
        <w:tab w:val="center" w:pos="4536"/>
        <w:tab w:val="right" w:pos="9072"/>
      </w:tabs>
    </w:pPr>
  </w:style>
  <w:style w:type="paragraph" w:customStyle="1" w:styleId="ListParagraph">
    <w:name w:val="List Paragraph"/>
    <w:basedOn w:val="Normlny"/>
    <w:pPr>
      <w:ind w:left="720"/>
    </w:pPr>
  </w:style>
  <w:style w:type="paragraph" w:customStyle="1" w:styleId="NormalWeb">
    <w:name w:val="Normal (Web)"/>
    <w:basedOn w:val="Normlny"/>
    <w:pPr>
      <w:spacing w:before="0" w:after="150" w:line="100" w:lineRule="atLeast"/>
      <w:jc w:val="left"/>
    </w:pPr>
    <w:rPr>
      <w:rFonts w:ascii="Times New Roman" w:hAnsi="Times New Roman" w:cs="Times New Roman"/>
      <w:sz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Nzov">
    <w:name w:val="Title"/>
    <w:basedOn w:val="Normlny"/>
    <w:next w:val="Normlny"/>
    <w:qFormat/>
    <w:pPr>
      <w:suppressAutoHyphens w:val="0"/>
      <w:spacing w:before="240" w:after="240" w:line="240" w:lineRule="auto"/>
      <w:ind w:left="794" w:hanging="794"/>
      <w:jc w:val="center"/>
    </w:pPr>
    <w:rPr>
      <w:rFonts w:ascii="Arial" w:hAnsi="Arial" w:cs="Times New Roman"/>
      <w:b/>
      <w:spacing w:val="-10"/>
      <w:sz w:val="24"/>
      <w:szCs w:val="56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subparagraph">
    <w:name w:val="subparagraph"/>
    <w:basedOn w:val="Normlny"/>
    <w:pPr>
      <w:tabs>
        <w:tab w:val="left" w:pos="360"/>
      </w:tabs>
      <w:suppressAutoHyphens w:val="0"/>
      <w:spacing w:before="0" w:after="0" w:line="240" w:lineRule="auto"/>
    </w:pPr>
    <w:rPr>
      <w:rFonts w:ascii="Arial" w:eastAsia="Calibri" w:hAnsi="Arial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footer" Target="footer6.xml"/><Relationship Id="rId26" Type="http://schemas.openxmlformats.org/officeDocument/2006/relationships/header" Target="header10.xml"/><Relationship Id="rId3" Type="http://schemas.microsoft.com/office/2007/relationships/stylesWithEffects" Target="stylesWithEffect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header" Target="header5.xml"/><Relationship Id="rId25" Type="http://schemas.openxmlformats.org/officeDocument/2006/relationships/header" Target="header9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7.xml"/><Relationship Id="rId29" Type="http://schemas.openxmlformats.org/officeDocument/2006/relationships/header" Target="header1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footer" Target="footer9.xm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header" Target="header8.xml"/><Relationship Id="rId28" Type="http://schemas.openxmlformats.org/officeDocument/2006/relationships/footer" Target="footer11.xml"/><Relationship Id="rId10" Type="http://schemas.openxmlformats.org/officeDocument/2006/relationships/footer" Target="footer2.xml"/><Relationship Id="rId19" Type="http://schemas.openxmlformats.org/officeDocument/2006/relationships/header" Target="header6.xm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oter" Target="footer8.xml"/><Relationship Id="rId27" Type="http://schemas.openxmlformats.org/officeDocument/2006/relationships/footer" Target="footer10.xml"/><Relationship Id="rId30" Type="http://schemas.openxmlformats.org/officeDocument/2006/relationships/footer" Target="footer1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2485</Words>
  <Characters>14165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16617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2</cp:revision>
  <cp:lastPrinted>2018-03-07T12:09:00Z</cp:lastPrinted>
  <dcterms:created xsi:type="dcterms:W3CDTF">2021-03-29T11:58:00Z</dcterms:created>
  <dcterms:modified xsi:type="dcterms:W3CDTF">2021-03-29T11:58:00Z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