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E9C" w:rsidRDefault="00C336AA">
      <w:pPr>
        <w:pStyle w:val="Heading1"/>
        <w:spacing w:before="119"/>
        <w:ind w:left="1929" w:right="386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73.8pt;margin-top:1.75pt;width:139pt;height:17.05pt;z-index:1572915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9" type="#_x0000_t202" style="position:absolute;left:0;text-align:left;margin-left:348.2pt;margin-top:1.5pt;width:140.8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4</w:t>
                        </w:r>
                        <w:r w:rsidR="00663B05"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2</w:t>
                        </w:r>
                        <w:r w:rsidR="00663B05"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E76218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6</w:t>
                        </w:r>
                        <w:r w:rsidR="00663B05"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</w:pPr>
    </w:p>
    <w:p w:rsidR="003F6E9C" w:rsidRDefault="003F6E9C">
      <w:pPr>
        <w:pStyle w:val="Zkladntext"/>
      </w:pPr>
    </w:p>
    <w:p w:rsidR="003F6E9C" w:rsidRDefault="00C336AA">
      <w:pPr>
        <w:pStyle w:val="Zkladntext"/>
        <w:spacing w:before="2"/>
        <w:rPr>
          <w:sz w:val="16"/>
        </w:rPr>
      </w:pPr>
      <w:r w:rsidRPr="00C336AA">
        <w:pict>
          <v:shape id="_x0000_s1038" type="#_x0000_t202" style="position:absolute;margin-left:65.15pt;margin-top:11.5pt;width:467.05pt;height:97.95pt;z-index:-15728640;mso-wrap-distance-left:0;mso-wrap-distance-right:0;mso-position-horizontal-relative:page" filled="f" strokeweight=".16936mm">
            <v:textbox inset="0,0,0,0">
              <w:txbxContent>
                <w:p w:rsidR="003F6E9C" w:rsidRDefault="00663B05">
                  <w:pPr>
                    <w:ind w:left="300" w:right="339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POZNÁMKY K ÚČTOVNEJ ZÁVIERKE 20</w:t>
                  </w:r>
                  <w:r w:rsidR="000E09E6">
                    <w:rPr>
                      <w:b/>
                      <w:sz w:val="24"/>
                    </w:rPr>
                    <w:t>20</w:t>
                  </w:r>
                </w:p>
                <w:p w:rsidR="003F6E9C" w:rsidRDefault="00663B05">
                  <w:pPr>
                    <w:spacing w:before="164"/>
                    <w:ind w:left="300" w:right="343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zostavené podľa Opatrenia č.MF/23378/2014-74 (FS č.12/2014), ktorým sa ustanovujú podrobnosti</w:t>
                  </w:r>
                </w:p>
                <w:p w:rsidR="003F6E9C" w:rsidRDefault="00663B05">
                  <w:pPr>
                    <w:spacing w:before="39"/>
                    <w:ind w:left="300" w:right="342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o individuálnej účtovnej závierke a rozsahu údajov určených z individuálnej účtovnej závierky na</w:t>
                  </w:r>
                </w:p>
                <w:p w:rsidR="003F6E9C" w:rsidRDefault="00663B05">
                  <w:pPr>
                    <w:spacing w:before="42"/>
                    <w:ind w:left="300" w:right="34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zverejnenie</w:t>
                  </w:r>
                </w:p>
                <w:p w:rsidR="003F6E9C" w:rsidRDefault="00663B05">
                  <w:pPr>
                    <w:spacing w:before="41"/>
                    <w:ind w:left="299" w:right="343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pre malé účtovné jednotky</w:t>
                  </w:r>
                </w:p>
              </w:txbxContent>
            </v:textbox>
            <w10:wrap type="topAndBottom" anchorx="page"/>
          </v:shape>
        </w:pict>
      </w:r>
    </w:p>
    <w:p w:rsidR="003F6E9C" w:rsidRDefault="003F6E9C">
      <w:pPr>
        <w:pStyle w:val="Zkladntext"/>
        <w:spacing w:before="1"/>
        <w:rPr>
          <w:sz w:val="25"/>
        </w:rPr>
      </w:pPr>
    </w:p>
    <w:p w:rsidR="003F6E9C" w:rsidRDefault="00663B05">
      <w:pPr>
        <w:ind w:left="1929" w:right="1965"/>
        <w:jc w:val="center"/>
        <w:rPr>
          <w:b/>
          <w:sz w:val="24"/>
        </w:rPr>
      </w:pPr>
      <w:r>
        <w:rPr>
          <w:b/>
          <w:sz w:val="24"/>
        </w:rPr>
        <w:t>Čl. I</w:t>
      </w:r>
    </w:p>
    <w:p w:rsidR="003F6E9C" w:rsidRDefault="00663B05">
      <w:pPr>
        <w:spacing w:before="42"/>
        <w:ind w:left="1929" w:right="197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3F6E9C" w:rsidRDefault="003F6E9C">
      <w:pPr>
        <w:pStyle w:val="Zkladntext"/>
        <w:spacing w:before="2"/>
        <w:rPr>
          <w:b/>
          <w:sz w:val="31"/>
        </w:rPr>
      </w:pPr>
    </w:p>
    <w:p w:rsidR="003F6E9C" w:rsidRDefault="00663B05">
      <w:pPr>
        <w:pStyle w:val="Odsekzoznamu"/>
        <w:numPr>
          <w:ilvl w:val="0"/>
          <w:numId w:val="9"/>
        </w:numPr>
        <w:tabs>
          <w:tab w:val="left" w:pos="447"/>
        </w:tabs>
        <w:spacing w:before="1"/>
        <w:rPr>
          <w:sz w:val="24"/>
        </w:rPr>
      </w:pPr>
      <w:r>
        <w:rPr>
          <w:rFonts w:ascii="Times New Roman" w:hAnsi="Times New Roman"/>
          <w:spacing w:val="-60"/>
          <w:sz w:val="24"/>
          <w:u w:val="single"/>
        </w:rPr>
        <w:t xml:space="preserve"> </w:t>
      </w:r>
      <w:r>
        <w:rPr>
          <w:sz w:val="24"/>
          <w:u w:val="single"/>
        </w:rPr>
        <w:t>Základné informácie o účtovnej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jednotke</w:t>
      </w:r>
      <w:r>
        <w:rPr>
          <w:sz w:val="24"/>
        </w:rPr>
        <w:t>: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1"/>
        <w:rPr>
          <w:sz w:val="11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460"/>
        <w:gridCol w:w="6503"/>
      </w:tblGrid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Obchodné meno: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68"/>
              <w:rPr>
                <w:b/>
                <w:sz w:val="24"/>
              </w:rPr>
            </w:pPr>
            <w:r>
              <w:rPr>
                <w:b/>
                <w:sz w:val="24"/>
              </w:rPr>
              <w:t>ORKAN TRANS, s.r.o.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Sídlo:</w:t>
            </w:r>
          </w:p>
        </w:tc>
        <w:tc>
          <w:tcPr>
            <w:tcW w:w="6503" w:type="dxa"/>
          </w:tcPr>
          <w:p w:rsidR="003F6E9C" w:rsidRDefault="00E76218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Breziny 106, 962 61 Dobrá Niva</w:t>
            </w:r>
          </w:p>
        </w:tc>
      </w:tr>
      <w:tr w:rsidR="003F6E9C">
        <w:trPr>
          <w:trHeight w:val="316"/>
        </w:trPr>
        <w:tc>
          <w:tcPr>
            <w:tcW w:w="2460" w:type="dxa"/>
          </w:tcPr>
          <w:p w:rsidR="003F6E9C" w:rsidRDefault="00663B05">
            <w:pPr>
              <w:pStyle w:val="TableParagraph"/>
              <w:ind w:left="115"/>
              <w:rPr>
                <w:sz w:val="24"/>
              </w:rPr>
            </w:pPr>
            <w:r>
              <w:rPr>
                <w:sz w:val="24"/>
              </w:rPr>
              <w:t>Právna forma:</w:t>
            </w:r>
          </w:p>
        </w:tc>
        <w:tc>
          <w:tcPr>
            <w:tcW w:w="6503" w:type="dxa"/>
          </w:tcPr>
          <w:p w:rsidR="003F6E9C" w:rsidRDefault="00663B05"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Spoločnosť s ručením obmedzeným</w:t>
            </w:r>
          </w:p>
        </w:tc>
      </w:tr>
      <w:tr w:rsidR="003F6E9C">
        <w:trPr>
          <w:trHeight w:val="316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Dátum vzniku: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 w:rsidP="00E76218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 xml:space="preserve">Zápis do obchodného registra: </w:t>
            </w:r>
            <w:r w:rsidR="00E76218">
              <w:rPr>
                <w:sz w:val="24"/>
              </w:rPr>
              <w:t>5.2.2008</w:t>
            </w:r>
          </w:p>
        </w:tc>
      </w:tr>
      <w:tr w:rsidR="003F6E9C">
        <w:trPr>
          <w:trHeight w:val="633"/>
        </w:trPr>
        <w:tc>
          <w:tcPr>
            <w:tcW w:w="2460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Hlavný predmet</w:t>
            </w:r>
          </w:p>
          <w:p w:rsidR="003F6E9C" w:rsidRDefault="00663B05">
            <w:pPr>
              <w:pStyle w:val="TableParagraph"/>
              <w:spacing w:before="42"/>
              <w:ind w:left="110"/>
              <w:rPr>
                <w:sz w:val="24"/>
              </w:rPr>
            </w:pPr>
            <w:r>
              <w:rPr>
                <w:sz w:val="24"/>
              </w:rPr>
              <w:t>podnikania:</w:t>
            </w:r>
          </w:p>
        </w:tc>
        <w:tc>
          <w:tcPr>
            <w:tcW w:w="6503" w:type="dxa"/>
            <w:tcBorders>
              <w:left w:val="single" w:sz="8" w:space="0" w:color="000000"/>
              <w:right w:val="single" w:sz="8" w:space="0" w:color="000000"/>
            </w:tcBorders>
          </w:tcPr>
          <w:p w:rsidR="003F6E9C" w:rsidRDefault="00E76218">
            <w:pPr>
              <w:pStyle w:val="TableParagraph"/>
              <w:spacing w:before="42"/>
              <w:ind w:left="108"/>
              <w:rPr>
                <w:sz w:val="24"/>
              </w:rPr>
            </w:pPr>
            <w:r>
              <w:rPr>
                <w:sz w:val="24"/>
              </w:rPr>
              <w:t>Nákladná cestná doprava</w:t>
            </w:r>
          </w:p>
        </w:tc>
      </w:tr>
      <w:tr w:rsidR="003F6E9C">
        <w:trPr>
          <w:trHeight w:val="318"/>
        </w:trPr>
        <w:tc>
          <w:tcPr>
            <w:tcW w:w="24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Účtovné obdobie:</w:t>
            </w:r>
          </w:p>
        </w:tc>
        <w:tc>
          <w:tcPr>
            <w:tcW w:w="650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F6E9C" w:rsidRDefault="00663B05" w:rsidP="00C15A2F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Kalendárny rok 20</w:t>
            </w:r>
            <w:r w:rsidR="00C15A2F">
              <w:rPr>
                <w:sz w:val="24"/>
              </w:rPr>
              <w:t>20</w:t>
            </w:r>
          </w:p>
        </w:tc>
      </w:tr>
    </w:tbl>
    <w:p w:rsidR="003F6E9C" w:rsidRDefault="003F6E9C">
      <w:pPr>
        <w:pStyle w:val="Zkladntext"/>
        <w:spacing w:before="11"/>
        <w:rPr>
          <w:sz w:val="22"/>
        </w:rPr>
      </w:pPr>
    </w:p>
    <w:p w:rsidR="003F6E9C" w:rsidRDefault="00663B05">
      <w:pPr>
        <w:ind w:left="262"/>
        <w:rPr>
          <w:i/>
          <w:sz w:val="20"/>
        </w:rPr>
      </w:pP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i/>
          <w:sz w:val="20"/>
          <w:u w:val="single"/>
        </w:rPr>
        <w:t xml:space="preserve">Test veľkostnej skupiny účtovnej jednotky (2 </w:t>
      </w:r>
      <w:proofErr w:type="spellStart"/>
      <w:r>
        <w:rPr>
          <w:i/>
          <w:sz w:val="20"/>
          <w:u w:val="single"/>
        </w:rPr>
        <w:t>ZoU</w:t>
      </w:r>
      <w:proofErr w:type="spellEnd"/>
      <w:r>
        <w:rPr>
          <w:i/>
          <w:sz w:val="20"/>
          <w:u w:val="single"/>
        </w:rPr>
        <w:t>)</w:t>
      </w:r>
    </w:p>
    <w:p w:rsidR="003F6E9C" w:rsidRDefault="00663B05">
      <w:pPr>
        <w:spacing w:before="35" w:line="276" w:lineRule="auto"/>
        <w:ind w:left="216" w:right="255"/>
        <w:jc w:val="both"/>
        <w:rPr>
          <w:i/>
          <w:sz w:val="20"/>
        </w:rPr>
      </w:pPr>
      <w:r>
        <w:rPr>
          <w:i/>
          <w:sz w:val="20"/>
        </w:rPr>
        <w:t>(Do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veľkostnej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skupiny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mala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účtovná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jednotka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patrí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taká,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ktorá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za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po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sebe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idúce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účtovné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obdobia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spĺňa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aspoň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dve</w:t>
      </w:r>
      <w:r>
        <w:rPr>
          <w:i/>
          <w:spacing w:val="-8"/>
          <w:sz w:val="20"/>
        </w:rPr>
        <w:t xml:space="preserve"> </w:t>
      </w:r>
      <w:r>
        <w:rPr>
          <w:i/>
          <w:sz w:val="20"/>
        </w:rPr>
        <w:t>z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 xml:space="preserve">troch podmienok – suma netto aktív presiahla 350 000 eura, ale nepresiahla 4 000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eur, čistý obrat presiahol 700 000 eur, ale nepresiahol 8 000 </w:t>
      </w:r>
      <w:proofErr w:type="spellStart"/>
      <w:r>
        <w:rPr>
          <w:i/>
          <w:sz w:val="20"/>
        </w:rPr>
        <w:t>000</w:t>
      </w:r>
      <w:proofErr w:type="spellEnd"/>
      <w:r>
        <w:rPr>
          <w:i/>
          <w:sz w:val="20"/>
        </w:rPr>
        <w:t xml:space="preserve"> eur a priemerný prepočítaný počet zamestnancov počas účtovného obdobia presiahol 10, ale nepresiahol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50).</w:t>
      </w:r>
    </w:p>
    <w:p w:rsidR="003F6E9C" w:rsidRDefault="003F6E9C">
      <w:pPr>
        <w:pStyle w:val="Zkladntext"/>
        <w:spacing w:before="9" w:after="1"/>
        <w:rPr>
          <w:i/>
          <w:sz w:val="22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59"/>
        <w:gridCol w:w="2657"/>
        <w:gridCol w:w="3056"/>
        <w:gridCol w:w="1197"/>
      </w:tblGrid>
      <w:tr w:rsidR="003F6E9C">
        <w:trPr>
          <w:trHeight w:val="599"/>
        </w:trPr>
        <w:tc>
          <w:tcPr>
            <w:tcW w:w="2059" w:type="dxa"/>
          </w:tcPr>
          <w:p w:rsidR="003F6E9C" w:rsidRDefault="00663B05">
            <w:pPr>
              <w:pStyle w:val="TableParagraph"/>
              <w:spacing w:before="2"/>
              <w:ind w:left="496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657" w:type="dxa"/>
          </w:tcPr>
          <w:p w:rsidR="003F6E9C" w:rsidRDefault="00663B05">
            <w:pPr>
              <w:pStyle w:val="TableParagraph"/>
              <w:spacing w:before="2"/>
              <w:ind w:left="448" w:right="444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3056" w:type="dxa"/>
          </w:tcPr>
          <w:p w:rsidR="003F6E9C" w:rsidRDefault="00663B05">
            <w:pPr>
              <w:pStyle w:val="TableParagraph"/>
              <w:spacing w:before="2" w:line="276" w:lineRule="auto"/>
              <w:ind w:left="924" w:hanging="531"/>
              <w:rPr>
                <w:sz w:val="20"/>
              </w:rPr>
            </w:pPr>
            <w:r>
              <w:rPr>
                <w:sz w:val="20"/>
              </w:rPr>
              <w:t>Bezprostredne predchádzajúce účtovné obdobie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before="2"/>
              <w:ind w:left="286" w:right="277"/>
              <w:jc w:val="center"/>
              <w:rPr>
                <w:sz w:val="20"/>
              </w:rPr>
            </w:pPr>
            <w:r>
              <w:rPr>
                <w:sz w:val="20"/>
              </w:rPr>
              <w:t>Áno/Nie</w:t>
            </w:r>
          </w:p>
        </w:tc>
      </w:tr>
      <w:tr w:rsidR="003F6E9C">
        <w:trPr>
          <w:trHeight w:val="304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Netto aktíva celkom</w:t>
            </w:r>
          </w:p>
        </w:tc>
        <w:tc>
          <w:tcPr>
            <w:tcW w:w="2657" w:type="dxa"/>
          </w:tcPr>
          <w:p w:rsidR="003F6E9C" w:rsidRDefault="00C15A2F">
            <w:pPr>
              <w:pStyle w:val="TableParagraph"/>
              <w:spacing w:line="229" w:lineRule="exact"/>
              <w:ind w:left="448" w:right="438"/>
              <w:jc w:val="center"/>
              <w:rPr>
                <w:sz w:val="20"/>
              </w:rPr>
            </w:pPr>
            <w:r>
              <w:rPr>
                <w:sz w:val="20"/>
              </w:rPr>
              <w:t>9937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C15A2F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8225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663B05">
            <w:pPr>
              <w:pStyle w:val="TableParagraph"/>
              <w:spacing w:line="229" w:lineRule="exact"/>
              <w:ind w:left="286" w:right="272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292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Čistý obrat celkom</w:t>
            </w:r>
          </w:p>
        </w:tc>
        <w:tc>
          <w:tcPr>
            <w:tcW w:w="2657" w:type="dxa"/>
          </w:tcPr>
          <w:p w:rsidR="003F6E9C" w:rsidRDefault="00C15A2F">
            <w:pPr>
              <w:pStyle w:val="TableParagraph"/>
              <w:spacing w:line="229" w:lineRule="exact"/>
              <w:ind w:left="448" w:right="440"/>
              <w:jc w:val="center"/>
              <w:rPr>
                <w:sz w:val="20"/>
              </w:rPr>
            </w:pPr>
            <w:r>
              <w:rPr>
                <w:sz w:val="20"/>
              </w:rPr>
              <w:t>13145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3056" w:type="dxa"/>
          </w:tcPr>
          <w:p w:rsidR="003F6E9C" w:rsidRDefault="00C15A2F">
            <w:pPr>
              <w:pStyle w:val="TableParagraph"/>
              <w:spacing w:line="229" w:lineRule="exact"/>
              <w:ind w:left="1026" w:right="1019"/>
              <w:jc w:val="center"/>
              <w:rPr>
                <w:sz w:val="20"/>
              </w:rPr>
            </w:pPr>
            <w:r>
              <w:rPr>
                <w:sz w:val="20"/>
              </w:rPr>
              <w:t>23181</w:t>
            </w:r>
            <w:r w:rsidR="00663B05">
              <w:rPr>
                <w:sz w:val="20"/>
              </w:rPr>
              <w:t xml:space="preserve"> €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  <w:tr w:rsidR="003F6E9C">
        <w:trPr>
          <w:trHeight w:val="306"/>
        </w:trPr>
        <w:tc>
          <w:tcPr>
            <w:tcW w:w="2059" w:type="dxa"/>
          </w:tcPr>
          <w:p w:rsidR="003F6E9C" w:rsidRDefault="00663B05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Počet zamestnancov</w:t>
            </w:r>
          </w:p>
        </w:tc>
        <w:tc>
          <w:tcPr>
            <w:tcW w:w="2657" w:type="dxa"/>
          </w:tcPr>
          <w:p w:rsidR="003F6E9C" w:rsidRDefault="00E76218">
            <w:pPr>
              <w:pStyle w:val="TableParagraph"/>
              <w:spacing w:line="229" w:lineRule="exact"/>
              <w:ind w:left="448" w:right="43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056" w:type="dxa"/>
          </w:tcPr>
          <w:p w:rsidR="003F6E9C" w:rsidRDefault="00E76218">
            <w:pPr>
              <w:pStyle w:val="TableParagraph"/>
              <w:spacing w:line="229" w:lineRule="exact"/>
              <w:ind w:left="1029" w:right="1019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197" w:type="dxa"/>
          </w:tcPr>
          <w:p w:rsidR="003F6E9C" w:rsidRDefault="00E76218">
            <w:pPr>
              <w:pStyle w:val="TableParagraph"/>
              <w:spacing w:line="229" w:lineRule="exact"/>
              <w:ind w:left="286" w:right="275"/>
              <w:jc w:val="center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</w:tr>
    </w:tbl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spacing w:line="276" w:lineRule="auto"/>
        <w:ind w:left="216" w:right="258"/>
        <w:jc w:val="both"/>
      </w:pPr>
      <w:r>
        <w:rPr>
          <w:rFonts w:ascii="Times New Roman" w:hAnsi="Times New Roman"/>
          <w:w w:val="99"/>
          <w:u w:val="single"/>
        </w:rPr>
        <w:t xml:space="preserve"> </w:t>
      </w:r>
      <w:r>
        <w:rPr>
          <w:u w:val="single"/>
        </w:rPr>
        <w:t>Komentár:</w:t>
      </w:r>
      <w:r>
        <w:t xml:space="preserve"> UJ spĺňa veľkostné podmienky na zatriedenie do veľkostnej skupiny – malá účtovná jednotka, preto zostavuje účtovnú závierku podľa metodiky pre túto veľkostnú skupinu (Opatrenie č.MF/23378/2014-74).</w:t>
      </w:r>
    </w:p>
    <w:p w:rsidR="00E76218" w:rsidRDefault="00E76218">
      <w:pPr>
        <w:pStyle w:val="Zkladntext"/>
        <w:spacing w:line="276" w:lineRule="auto"/>
        <w:ind w:left="216" w:right="258"/>
        <w:jc w:val="both"/>
      </w:pPr>
    </w:p>
    <w:p w:rsidR="00E76218" w:rsidRDefault="00E76218" w:rsidP="00E76218">
      <w:pPr>
        <w:pStyle w:val="Zkladntext"/>
        <w:numPr>
          <w:ilvl w:val="0"/>
          <w:numId w:val="9"/>
        </w:numPr>
        <w:spacing w:line="276" w:lineRule="auto"/>
        <w:ind w:right="258"/>
      </w:pPr>
      <w:r>
        <w:t xml:space="preserve">Dátum schválenia účtovnej závierky za rok </w:t>
      </w:r>
      <w:r w:rsidR="0047268D">
        <w:t>2020</w:t>
      </w:r>
    </w:p>
    <w:p w:rsidR="00E76218" w:rsidRDefault="00E76218" w:rsidP="00E76218">
      <w:pPr>
        <w:pStyle w:val="Zkladntext"/>
        <w:spacing w:line="276" w:lineRule="auto"/>
        <w:ind w:right="258"/>
        <w:jc w:val="both"/>
      </w:pPr>
      <w:r>
        <w:t xml:space="preserve">     Účtovná závierka za rok 20</w:t>
      </w:r>
      <w:r w:rsidR="00C15A2F">
        <w:t>20</w:t>
      </w:r>
      <w:r>
        <w:t xml:space="preserve"> bola schválená Valným zhromaždením spoločnosti, ktoré bolo zvolané konateľom Pavlom Oravcom – konateľom spoločnosti  a konalo sa dňa </w:t>
      </w:r>
      <w:r w:rsidR="0047268D">
        <w:t>29</w:t>
      </w:r>
      <w:r>
        <w:t>.</w:t>
      </w:r>
      <w:r w:rsidR="0047268D">
        <w:t>3.2021</w:t>
      </w:r>
      <w:r>
        <w:t xml:space="preserve"> v sídle spoločnosti</w:t>
      </w:r>
    </w:p>
    <w:p w:rsidR="003F6E9C" w:rsidRDefault="003F6E9C">
      <w:pPr>
        <w:pStyle w:val="Zkladntext"/>
        <w:spacing w:before="9"/>
        <w:rPr>
          <w:sz w:val="22"/>
        </w:rPr>
      </w:pPr>
    </w:p>
    <w:p w:rsidR="003F6E9C" w:rsidRDefault="003F6E9C">
      <w:pPr>
        <w:rPr>
          <w:sz w:val="20"/>
        </w:rPr>
        <w:sectPr w:rsidR="003F6E9C">
          <w:footerReference w:type="default" r:id="rId7"/>
          <w:type w:val="continuous"/>
          <w:pgSz w:w="11910" w:h="17340"/>
          <w:pgMar w:top="660" w:right="1160" w:bottom="1360" w:left="1200" w:header="708" w:footer="1165" w:gutter="0"/>
          <w:pgNumType w:start="1"/>
          <w:cols w:space="708"/>
        </w:sectPr>
      </w:pPr>
    </w:p>
    <w:p w:rsidR="003F6E9C" w:rsidRDefault="00C336AA">
      <w:pPr>
        <w:pStyle w:val="Heading1"/>
        <w:spacing w:before="119"/>
        <w:ind w:left="1929" w:right="386"/>
        <w:jc w:val="center"/>
      </w:pPr>
      <w:r>
        <w:lastRenderedPageBreak/>
        <w:pict>
          <v:shape id="_x0000_s1037" type="#_x0000_t202" style="position:absolute;left:0;text-align:left;margin-left:73.8pt;margin-top:1.75pt;width:139pt;height:17.05pt;z-index:15730176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348.2pt;margin-top:1.5pt;width:140.8pt;height:17.5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1"/>
        <w:rPr>
          <w:sz w:val="31"/>
        </w:rPr>
      </w:pPr>
    </w:p>
    <w:p w:rsidR="003F6E9C" w:rsidRDefault="00663B05">
      <w:pPr>
        <w:pStyle w:val="Zkladntext"/>
        <w:spacing w:line="276" w:lineRule="auto"/>
        <w:ind w:left="216"/>
      </w:pPr>
      <w:r>
        <w:t xml:space="preserve">Účtovná závierka za bezprostredne predchádzajúce účtovné obdobie bola </w:t>
      </w:r>
      <w:proofErr w:type="spellStart"/>
      <w:r>
        <w:t>preučtovaná</w:t>
      </w:r>
      <w:proofErr w:type="spellEnd"/>
      <w:r>
        <w:t xml:space="preserve"> na nerozdelený zisk minulých období: </w:t>
      </w:r>
      <w:r w:rsidR="00C15A2F">
        <w:t>1.12.2020</w:t>
      </w:r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Právny dôvod na zostavenie účtovnej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závierky.</w:t>
      </w:r>
    </w:p>
    <w:p w:rsidR="003F6E9C" w:rsidRDefault="003F6E9C">
      <w:pPr>
        <w:pStyle w:val="Zkladntext"/>
        <w:rPr>
          <w:i/>
          <w:sz w:val="26"/>
        </w:rPr>
      </w:pPr>
    </w:p>
    <w:p w:rsidR="003F6E9C" w:rsidRDefault="00E76218">
      <w:pPr>
        <w:pStyle w:val="Zkladntext"/>
        <w:spacing w:before="1" w:line="276" w:lineRule="auto"/>
        <w:ind w:left="216" w:right="360" w:firstLine="707"/>
      </w:pPr>
      <w:r>
        <w:t xml:space="preserve">Táto účtovná závierka je riadna individuálna účtovná závierka spoločnosti </w:t>
      </w:r>
      <w:proofErr w:type="spellStart"/>
      <w:r>
        <w:t>Orkan</w:t>
      </w:r>
      <w:proofErr w:type="spellEnd"/>
      <w:r>
        <w:t xml:space="preserve"> </w:t>
      </w:r>
      <w:proofErr w:type="spellStart"/>
      <w:r>
        <w:t>Trans</w:t>
      </w:r>
      <w:proofErr w:type="spellEnd"/>
      <w:r>
        <w:t>, s.r.o. so sídlom v Dobrej Nive. Bola zostavená za účtovné obdobie od 1.januára do 31. Decembra 20</w:t>
      </w:r>
      <w:r w:rsidR="00C15A2F">
        <w:t xml:space="preserve">20 </w:t>
      </w:r>
      <w:r>
        <w:t xml:space="preserve">podľa slovenských právnych </w:t>
      </w:r>
      <w:proofErr w:type="spellStart"/>
      <w:r>
        <w:t>prednisov</w:t>
      </w:r>
      <w:proofErr w:type="spellEnd"/>
      <w:r>
        <w:t>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ind w:hanging="361"/>
        <w:rPr>
          <w:i/>
          <w:sz w:val="20"/>
        </w:rPr>
      </w:pPr>
      <w:r>
        <w:rPr>
          <w:i/>
          <w:sz w:val="20"/>
        </w:rPr>
        <w:t>Údaje o skupine účtovných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jednotiek:</w:t>
      </w:r>
    </w:p>
    <w:p w:rsidR="003F6E9C" w:rsidRDefault="003F6E9C">
      <w:pPr>
        <w:pStyle w:val="Zkladntext"/>
        <w:rPr>
          <w:i/>
          <w:sz w:val="26"/>
        </w:rPr>
      </w:pPr>
    </w:p>
    <w:p w:rsidR="003F6E9C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Konsolidujúca účtovná jednotka</w:t>
      </w:r>
    </w:p>
    <w:p w:rsidR="003F6E9C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left="576" w:right="432" w:hanging="9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Bezprostredne konsolidujúca účtovná jednotka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bez náplne</w:t>
      </w:r>
    </w:p>
    <w:p w:rsidR="00E76218" w:rsidRPr="00E76218" w:rsidRDefault="00E76218" w:rsidP="00E76218">
      <w:pPr>
        <w:pStyle w:val="Odsekzoznamu"/>
        <w:numPr>
          <w:ilvl w:val="0"/>
          <w:numId w:val="7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 w:rsidRPr="00E76218">
        <w:rPr>
          <w:rFonts w:ascii="Times New Roman" w:hAnsi="Times New Roman" w:cs="Times New Roman"/>
          <w:sz w:val="24"/>
          <w:szCs w:val="24"/>
        </w:rPr>
        <w:t>Register s uloženými konsolidovanými uzávierkami</w:t>
      </w:r>
    </w:p>
    <w:p w:rsidR="00E76218" w:rsidRPr="00E76218" w:rsidRDefault="00E76218" w:rsidP="00E76218">
      <w:pPr>
        <w:pStyle w:val="Odsekzoznamu"/>
        <w:numPr>
          <w:ilvl w:val="0"/>
          <w:numId w:val="10"/>
        </w:numPr>
        <w:tabs>
          <w:tab w:val="left" w:pos="936"/>
          <w:tab w:val="left" w:pos="937"/>
        </w:tabs>
        <w:spacing w:before="34" w:line="276" w:lineRule="auto"/>
        <w:ind w:right="43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Bez náplne</w:t>
      </w:r>
    </w:p>
    <w:p w:rsidR="003F6E9C" w:rsidRPr="00E76218" w:rsidRDefault="003F6E9C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3F6E9C" w:rsidRDefault="003F6E9C">
      <w:pPr>
        <w:pStyle w:val="Zkladntext"/>
        <w:rPr>
          <w:sz w:val="22"/>
        </w:rPr>
      </w:pPr>
    </w:p>
    <w:p w:rsidR="003F6E9C" w:rsidRDefault="00663B05">
      <w:pPr>
        <w:pStyle w:val="Odsekzoznamu"/>
        <w:numPr>
          <w:ilvl w:val="1"/>
          <w:numId w:val="9"/>
        </w:numPr>
        <w:tabs>
          <w:tab w:val="left" w:pos="937"/>
        </w:tabs>
        <w:spacing w:before="177"/>
        <w:ind w:hanging="361"/>
        <w:rPr>
          <w:i/>
          <w:sz w:val="20"/>
        </w:rPr>
      </w:pPr>
      <w:r>
        <w:rPr>
          <w:i/>
          <w:sz w:val="20"/>
        </w:rPr>
        <w:t>Prepočítaný počet zamestnancov účtovnej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jednotky</w:t>
      </w:r>
    </w:p>
    <w:p w:rsidR="003F6E9C" w:rsidRDefault="003F6E9C">
      <w:pPr>
        <w:pStyle w:val="Zkladntext"/>
        <w:spacing w:after="1"/>
        <w:rPr>
          <w:i/>
          <w:sz w:val="26"/>
        </w:rPr>
      </w:pPr>
    </w:p>
    <w:tbl>
      <w:tblPr>
        <w:tblStyle w:val="TableNormal"/>
        <w:tblW w:w="0" w:type="auto"/>
        <w:tblInd w:w="30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81"/>
        <w:gridCol w:w="2566"/>
        <w:gridCol w:w="2787"/>
      </w:tblGrid>
      <w:tr w:rsidR="003F6E9C">
        <w:trPr>
          <w:trHeight w:val="534"/>
        </w:trPr>
        <w:tc>
          <w:tcPr>
            <w:tcW w:w="3581" w:type="dxa"/>
          </w:tcPr>
          <w:p w:rsidR="003F6E9C" w:rsidRDefault="00663B05">
            <w:pPr>
              <w:pStyle w:val="TableParagraph"/>
              <w:spacing w:before="136"/>
              <w:ind w:left="1235" w:right="1209"/>
              <w:jc w:val="center"/>
              <w:rPr>
                <w:sz w:val="20"/>
              </w:rPr>
            </w:pPr>
            <w:r>
              <w:rPr>
                <w:sz w:val="20"/>
              </w:rPr>
              <w:t>Názov položky</w:t>
            </w:r>
          </w:p>
        </w:tc>
        <w:tc>
          <w:tcPr>
            <w:tcW w:w="2566" w:type="dxa"/>
          </w:tcPr>
          <w:p w:rsidR="003F6E9C" w:rsidRDefault="00663B05">
            <w:pPr>
              <w:pStyle w:val="TableParagraph"/>
              <w:spacing w:before="136"/>
              <w:ind w:left="402" w:right="379"/>
              <w:jc w:val="center"/>
              <w:rPr>
                <w:sz w:val="20"/>
              </w:rPr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2787" w:type="dxa"/>
          </w:tcPr>
          <w:p w:rsidR="003F6E9C" w:rsidRDefault="00663B05">
            <w:pPr>
              <w:pStyle w:val="TableParagraph"/>
              <w:spacing w:before="4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</w:p>
          <w:p w:rsidR="003F6E9C" w:rsidRDefault="00663B05">
            <w:pPr>
              <w:pStyle w:val="TableParagraph"/>
              <w:spacing w:before="35"/>
              <w:ind w:left="232" w:right="210"/>
              <w:jc w:val="center"/>
              <w:rPr>
                <w:sz w:val="20"/>
              </w:rPr>
            </w:pPr>
            <w:r>
              <w:rPr>
                <w:sz w:val="20"/>
              </w:rPr>
              <w:t>účtovné obdobie</w:t>
            </w:r>
          </w:p>
        </w:tc>
      </w:tr>
      <w:tr w:rsidR="003F6E9C">
        <w:trPr>
          <w:trHeight w:val="354"/>
        </w:trPr>
        <w:tc>
          <w:tcPr>
            <w:tcW w:w="3581" w:type="dxa"/>
            <w:tcBorders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before="44"/>
              <w:ind w:left="71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566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0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527"/>
        </w:trPr>
        <w:tc>
          <w:tcPr>
            <w:tcW w:w="3581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663B05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Stav zamestnancov ku dňu, ku ktorému sa</w:t>
            </w:r>
          </w:p>
          <w:p w:rsidR="003F6E9C" w:rsidRDefault="00663B05">
            <w:pPr>
              <w:pStyle w:val="TableParagraph"/>
              <w:spacing w:before="34"/>
              <w:ind w:left="71"/>
              <w:rPr>
                <w:sz w:val="20"/>
              </w:rPr>
            </w:pPr>
            <w:r>
              <w:rPr>
                <w:sz w:val="20"/>
              </w:rPr>
              <w:t>zostavuje účtovná závierka, z toho:</w:t>
            </w:r>
          </w:p>
        </w:tc>
        <w:tc>
          <w:tcPr>
            <w:tcW w:w="2566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402" w:right="37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  <w:bottom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36" w:right="21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F6E9C">
        <w:trPr>
          <w:trHeight w:val="412"/>
        </w:trPr>
        <w:tc>
          <w:tcPr>
            <w:tcW w:w="3581" w:type="dxa"/>
            <w:tcBorders>
              <w:top w:val="single" w:sz="4" w:space="0" w:color="000000"/>
            </w:tcBorders>
          </w:tcPr>
          <w:p w:rsidR="003F6E9C" w:rsidRDefault="00663B05">
            <w:pPr>
              <w:pStyle w:val="TableParagraph"/>
              <w:spacing w:before="74"/>
              <w:ind w:left="71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2566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787" w:type="dxa"/>
            <w:tcBorders>
              <w:top w:val="single" w:sz="4" w:space="0" w:color="000000"/>
            </w:tcBorders>
          </w:tcPr>
          <w:p w:rsidR="003F6E9C" w:rsidRDefault="00351625">
            <w:pPr>
              <w:pStyle w:val="TableParagraph"/>
              <w:spacing w:line="229" w:lineRule="exact"/>
              <w:ind w:left="2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</w:tr>
    </w:tbl>
    <w:p w:rsidR="003F6E9C" w:rsidRDefault="003F6E9C">
      <w:pPr>
        <w:pStyle w:val="Zkladntext"/>
        <w:spacing w:before="2"/>
        <w:rPr>
          <w:i/>
          <w:sz w:val="23"/>
        </w:rPr>
      </w:pPr>
    </w:p>
    <w:p w:rsidR="003F6E9C" w:rsidRDefault="00663B05">
      <w:pPr>
        <w:pStyle w:val="Heading2"/>
        <w:ind w:right="1967"/>
      </w:pPr>
      <w:r>
        <w:t>Čl. II</w:t>
      </w:r>
    </w:p>
    <w:p w:rsidR="003F6E9C" w:rsidRDefault="00663B05">
      <w:pPr>
        <w:spacing w:before="34"/>
        <w:ind w:left="1929" w:right="1970"/>
        <w:jc w:val="center"/>
        <w:rPr>
          <w:b/>
          <w:sz w:val="20"/>
        </w:rPr>
      </w:pPr>
      <w:r>
        <w:rPr>
          <w:b/>
          <w:sz w:val="20"/>
        </w:rPr>
        <w:t>Informácie o orgánoch spoločnosti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before="1"/>
        <w:ind w:left="216"/>
      </w:pPr>
      <w:r>
        <w:t>Štatutárny orgán : konateľ s.r.o.</w:t>
      </w:r>
    </w:p>
    <w:p w:rsidR="00351625" w:rsidRDefault="00351625">
      <w:pPr>
        <w:pStyle w:val="Zkladntext"/>
        <w:spacing w:before="1"/>
        <w:ind w:left="216"/>
      </w:pPr>
      <w:r>
        <w:t>Oravec Pavel – bez príjmu</w:t>
      </w:r>
    </w:p>
    <w:p w:rsidR="003F6E9C" w:rsidRDefault="003F6E9C">
      <w:pPr>
        <w:pStyle w:val="Zkladntext"/>
        <w:rPr>
          <w:sz w:val="26"/>
        </w:rPr>
      </w:pP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C336AA">
      <w:pPr>
        <w:pStyle w:val="Heading1"/>
        <w:spacing w:before="119"/>
        <w:ind w:left="1929" w:right="386"/>
        <w:jc w:val="center"/>
      </w:pPr>
      <w:r>
        <w:lastRenderedPageBreak/>
        <w:pict>
          <v:shape id="_x0000_s1035" type="#_x0000_t202" style="position:absolute;left:0;text-align:left;margin-left:73.8pt;margin-top:1.75pt;width:139pt;height:17.05pt;z-index:15732224;mso-position-horizontal-relative:page" filled="f" strokeweight=".48pt">
            <v:textbox style="mso-next-textbox:#_x0000_s1035"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4" type="#_x0000_t202" style="position:absolute;left:0;text-align:left;margin-left:348.2pt;margin-top:1.5pt;width:140.8pt;height:17.55pt;z-index:15732736;mso-position-horizontal-relative:page" filled="f" stroked="f">
            <v:textbox style="mso-next-textbox:#_x0000_s1034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sz w:val="24"/>
        </w:rPr>
      </w:pPr>
    </w:p>
    <w:p w:rsidR="003F6E9C" w:rsidRDefault="003F6E9C">
      <w:pPr>
        <w:pStyle w:val="Zkladntext"/>
        <w:rPr>
          <w:sz w:val="31"/>
        </w:rPr>
      </w:pPr>
    </w:p>
    <w:p w:rsidR="003F6E9C" w:rsidRDefault="00663B05">
      <w:pPr>
        <w:pStyle w:val="Heading2"/>
      </w:pPr>
      <w:r>
        <w:t>Čl. III</w:t>
      </w:r>
    </w:p>
    <w:p w:rsidR="003F6E9C" w:rsidRDefault="00663B05">
      <w:pPr>
        <w:spacing w:before="34"/>
        <w:ind w:left="1929" w:right="1974"/>
        <w:jc w:val="center"/>
        <w:rPr>
          <w:b/>
          <w:sz w:val="20"/>
        </w:rPr>
      </w:pPr>
      <w:r>
        <w:rPr>
          <w:b/>
          <w:sz w:val="20"/>
        </w:rPr>
        <w:t>Informácie o prijatých postupoch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C336AA">
      <w:pPr>
        <w:pStyle w:val="Odsekzoznamu"/>
        <w:numPr>
          <w:ilvl w:val="0"/>
          <w:numId w:val="5"/>
        </w:numPr>
        <w:tabs>
          <w:tab w:val="left" w:pos="860"/>
          <w:tab w:val="left" w:pos="2203"/>
        </w:tabs>
        <w:spacing w:line="276" w:lineRule="auto"/>
        <w:ind w:right="265"/>
        <w:jc w:val="both"/>
        <w:rPr>
          <w:i/>
          <w:sz w:val="20"/>
        </w:rPr>
      </w:pPr>
      <w:r w:rsidRPr="00C336AA">
        <w:pict>
          <v:rect id="_x0000_s1033" style="position:absolute;left:0;text-align:left;margin-left:155.2pt;margin-top:14.4pt;width:9.25pt;height:9.25pt;z-index:-16136192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závierka je  zostavená  za predpokladu nepretržitého pokračovania účtovnej jednotky  vo  svojej  činnosti  X</w:t>
      </w:r>
      <w:r w:rsidR="00663B05">
        <w:rPr>
          <w:i/>
          <w:spacing w:val="42"/>
          <w:sz w:val="20"/>
        </w:rPr>
        <w:t xml:space="preserve"> </w:t>
      </w:r>
      <w:r w:rsidR="00663B05">
        <w:rPr>
          <w:i/>
          <w:sz w:val="20"/>
        </w:rPr>
        <w:t>áno</w:t>
      </w:r>
      <w:r w:rsidR="00663B05">
        <w:rPr>
          <w:i/>
          <w:sz w:val="20"/>
        </w:rPr>
        <w:tab/>
        <w:t>nie</w:t>
      </w:r>
    </w:p>
    <w:p w:rsidR="003F6E9C" w:rsidRDefault="00351625">
      <w:pPr>
        <w:spacing w:before="1" w:line="276" w:lineRule="auto"/>
        <w:ind w:left="216" w:right="258" w:firstLine="283"/>
        <w:jc w:val="both"/>
        <w:rPr>
          <w:i/>
          <w:sz w:val="20"/>
        </w:rPr>
      </w:pPr>
      <w:r>
        <w:rPr>
          <w:i/>
          <w:sz w:val="20"/>
        </w:rPr>
        <w:t>Účtovná závierka za rok 20</w:t>
      </w:r>
      <w:r w:rsidR="00C15A2F">
        <w:rPr>
          <w:i/>
          <w:sz w:val="20"/>
        </w:rPr>
        <w:t>20</w:t>
      </w:r>
      <w:r>
        <w:rPr>
          <w:i/>
          <w:sz w:val="20"/>
        </w:rPr>
        <w:t xml:space="preserve"> bola zostavená za splnenia predpokladu, že účtovná jednotka bude nepretržite pokračovať vo svojej </w:t>
      </w:r>
      <w:proofErr w:type="spellStart"/>
      <w:r>
        <w:rPr>
          <w:i/>
          <w:sz w:val="20"/>
        </w:rPr>
        <w:t>čisnnosti</w:t>
      </w:r>
      <w:proofErr w:type="spellEnd"/>
      <w:r>
        <w:rPr>
          <w:i/>
          <w:sz w:val="20"/>
        </w:rPr>
        <w:t xml:space="preserve"> minimálne 12 mesiacov po </w:t>
      </w:r>
      <w:proofErr w:type="spellStart"/>
      <w:r>
        <w:rPr>
          <w:i/>
          <w:sz w:val="20"/>
        </w:rPr>
        <w:t>závierkovom</w:t>
      </w:r>
      <w:proofErr w:type="spellEnd"/>
      <w:r>
        <w:rPr>
          <w:i/>
          <w:sz w:val="20"/>
        </w:rPr>
        <w:t xml:space="preserve"> dni v zmysle §7 ods. 4 zákona o účtovníctve.</w:t>
      </w:r>
      <w:r w:rsidR="00663B05">
        <w:rPr>
          <w:i/>
          <w:sz w:val="20"/>
        </w:rPr>
        <w:t>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ind w:hanging="361"/>
        <w:jc w:val="both"/>
        <w:rPr>
          <w:i/>
          <w:sz w:val="20"/>
        </w:rPr>
      </w:pPr>
      <w:r>
        <w:rPr>
          <w:i/>
          <w:sz w:val="20"/>
        </w:rPr>
        <w:t>Účtovné zásady a metódy a ich zmeny</w:t>
      </w:r>
    </w:p>
    <w:p w:rsidR="003F6E9C" w:rsidRDefault="00C336AA">
      <w:pPr>
        <w:tabs>
          <w:tab w:val="left" w:pos="1716"/>
        </w:tabs>
        <w:spacing w:before="34" w:line="276" w:lineRule="auto"/>
        <w:ind w:left="895" w:right="360" w:hanging="322"/>
        <w:rPr>
          <w:i/>
          <w:sz w:val="20"/>
        </w:rPr>
      </w:pPr>
      <w:r w:rsidRPr="00C336AA">
        <w:pict>
          <v:rect id="_x0000_s1032" style="position:absolute;left:0;text-align:left;margin-left:89.8pt;margin-top:16.1pt;width:9.25pt;height:9.25pt;z-index:-16135680;mso-position-horizontal-relative:page" filled="f" strokeweight=".72pt">
            <w10:wrap anchorx="page"/>
          </v:rect>
        </w:pict>
      </w:r>
      <w:r w:rsidR="00663B05">
        <w:rPr>
          <w:i/>
          <w:sz w:val="20"/>
        </w:rPr>
        <w:t>Účtovná  jednotka  zmenila  účtovné  metódy,  účtovné   zásady   oproti   predchádzajúcemu   účtovnému   obdobiu  áno</w:t>
      </w:r>
      <w:r w:rsidR="00663B05">
        <w:rPr>
          <w:i/>
          <w:sz w:val="20"/>
        </w:rPr>
        <w:tab/>
        <w:t>X</w:t>
      </w:r>
      <w:r w:rsidR="00663B05">
        <w:rPr>
          <w:i/>
          <w:spacing w:val="44"/>
          <w:sz w:val="20"/>
        </w:rPr>
        <w:t xml:space="preserve"> </w:t>
      </w:r>
      <w:r w:rsidR="00663B05">
        <w:rPr>
          <w:i/>
          <w:sz w:val="20"/>
        </w:rPr>
        <w:t>nie</w:t>
      </w:r>
    </w:p>
    <w:p w:rsidR="003F6E9C" w:rsidRDefault="003F6E9C">
      <w:pPr>
        <w:pStyle w:val="Zkladntext"/>
        <w:spacing w:before="1"/>
        <w:rPr>
          <w:i/>
          <w:sz w:val="23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line="276" w:lineRule="auto"/>
        <w:ind w:right="257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Akruálny</w:t>
      </w:r>
      <w:r>
        <w:rPr>
          <w:spacing w:val="-16"/>
          <w:sz w:val="20"/>
          <w:u w:val="single"/>
        </w:rPr>
        <w:t xml:space="preserve"> </w:t>
      </w:r>
      <w:r>
        <w:rPr>
          <w:sz w:val="20"/>
          <w:u w:val="single"/>
        </w:rPr>
        <w:t>princíp</w:t>
      </w:r>
      <w:r>
        <w:rPr>
          <w:sz w:val="20"/>
        </w:rPr>
        <w:t>:</w:t>
      </w:r>
      <w:r>
        <w:rPr>
          <w:spacing w:val="-14"/>
          <w:sz w:val="20"/>
        </w:rPr>
        <w:t xml:space="preserve"> </w:t>
      </w:r>
      <w:r>
        <w:rPr>
          <w:sz w:val="20"/>
        </w:rPr>
        <w:t>spočíva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zohľadnení</w:t>
      </w:r>
      <w:r>
        <w:rPr>
          <w:spacing w:val="-16"/>
          <w:sz w:val="20"/>
        </w:rPr>
        <w:t xml:space="preserve"> </w:t>
      </w:r>
      <w:r>
        <w:rPr>
          <w:sz w:val="20"/>
        </w:rPr>
        <w:t>nákladov</w:t>
      </w:r>
      <w:r>
        <w:rPr>
          <w:spacing w:val="-16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výnosov</w:t>
      </w:r>
      <w:r>
        <w:rPr>
          <w:spacing w:val="-14"/>
          <w:sz w:val="20"/>
        </w:rPr>
        <w:t xml:space="preserve"> </w:t>
      </w:r>
      <w:r>
        <w:rPr>
          <w:sz w:val="20"/>
        </w:rPr>
        <w:t>v</w:t>
      </w:r>
      <w:r>
        <w:rPr>
          <w:spacing w:val="-16"/>
          <w:sz w:val="20"/>
        </w:rPr>
        <w:t xml:space="preserve"> </w:t>
      </w:r>
      <w:r>
        <w:rPr>
          <w:sz w:val="20"/>
        </w:rPr>
        <w:t>tom</w:t>
      </w:r>
      <w:r>
        <w:rPr>
          <w:spacing w:val="-12"/>
          <w:sz w:val="20"/>
        </w:rPr>
        <w:t xml:space="preserve"> </w:t>
      </w:r>
      <w:r>
        <w:rPr>
          <w:sz w:val="20"/>
        </w:rPr>
        <w:t>účtovnom</w:t>
      </w:r>
      <w:r>
        <w:rPr>
          <w:spacing w:val="-15"/>
          <w:sz w:val="20"/>
        </w:rPr>
        <w:t xml:space="preserve"> </w:t>
      </w:r>
      <w:r>
        <w:rPr>
          <w:sz w:val="20"/>
        </w:rPr>
        <w:t>období,</w:t>
      </w:r>
      <w:r>
        <w:rPr>
          <w:spacing w:val="-15"/>
          <w:sz w:val="20"/>
        </w:rPr>
        <w:t xml:space="preserve"> </w:t>
      </w:r>
      <w:r>
        <w:rPr>
          <w:sz w:val="20"/>
        </w:rPr>
        <w:t>kedy</w:t>
      </w:r>
      <w:r>
        <w:rPr>
          <w:spacing w:val="-14"/>
          <w:sz w:val="20"/>
        </w:rPr>
        <w:t xml:space="preserve"> </w:t>
      </w:r>
      <w:r>
        <w:rPr>
          <w:sz w:val="20"/>
        </w:rPr>
        <w:t>vznikli</w:t>
      </w:r>
      <w:r>
        <w:rPr>
          <w:spacing w:val="-17"/>
          <w:sz w:val="20"/>
        </w:rPr>
        <w:t xml:space="preserve"> </w:t>
      </w:r>
      <w:r>
        <w:rPr>
          <w:sz w:val="20"/>
        </w:rPr>
        <w:t>a</w:t>
      </w:r>
      <w:r>
        <w:rPr>
          <w:spacing w:val="-15"/>
          <w:sz w:val="20"/>
        </w:rPr>
        <w:t xml:space="preserve"> </w:t>
      </w:r>
      <w:r>
        <w:rPr>
          <w:sz w:val="20"/>
        </w:rPr>
        <w:t>nie</w:t>
      </w:r>
      <w:r>
        <w:rPr>
          <w:spacing w:val="-14"/>
          <w:sz w:val="20"/>
        </w:rPr>
        <w:t xml:space="preserve"> </w:t>
      </w:r>
      <w:r>
        <w:rPr>
          <w:sz w:val="20"/>
        </w:rPr>
        <w:t>deň</w:t>
      </w:r>
      <w:r>
        <w:rPr>
          <w:spacing w:val="-15"/>
          <w:sz w:val="20"/>
        </w:rPr>
        <w:t xml:space="preserve"> </w:t>
      </w:r>
      <w:r>
        <w:rPr>
          <w:sz w:val="20"/>
        </w:rPr>
        <w:t>ich</w:t>
      </w:r>
      <w:r>
        <w:rPr>
          <w:spacing w:val="-16"/>
          <w:sz w:val="20"/>
        </w:rPr>
        <w:t xml:space="preserve"> </w:t>
      </w:r>
      <w:r>
        <w:rPr>
          <w:sz w:val="20"/>
        </w:rPr>
        <w:t>úhrady, inkasa,</w:t>
      </w:r>
      <w:r>
        <w:rPr>
          <w:spacing w:val="-14"/>
          <w:sz w:val="20"/>
        </w:rPr>
        <w:t xml:space="preserve"> </w:t>
      </w:r>
      <w:r>
        <w:rPr>
          <w:sz w:val="20"/>
        </w:rPr>
        <w:t>alebo</w:t>
      </w:r>
      <w:r>
        <w:rPr>
          <w:spacing w:val="-13"/>
          <w:sz w:val="20"/>
        </w:rPr>
        <w:t xml:space="preserve"> </w:t>
      </w:r>
      <w:r>
        <w:rPr>
          <w:sz w:val="20"/>
        </w:rPr>
        <w:t>vyrovnania</w:t>
      </w:r>
      <w:r>
        <w:rPr>
          <w:spacing w:val="-14"/>
          <w:sz w:val="20"/>
        </w:rPr>
        <w:t xml:space="preserve"> </w:t>
      </w:r>
      <w:r>
        <w:rPr>
          <w:sz w:val="20"/>
        </w:rPr>
        <w:t>iným</w:t>
      </w:r>
      <w:r>
        <w:rPr>
          <w:spacing w:val="-13"/>
          <w:sz w:val="20"/>
        </w:rPr>
        <w:t xml:space="preserve"> </w:t>
      </w:r>
      <w:r>
        <w:rPr>
          <w:sz w:val="20"/>
        </w:rPr>
        <w:t>spôsobom.</w:t>
      </w:r>
      <w:r>
        <w:rPr>
          <w:spacing w:val="-13"/>
          <w:sz w:val="20"/>
        </w:rPr>
        <w:t xml:space="preserve"> </w:t>
      </w:r>
      <w:r>
        <w:rPr>
          <w:sz w:val="20"/>
        </w:rPr>
        <w:t>Toto</w:t>
      </w:r>
      <w:r>
        <w:rPr>
          <w:spacing w:val="-13"/>
          <w:sz w:val="20"/>
        </w:rPr>
        <w:t xml:space="preserve"> </w:t>
      </w:r>
      <w:r>
        <w:rPr>
          <w:sz w:val="20"/>
        </w:rPr>
        <w:t>vplýva</w:t>
      </w:r>
      <w:r>
        <w:rPr>
          <w:spacing w:val="-14"/>
          <w:sz w:val="20"/>
        </w:rPr>
        <w:t xml:space="preserve"> </w:t>
      </w:r>
      <w:r>
        <w:rPr>
          <w:sz w:val="20"/>
        </w:rPr>
        <w:t>na</w:t>
      </w:r>
      <w:r>
        <w:rPr>
          <w:spacing w:val="-13"/>
          <w:sz w:val="20"/>
        </w:rPr>
        <w:t xml:space="preserve"> </w:t>
      </w:r>
      <w:r>
        <w:rPr>
          <w:sz w:val="20"/>
        </w:rPr>
        <w:t>vyčíslenie</w:t>
      </w:r>
      <w:r>
        <w:rPr>
          <w:spacing w:val="-13"/>
          <w:sz w:val="20"/>
        </w:rPr>
        <w:t xml:space="preserve"> </w:t>
      </w:r>
      <w:r>
        <w:rPr>
          <w:sz w:val="20"/>
        </w:rPr>
        <w:t>výsledku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hospodárenia.</w:t>
      </w:r>
      <w:r>
        <w:rPr>
          <w:spacing w:val="-14"/>
          <w:sz w:val="20"/>
        </w:rPr>
        <w:t xml:space="preserve"> </w:t>
      </w:r>
      <w:r>
        <w:rPr>
          <w:sz w:val="20"/>
        </w:rPr>
        <w:t>Výsledok</w:t>
      </w:r>
      <w:r>
        <w:rPr>
          <w:spacing w:val="-13"/>
          <w:sz w:val="20"/>
        </w:rPr>
        <w:t xml:space="preserve"> </w:t>
      </w:r>
      <w:r>
        <w:rPr>
          <w:sz w:val="20"/>
        </w:rPr>
        <w:t>hospodárenia sa vypočítal ako rozdiel medzi výnosmi a nákladmi. Použilo sa časové rozlíšenie nákladov a</w:t>
      </w:r>
      <w:r>
        <w:rPr>
          <w:spacing w:val="13"/>
          <w:sz w:val="20"/>
        </w:rPr>
        <w:t xml:space="preserve"> </w:t>
      </w:r>
      <w:r>
        <w:rPr>
          <w:sz w:val="20"/>
        </w:rPr>
        <w:t>výnosov.</w:t>
      </w:r>
    </w:p>
    <w:p w:rsidR="003F6E9C" w:rsidRDefault="00663B05">
      <w:pPr>
        <w:pStyle w:val="Odsekzoznamu"/>
        <w:numPr>
          <w:ilvl w:val="0"/>
          <w:numId w:val="4"/>
        </w:numPr>
        <w:tabs>
          <w:tab w:val="left" w:pos="937"/>
        </w:tabs>
        <w:spacing w:before="1"/>
        <w:ind w:hanging="361"/>
        <w:jc w:val="both"/>
        <w:rPr>
          <w:sz w:val="20"/>
        </w:rPr>
      </w:pPr>
      <w:r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>Zásada opatrnosti</w:t>
      </w:r>
      <w:r>
        <w:rPr>
          <w:sz w:val="20"/>
        </w:rPr>
        <w:t>: - tvorba opravných položiek a</w:t>
      </w:r>
      <w:r>
        <w:rPr>
          <w:spacing w:val="-2"/>
          <w:sz w:val="20"/>
        </w:rPr>
        <w:t xml:space="preserve"> </w:t>
      </w:r>
      <w:r>
        <w:rPr>
          <w:sz w:val="20"/>
        </w:rPr>
        <w:t>rezerv</w:t>
      </w:r>
    </w:p>
    <w:p w:rsidR="003F6E9C" w:rsidRPr="00351625" w:rsidRDefault="003F6E9C" w:rsidP="00351625">
      <w:pPr>
        <w:tabs>
          <w:tab w:val="left" w:pos="924"/>
          <w:tab w:val="left" w:pos="925"/>
          <w:tab w:val="left" w:pos="7304"/>
        </w:tabs>
        <w:spacing w:before="34" w:line="276" w:lineRule="auto"/>
        <w:ind w:right="263"/>
        <w:rPr>
          <w:rFonts w:ascii="Times New Roman" w:hAnsi="Times New Roman"/>
          <w:spacing w:val="-50"/>
          <w:w w:val="99"/>
          <w:sz w:val="20"/>
          <w:u w:val="single"/>
        </w:rPr>
      </w:pPr>
    </w:p>
    <w:p w:rsidR="003F6E9C" w:rsidRDefault="00663B0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sz w:val="20"/>
          <w:u w:val="single"/>
        </w:rPr>
        <w:t>Bilančná kontinuita</w:t>
      </w:r>
      <w:r w:rsidRPr="00351625">
        <w:rPr>
          <w:sz w:val="20"/>
        </w:rPr>
        <w:t>: konečné stavy všetkých účtov k poslednému dňu účtovného obdobia sa rovnajú začiatočným stavom týchto účtov k prvému dňu bezprostredne nasledujúceho účtovnéh</w:t>
      </w:r>
      <w:r w:rsidRPr="00351625">
        <w:rPr>
          <w:spacing w:val="-15"/>
          <w:sz w:val="20"/>
        </w:rPr>
        <w:t xml:space="preserve">o </w:t>
      </w:r>
      <w:r w:rsidRPr="00351625">
        <w:rPr>
          <w:sz w:val="20"/>
        </w:rPr>
        <w:t>obdobia.</w:t>
      </w:r>
    </w:p>
    <w:p w:rsidR="00351625" w:rsidRPr="00351625" w:rsidRDefault="00351625" w:rsidP="00351625">
      <w:pPr>
        <w:pStyle w:val="Odsekzoznamu"/>
        <w:rPr>
          <w:sz w:val="20"/>
        </w:rPr>
      </w:pPr>
    </w:p>
    <w:p w:rsidR="00351625" w:rsidRDefault="00351625">
      <w:pPr>
        <w:pStyle w:val="Odsekzoznamu"/>
        <w:numPr>
          <w:ilvl w:val="0"/>
          <w:numId w:val="4"/>
        </w:numPr>
        <w:tabs>
          <w:tab w:val="left" w:pos="924"/>
          <w:tab w:val="left" w:pos="925"/>
        </w:tabs>
        <w:spacing w:line="276" w:lineRule="auto"/>
        <w:ind w:left="924" w:right="263"/>
        <w:rPr>
          <w:sz w:val="20"/>
        </w:rPr>
      </w:pPr>
    </w:p>
    <w:p w:rsidR="003F6E9C" w:rsidRPr="00351625" w:rsidRDefault="00663B05" w:rsidP="00351625">
      <w:pPr>
        <w:pStyle w:val="Odsekzoznamu"/>
        <w:numPr>
          <w:ilvl w:val="0"/>
          <w:numId w:val="5"/>
        </w:numPr>
        <w:tabs>
          <w:tab w:val="left" w:pos="924"/>
          <w:tab w:val="left" w:pos="925"/>
        </w:tabs>
        <w:spacing w:before="99" w:line="276" w:lineRule="auto"/>
        <w:ind w:right="313"/>
        <w:rPr>
          <w:i/>
          <w:sz w:val="20"/>
        </w:rPr>
      </w:pPr>
      <w:r w:rsidRPr="00351625">
        <w:rPr>
          <w:rFonts w:ascii="Times New Roman" w:hAnsi="Times New Roman"/>
          <w:spacing w:val="-50"/>
          <w:w w:val="99"/>
          <w:sz w:val="20"/>
          <w:u w:val="single"/>
        </w:rPr>
        <w:t xml:space="preserve"> </w:t>
      </w:r>
      <w:r w:rsidRPr="00351625">
        <w:rPr>
          <w:i/>
          <w:sz w:val="20"/>
        </w:rPr>
        <w:t>Spôsob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určenie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ocenenia</w:t>
      </w:r>
      <w:r w:rsidRPr="00351625">
        <w:rPr>
          <w:i/>
          <w:spacing w:val="-7"/>
          <w:sz w:val="20"/>
        </w:rPr>
        <w:t xml:space="preserve"> </w:t>
      </w:r>
      <w:r w:rsidRPr="00351625">
        <w:rPr>
          <w:i/>
          <w:sz w:val="20"/>
        </w:rPr>
        <w:t>majetku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5"/>
          <w:sz w:val="20"/>
        </w:rPr>
        <w:t xml:space="preserve"> </w:t>
      </w:r>
      <w:r w:rsidRPr="00351625">
        <w:rPr>
          <w:i/>
          <w:sz w:val="20"/>
        </w:rPr>
        <w:t>záväzkov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vrátane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určenia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rozhodujúcich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účtovných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odhadov</w:t>
      </w:r>
      <w:r w:rsidRPr="00351625">
        <w:rPr>
          <w:i/>
          <w:spacing w:val="-4"/>
          <w:sz w:val="20"/>
        </w:rPr>
        <w:t xml:space="preserve"> </w:t>
      </w:r>
      <w:r w:rsidRPr="00351625">
        <w:rPr>
          <w:i/>
          <w:sz w:val="20"/>
        </w:rPr>
        <w:t>a</w:t>
      </w:r>
      <w:r w:rsidRPr="00351625">
        <w:rPr>
          <w:i/>
          <w:spacing w:val="-6"/>
          <w:sz w:val="20"/>
        </w:rPr>
        <w:t xml:space="preserve"> </w:t>
      </w:r>
      <w:r w:rsidRPr="00351625">
        <w:rPr>
          <w:i/>
          <w:sz w:val="20"/>
        </w:rPr>
        <w:t>predpokladov, pričom sa zohľadňuje zásada</w:t>
      </w:r>
      <w:r w:rsidRPr="00351625">
        <w:rPr>
          <w:i/>
          <w:spacing w:val="-2"/>
          <w:sz w:val="20"/>
        </w:rPr>
        <w:t xml:space="preserve"> </w:t>
      </w:r>
      <w:r w:rsidRPr="00351625">
        <w:rPr>
          <w:i/>
          <w:sz w:val="20"/>
        </w:rPr>
        <w:t>významnosti.</w:t>
      </w:r>
    </w:p>
    <w:p w:rsidR="003F6E9C" w:rsidRDefault="003F6E9C">
      <w:pPr>
        <w:pStyle w:val="Zkladntext"/>
        <w:spacing w:before="9"/>
        <w:rPr>
          <w:i/>
          <w:sz w:val="22"/>
        </w:rPr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1"/>
        <w:ind w:hanging="359"/>
        <w:rPr>
          <w:sz w:val="20"/>
        </w:rPr>
      </w:pPr>
      <w:r>
        <w:rPr>
          <w:sz w:val="20"/>
        </w:rPr>
        <w:t>Spôsob ocenenia jednotlivých</w:t>
      </w:r>
      <w:r>
        <w:rPr>
          <w:spacing w:val="-2"/>
          <w:sz w:val="20"/>
        </w:rPr>
        <w:t xml:space="preserve"> </w:t>
      </w:r>
      <w:r>
        <w:rPr>
          <w:sz w:val="20"/>
        </w:rPr>
        <w:t>položiek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96"/>
          <w:tab w:val="left" w:pos="997"/>
        </w:tabs>
        <w:spacing w:before="34"/>
        <w:ind w:hanging="421"/>
        <w:rPr>
          <w:sz w:val="20"/>
        </w:rPr>
      </w:pPr>
      <w:r>
        <w:rPr>
          <w:sz w:val="20"/>
        </w:rPr>
        <w:t>Dlhodobý nehmotný a dlhodobý hmotný</w:t>
      </w:r>
      <w:r>
        <w:rPr>
          <w:spacing w:val="-5"/>
          <w:sz w:val="20"/>
        </w:rPr>
        <w:t xml:space="preserve"> </w:t>
      </w:r>
      <w:r>
        <w:rPr>
          <w:sz w:val="20"/>
        </w:rPr>
        <w:t>majetok</w:t>
      </w:r>
    </w:p>
    <w:p w:rsidR="003F6E9C" w:rsidRDefault="00663B05">
      <w:pPr>
        <w:spacing w:before="35"/>
        <w:ind w:left="1068"/>
        <w:rPr>
          <w:sz w:val="20"/>
        </w:rPr>
      </w:pPr>
      <w:r>
        <w:rPr>
          <w:i/>
          <w:sz w:val="20"/>
        </w:rPr>
        <w:t>Dlhodobý majetok nakupovaný sa oceňuje</w:t>
      </w:r>
      <w:r>
        <w:rPr>
          <w:i/>
          <w:sz w:val="20"/>
          <w:u w:val="single"/>
        </w:rPr>
        <w:t xml:space="preserve"> obstarávacou cenou</w:t>
      </w:r>
      <w:r>
        <w:rPr>
          <w:sz w:val="20"/>
        </w:rPr>
        <w:t>.</w:t>
      </w:r>
    </w:p>
    <w:p w:rsidR="003F6E9C" w:rsidRDefault="00663B05">
      <w:pPr>
        <w:pStyle w:val="Zkladntext"/>
        <w:spacing w:before="34" w:line="276" w:lineRule="auto"/>
        <w:ind w:left="1068" w:right="181"/>
      </w:pPr>
      <w:r>
        <w:t>Obstarávacia cena zahŕňa cenu, za ktorú sa majetok obstaral a náklady súvisiace s jeho obstaraním. Vyskytujúce sa náklady súvisiace s obstaraním v účtovnej jednotke: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ind w:hanging="565"/>
        <w:rPr>
          <w:sz w:val="20"/>
        </w:rPr>
      </w:pPr>
      <w:r>
        <w:rPr>
          <w:sz w:val="20"/>
        </w:rPr>
        <w:t>Dopravné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Montáž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Provízia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poistné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iné</w:t>
      </w:r>
    </w:p>
    <w:p w:rsidR="003F6E9C" w:rsidRDefault="00663B05">
      <w:pPr>
        <w:pStyle w:val="Zkladntext"/>
        <w:spacing w:before="35"/>
        <w:ind w:left="1068"/>
      </w:pPr>
      <w:r>
        <w:t>Súčasťou obstarávacej ceny nie</w:t>
      </w:r>
      <w:r>
        <w:rPr>
          <w:spacing w:val="-27"/>
        </w:rPr>
        <w:t xml:space="preserve"> </w:t>
      </w:r>
      <w:r>
        <w:t>sú: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4"/>
        <w:ind w:hanging="565"/>
        <w:rPr>
          <w:sz w:val="20"/>
        </w:rPr>
      </w:pPr>
      <w:r>
        <w:rPr>
          <w:sz w:val="20"/>
        </w:rPr>
        <w:t>úroky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37"/>
        <w:ind w:hanging="565"/>
        <w:rPr>
          <w:sz w:val="20"/>
        </w:rPr>
      </w:pPr>
      <w:r>
        <w:rPr>
          <w:sz w:val="20"/>
        </w:rPr>
        <w:t>realizované kurzové rozdiely, ktoré vznikli do momentu uvedenia dlhodobého majetku do</w:t>
      </w:r>
      <w:r>
        <w:rPr>
          <w:spacing w:val="-25"/>
          <w:sz w:val="20"/>
        </w:rPr>
        <w:t xml:space="preserve"> </w:t>
      </w:r>
      <w:r>
        <w:rPr>
          <w:sz w:val="20"/>
        </w:rPr>
        <w:t>užívania.</w:t>
      </w:r>
    </w:p>
    <w:p w:rsidR="003F6E9C" w:rsidRDefault="003F6E9C">
      <w:pPr>
        <w:pStyle w:val="Zkladntext"/>
        <w:spacing w:before="11"/>
        <w:rPr>
          <w:sz w:val="25"/>
        </w:rPr>
      </w:pPr>
    </w:p>
    <w:p w:rsidR="003F6E9C" w:rsidRDefault="00663B05">
      <w:pPr>
        <w:pStyle w:val="Zkladntext"/>
        <w:spacing w:line="273" w:lineRule="auto"/>
        <w:ind w:left="1068" w:right="2665"/>
      </w:pPr>
      <w:r>
        <w:t>Dlhodobý majetok vytvorený vlastnou činnosťou sa</w:t>
      </w:r>
      <w:r>
        <w:rPr>
          <w:u w:val="single"/>
        </w:rPr>
        <w:t xml:space="preserve"> oceňuje vlastnými nákladm</w:t>
      </w:r>
      <w:r>
        <w:t>i. Vlastné náklady obsahujú:</w:t>
      </w:r>
    </w:p>
    <w:p w:rsidR="003F6E9C" w:rsidRDefault="00663B05">
      <w:pPr>
        <w:pStyle w:val="Odsekzoznamu"/>
        <w:numPr>
          <w:ilvl w:val="2"/>
          <w:numId w:val="3"/>
        </w:numPr>
        <w:tabs>
          <w:tab w:val="left" w:pos="1632"/>
          <w:tab w:val="left" w:pos="1633"/>
        </w:tabs>
        <w:spacing w:before="2"/>
        <w:ind w:hanging="565"/>
        <w:rPr>
          <w:sz w:val="20"/>
        </w:rPr>
      </w:pPr>
      <w:r>
        <w:rPr>
          <w:sz w:val="20"/>
        </w:rPr>
        <w:t>priame a nepriame náklady vynaložené na výrobu alebo inú</w:t>
      </w:r>
      <w:r>
        <w:rPr>
          <w:spacing w:val="-7"/>
          <w:sz w:val="20"/>
        </w:rPr>
        <w:t xml:space="preserve"> </w:t>
      </w:r>
      <w:r>
        <w:rPr>
          <w:sz w:val="20"/>
        </w:rPr>
        <w:t>činnosť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C336AA">
      <w:pPr>
        <w:pStyle w:val="Heading1"/>
        <w:spacing w:before="119"/>
        <w:ind w:left="1929" w:right="386"/>
        <w:jc w:val="center"/>
      </w:pPr>
      <w:r>
        <w:lastRenderedPageBreak/>
        <w:pict>
          <v:shape id="_x0000_s1031" type="#_x0000_t202" style="position:absolute;left:0;text-align:left;margin-left:73.8pt;margin-top:1.75pt;width:139pt;height:17.05pt;z-index:15733248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348.2pt;margin-top:1.5pt;width:140.8pt;height:17.55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spacing w:before="10"/>
        <w:rPr>
          <w:sz w:val="31"/>
        </w:rPr>
      </w:pP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Pohľadávky</w:t>
      </w:r>
    </w:p>
    <w:p w:rsidR="003F6E9C" w:rsidRDefault="00663B05">
      <w:pPr>
        <w:pStyle w:val="Zkladntext"/>
        <w:spacing w:before="35"/>
        <w:ind w:left="970"/>
      </w:pPr>
      <w:r>
        <w:t xml:space="preserve">Pohľadávky pri ich vzniku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Peňažné prostriedky a</w:t>
      </w:r>
      <w:r>
        <w:rPr>
          <w:spacing w:val="-3"/>
          <w:sz w:val="20"/>
        </w:rPr>
        <w:t xml:space="preserve"> </w:t>
      </w:r>
      <w:r>
        <w:rPr>
          <w:sz w:val="20"/>
        </w:rPr>
        <w:t>ceniny</w:t>
      </w:r>
    </w:p>
    <w:p w:rsidR="003F6E9C" w:rsidRDefault="00663B05">
      <w:pPr>
        <w:pStyle w:val="Zkladntext"/>
        <w:spacing w:before="35"/>
        <w:ind w:left="970"/>
      </w:pPr>
      <w:r>
        <w:t xml:space="preserve">Peňažné prostriedky a ceniny sa oceňujú ich </w:t>
      </w:r>
      <w:r>
        <w:rPr>
          <w:u w:val="single"/>
        </w:rPr>
        <w:t>menovitou hodnotou.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4"/>
          <w:tab w:val="left" w:pos="925"/>
        </w:tabs>
        <w:spacing w:before="34"/>
        <w:ind w:left="924" w:hanging="349"/>
        <w:rPr>
          <w:sz w:val="20"/>
        </w:rPr>
      </w:pPr>
      <w:r>
        <w:rPr>
          <w:sz w:val="20"/>
        </w:rPr>
        <w:t>Náklady budúcich období a príjmy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3" w:firstLine="45"/>
        <w:jc w:val="both"/>
      </w:pPr>
      <w:r>
        <w:t>Pri účtovaní nákladov a výnosov uplatňuje zásada časového rozlíšenia. Náklady budúcich období a príjmy budúcich</w:t>
      </w:r>
      <w:r>
        <w:rPr>
          <w:spacing w:val="-16"/>
        </w:rPr>
        <w:t xml:space="preserve"> </w:t>
      </w:r>
      <w:r>
        <w:t>období</w:t>
      </w:r>
      <w:r>
        <w:rPr>
          <w:spacing w:val="-14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6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6"/>
        </w:rPr>
        <w:t xml:space="preserve"> </w:t>
      </w:r>
      <w:r>
        <w:t>potrebná</w:t>
      </w:r>
      <w:r>
        <w:rPr>
          <w:spacing w:val="-16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dodržanie</w:t>
      </w:r>
      <w:r>
        <w:rPr>
          <w:spacing w:val="18"/>
        </w:rPr>
        <w:t xml:space="preserve"> </w:t>
      </w:r>
      <w:r>
        <w:t>zásady</w:t>
      </w:r>
      <w:r>
        <w:rPr>
          <w:spacing w:val="-17"/>
        </w:rPr>
        <w:t xml:space="preserve"> </w:t>
      </w:r>
      <w:r>
        <w:t>vecnej</w:t>
      </w:r>
      <w:r>
        <w:rPr>
          <w:spacing w:val="-16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6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účtovným 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1"/>
        <w:ind w:left="924" w:hanging="349"/>
        <w:jc w:val="both"/>
        <w:rPr>
          <w:sz w:val="20"/>
        </w:rPr>
      </w:pPr>
      <w:r>
        <w:rPr>
          <w:sz w:val="20"/>
        </w:rPr>
        <w:t>Záväzky</w:t>
      </w:r>
    </w:p>
    <w:p w:rsidR="003F6E9C" w:rsidRDefault="00663B05">
      <w:pPr>
        <w:pStyle w:val="Zkladntext"/>
        <w:spacing w:before="34" w:line="276" w:lineRule="auto"/>
        <w:ind w:left="924" w:right="261" w:firstLine="16"/>
        <w:jc w:val="both"/>
      </w:pPr>
      <w:r>
        <w:t xml:space="preserve">Záväzky pri ich vzniku sa oceňujú </w:t>
      </w:r>
      <w:r>
        <w:rPr>
          <w:u w:val="single"/>
        </w:rPr>
        <w:t>menovitou hodnotou</w:t>
      </w:r>
      <w:r>
        <w:t>. Ak sa pri inventarizácii zistí, že suma záväzkov je iná ako ich výška v účtovníctve, uvedú sa záväzky v účtovníctve a v účtovnej závierke v tomto zistenom ocenení.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Rezervy</w:t>
      </w:r>
    </w:p>
    <w:p w:rsidR="003F6E9C" w:rsidRDefault="00663B05">
      <w:pPr>
        <w:pStyle w:val="Zkladntext"/>
        <w:spacing w:before="35" w:line="276" w:lineRule="auto"/>
        <w:ind w:left="924" w:right="259"/>
        <w:jc w:val="both"/>
      </w:pPr>
      <w:r>
        <w:t>Rezervy</w:t>
      </w:r>
      <w:r>
        <w:rPr>
          <w:spacing w:val="-15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záväzky</w:t>
      </w:r>
      <w:r>
        <w:rPr>
          <w:spacing w:val="-14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neistým</w:t>
      </w:r>
      <w:r>
        <w:rPr>
          <w:spacing w:val="-14"/>
        </w:rPr>
        <w:t xml:space="preserve"> </w:t>
      </w:r>
      <w:r>
        <w:t>časovým</w:t>
      </w:r>
      <w:r>
        <w:rPr>
          <w:spacing w:val="-13"/>
        </w:rPr>
        <w:t xml:space="preserve"> </w:t>
      </w:r>
      <w:r>
        <w:t>vymedzením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výškou.</w:t>
      </w:r>
      <w:r>
        <w:rPr>
          <w:spacing w:val="-15"/>
        </w:rPr>
        <w:t xml:space="preserve"> </w:t>
      </w:r>
      <w:r>
        <w:t>Tvoria</w:t>
      </w:r>
      <w:r>
        <w:rPr>
          <w:spacing w:val="-14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základe</w:t>
      </w:r>
      <w:r>
        <w:rPr>
          <w:spacing w:val="-14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opatrnosti</w:t>
      </w:r>
      <w:r>
        <w:rPr>
          <w:spacing w:val="-14"/>
        </w:rPr>
        <w:t xml:space="preserve"> </w:t>
      </w:r>
      <w:proofErr w:type="spellStart"/>
      <w:r>
        <w:t>t.z</w:t>
      </w:r>
      <w:proofErr w:type="spellEnd"/>
      <w:r>
        <w:t>.</w:t>
      </w:r>
      <w:r>
        <w:rPr>
          <w:spacing w:val="-14"/>
        </w:rPr>
        <w:t xml:space="preserve"> </w:t>
      </w:r>
      <w:r>
        <w:t>tvoria sa na krytie známych rizík alebo</w:t>
      </w:r>
      <w:r>
        <w:rPr>
          <w:spacing w:val="-5"/>
        </w:rPr>
        <w:t xml:space="preserve"> </w:t>
      </w:r>
      <w:r>
        <w:t>strát.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Výdavky budúcich období a výnosy budúcich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</w:p>
    <w:p w:rsidR="003F6E9C" w:rsidRDefault="00663B05">
      <w:pPr>
        <w:pStyle w:val="Zkladntext"/>
        <w:spacing w:before="35" w:line="276" w:lineRule="auto"/>
        <w:ind w:left="924" w:right="258"/>
        <w:jc w:val="both"/>
      </w:pPr>
      <w:r>
        <w:t>Pri</w:t>
      </w:r>
      <w:r>
        <w:rPr>
          <w:spacing w:val="-15"/>
        </w:rPr>
        <w:t xml:space="preserve"> </w:t>
      </w:r>
      <w:r>
        <w:t>účtovaní</w:t>
      </w:r>
      <w:r>
        <w:rPr>
          <w:spacing w:val="-15"/>
        </w:rPr>
        <w:t xml:space="preserve"> </w:t>
      </w:r>
      <w:r>
        <w:t>nákladov</w:t>
      </w:r>
      <w:r>
        <w:rPr>
          <w:spacing w:val="-1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</w:t>
      </w:r>
      <w:r>
        <w:rPr>
          <w:spacing w:val="-14"/>
        </w:rPr>
        <w:t xml:space="preserve"> </w:t>
      </w:r>
      <w:r>
        <w:t>uplatňuje</w:t>
      </w:r>
      <w:r>
        <w:rPr>
          <w:spacing w:val="-15"/>
        </w:rPr>
        <w:t xml:space="preserve"> </w:t>
      </w:r>
      <w:r>
        <w:t>zásada</w:t>
      </w:r>
      <w:r>
        <w:rPr>
          <w:spacing w:val="-15"/>
        </w:rPr>
        <w:t xml:space="preserve"> </w:t>
      </w:r>
      <w:r>
        <w:t>časového</w:t>
      </w:r>
      <w:r>
        <w:rPr>
          <w:spacing w:val="-14"/>
        </w:rPr>
        <w:t xml:space="preserve"> </w:t>
      </w:r>
      <w:r>
        <w:t>rozlíšenia.</w:t>
      </w:r>
      <w:r>
        <w:rPr>
          <w:spacing w:val="-14"/>
        </w:rPr>
        <w:t xml:space="preserve"> </w:t>
      </w:r>
      <w:r>
        <w:t>Výdavky</w:t>
      </w:r>
      <w:r>
        <w:rPr>
          <w:spacing w:val="-15"/>
        </w:rPr>
        <w:t xml:space="preserve"> </w:t>
      </w:r>
      <w:r>
        <w:t>budúcich</w:t>
      </w:r>
      <w:r>
        <w:rPr>
          <w:spacing w:val="-14"/>
        </w:rPr>
        <w:t xml:space="preserve"> </w:t>
      </w:r>
      <w:r>
        <w:t>období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výnosy</w:t>
      </w:r>
      <w:r>
        <w:rPr>
          <w:spacing w:val="-14"/>
        </w:rPr>
        <w:t xml:space="preserve"> </w:t>
      </w:r>
      <w:r>
        <w:t>budúcich období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vykazujú</w:t>
      </w:r>
      <w:r>
        <w:rPr>
          <w:spacing w:val="-14"/>
        </w:rPr>
        <w:t xml:space="preserve"> </w:t>
      </w:r>
      <w:r>
        <w:t>vo</w:t>
      </w:r>
      <w:r>
        <w:rPr>
          <w:spacing w:val="-15"/>
        </w:rPr>
        <w:t xml:space="preserve"> </w:t>
      </w:r>
      <w:r>
        <w:t>výške,</w:t>
      </w:r>
      <w:r>
        <w:rPr>
          <w:spacing w:val="-15"/>
        </w:rPr>
        <w:t xml:space="preserve"> </w:t>
      </w:r>
      <w:r>
        <w:t>ktorá</w:t>
      </w:r>
      <w:r>
        <w:rPr>
          <w:spacing w:val="-14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potrebná</w:t>
      </w:r>
      <w:r>
        <w:rPr>
          <w:spacing w:val="-14"/>
        </w:rPr>
        <w:t xml:space="preserve"> </w:t>
      </w:r>
      <w:r>
        <w:t>na</w:t>
      </w:r>
      <w:r>
        <w:rPr>
          <w:spacing w:val="-16"/>
        </w:rPr>
        <w:t xml:space="preserve"> </w:t>
      </w:r>
      <w:r>
        <w:t>dodržanie</w:t>
      </w:r>
      <w:r>
        <w:rPr>
          <w:spacing w:val="-15"/>
        </w:rPr>
        <w:t xml:space="preserve"> </w:t>
      </w:r>
      <w:r>
        <w:t>zásady</w:t>
      </w:r>
      <w:r>
        <w:rPr>
          <w:spacing w:val="-15"/>
        </w:rPr>
        <w:t xml:space="preserve"> </w:t>
      </w:r>
      <w:r>
        <w:t>vecnej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časovej</w:t>
      </w:r>
      <w:r>
        <w:rPr>
          <w:spacing w:val="-14"/>
        </w:rPr>
        <w:t xml:space="preserve"> </w:t>
      </w:r>
      <w:r>
        <w:t>súvislosti</w:t>
      </w:r>
      <w:r>
        <w:rPr>
          <w:spacing w:val="-15"/>
        </w:rPr>
        <w:t xml:space="preserve"> </w:t>
      </w:r>
      <w:r>
        <w:t>s</w:t>
      </w:r>
      <w:r>
        <w:rPr>
          <w:spacing w:val="-15"/>
        </w:rPr>
        <w:t xml:space="preserve"> </w:t>
      </w:r>
      <w:r>
        <w:t>účtovným</w:t>
      </w:r>
      <w:r>
        <w:rPr>
          <w:spacing w:val="-14"/>
        </w:rPr>
        <w:t xml:space="preserve"> </w:t>
      </w:r>
      <w:r>
        <w:t>obdobím.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ind w:left="924" w:hanging="349"/>
        <w:jc w:val="both"/>
        <w:rPr>
          <w:sz w:val="20"/>
        </w:rPr>
      </w:pPr>
      <w:r>
        <w:rPr>
          <w:sz w:val="20"/>
        </w:rPr>
        <w:t>Majetok obstaraný z transferov sa oceňuje</w:t>
      </w:r>
      <w:r>
        <w:rPr>
          <w:sz w:val="20"/>
          <w:u w:val="single"/>
        </w:rPr>
        <w:t xml:space="preserve"> obstarávacou</w:t>
      </w:r>
      <w:r>
        <w:rPr>
          <w:spacing w:val="-5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663B05">
      <w:pPr>
        <w:pStyle w:val="Odsekzoznamu"/>
        <w:numPr>
          <w:ilvl w:val="1"/>
          <w:numId w:val="3"/>
        </w:numPr>
        <w:tabs>
          <w:tab w:val="left" w:pos="925"/>
        </w:tabs>
        <w:spacing w:before="34"/>
        <w:ind w:left="924" w:hanging="349"/>
        <w:jc w:val="both"/>
        <w:rPr>
          <w:sz w:val="20"/>
        </w:rPr>
      </w:pPr>
      <w:r>
        <w:rPr>
          <w:sz w:val="20"/>
        </w:rPr>
        <w:t>Majetok obstaraný formou finančného a operatívneho leasingu sa oceňuje</w:t>
      </w:r>
      <w:r>
        <w:rPr>
          <w:sz w:val="20"/>
          <w:u w:val="single"/>
        </w:rPr>
        <w:t xml:space="preserve"> obstarávacou</w:t>
      </w:r>
      <w:r>
        <w:rPr>
          <w:spacing w:val="-9"/>
          <w:sz w:val="20"/>
          <w:u w:val="single"/>
        </w:rPr>
        <w:t xml:space="preserve"> </w:t>
      </w:r>
      <w:r>
        <w:rPr>
          <w:sz w:val="20"/>
          <w:u w:val="single"/>
        </w:rPr>
        <w:t>cenou</w:t>
      </w:r>
      <w:r>
        <w:rPr>
          <w:sz w:val="20"/>
        </w:rPr>
        <w:t>.</w:t>
      </w:r>
    </w:p>
    <w:p w:rsidR="003F6E9C" w:rsidRDefault="003F6E9C">
      <w:pPr>
        <w:pStyle w:val="Zkladntext"/>
      </w:pPr>
    </w:p>
    <w:p w:rsidR="003F6E9C" w:rsidRDefault="003F6E9C">
      <w:pPr>
        <w:pStyle w:val="Zkladntext"/>
        <w:spacing w:before="5"/>
      </w:pPr>
    </w:p>
    <w:p w:rsidR="003F6E9C" w:rsidRDefault="00663B05">
      <w:pPr>
        <w:pStyle w:val="Odsekzoznamu"/>
        <w:numPr>
          <w:ilvl w:val="0"/>
          <w:numId w:val="3"/>
        </w:numPr>
        <w:tabs>
          <w:tab w:val="left" w:pos="573"/>
          <w:tab w:val="left" w:pos="575"/>
        </w:tabs>
        <w:spacing w:before="99"/>
        <w:ind w:hanging="359"/>
        <w:rPr>
          <w:sz w:val="20"/>
        </w:rPr>
      </w:pPr>
      <w:r>
        <w:rPr>
          <w:sz w:val="20"/>
        </w:rPr>
        <w:t>Podstata odpisovania dlhodobého nehmotného a dlhodobého hmotného</w:t>
      </w:r>
      <w:r>
        <w:rPr>
          <w:spacing w:val="-7"/>
          <w:sz w:val="20"/>
        </w:rPr>
        <w:t xml:space="preserve"> </w:t>
      </w:r>
      <w:r>
        <w:rPr>
          <w:sz w:val="20"/>
        </w:rPr>
        <w:t>majetku</w:t>
      </w:r>
    </w:p>
    <w:p w:rsidR="003F6E9C" w:rsidRDefault="003F6E9C">
      <w:pPr>
        <w:pStyle w:val="Zkladntext"/>
        <w:rPr>
          <w:sz w:val="26"/>
        </w:rPr>
      </w:pPr>
    </w:p>
    <w:p w:rsidR="003F6E9C" w:rsidRDefault="00663B05">
      <w:pPr>
        <w:pStyle w:val="Zkladntext"/>
        <w:spacing w:line="276" w:lineRule="auto"/>
        <w:ind w:left="576" w:right="260" w:firstLine="347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odo dňa jeho zaradenia do používania.</w:t>
      </w:r>
    </w:p>
    <w:p w:rsidR="003F6E9C" w:rsidRDefault="00663B05">
      <w:pPr>
        <w:pStyle w:val="Zkladntext"/>
        <w:spacing w:before="1" w:line="276" w:lineRule="auto"/>
        <w:ind w:left="576" w:right="258" w:firstLine="347"/>
        <w:jc w:val="both"/>
      </w:pPr>
      <w:r>
        <w:t xml:space="preserve">Daňové odpisy sa zaokrúhľujú na celé koruny smerom nahor. Používa sa lineárna metóda. Pri nevyužívanom majetku sú daňové odpisy zablokované. </w:t>
      </w:r>
      <w:r>
        <w:rPr>
          <w:color w:val="1F1F1F"/>
        </w:rPr>
        <w:t>Doba odpisovania podľa zákona o dani z príjmov účinného od 1. 1. 2015:</w:t>
      </w:r>
    </w:p>
    <w:p w:rsidR="003F6E9C" w:rsidRDefault="00663B05">
      <w:pPr>
        <w:pStyle w:val="Zkladntext"/>
        <w:spacing w:line="276" w:lineRule="auto"/>
        <w:ind w:left="576" w:right="6580"/>
      </w:pPr>
      <w:r>
        <w:rPr>
          <w:color w:val="1F1F1F"/>
        </w:rPr>
        <w:t>v 1. odpisovej skupine -   4 roky v 2. odpisovej skupine - 6 rokov v 3. odpisovej skupine - 8 rokov v 4. odpisovej skupine - 12 rokov v 5. odpisovej skupine - 20 rokov v 6. odpisovej skupine - 40</w:t>
      </w:r>
      <w:r>
        <w:rPr>
          <w:color w:val="1F1F1F"/>
          <w:spacing w:val="-21"/>
        </w:rPr>
        <w:t xml:space="preserve"> </w:t>
      </w:r>
      <w:r>
        <w:rPr>
          <w:color w:val="1F1F1F"/>
        </w:rPr>
        <w:t>rokov</w:t>
      </w:r>
    </w:p>
    <w:p w:rsidR="003F6E9C" w:rsidRDefault="00663B05">
      <w:pPr>
        <w:pStyle w:val="Zkladntext"/>
        <w:spacing w:line="276" w:lineRule="auto"/>
        <w:ind w:left="216" w:right="255" w:firstLine="707"/>
        <w:jc w:val="both"/>
      </w:pPr>
      <w:r>
        <w:rPr>
          <w:color w:val="1F1F1F"/>
        </w:rPr>
        <w:t>V prvom roku odpisovania hmotného majetku sa uplatní len pomerná časť z ročného odpisu vypočítaného podľa § 27 ods. 1 zákona o dani z príjmov v závislosti od počtu mesiacov, počnúc mesiacom jeho zaradenia do užívania do konca tohto</w:t>
      </w:r>
      <w:r>
        <w:rPr>
          <w:color w:val="1F1F1F"/>
          <w:spacing w:val="-8"/>
        </w:rPr>
        <w:t xml:space="preserve"> </w:t>
      </w:r>
      <w:r>
        <w:rPr>
          <w:color w:val="1F1F1F"/>
        </w:rPr>
        <w:t>zdaňovacieho</w:t>
      </w:r>
      <w:r>
        <w:rPr>
          <w:color w:val="1F1F1F"/>
          <w:spacing w:val="-7"/>
        </w:rPr>
        <w:t xml:space="preserve"> </w:t>
      </w:r>
      <w:r>
        <w:rPr>
          <w:color w:val="1F1F1F"/>
        </w:rPr>
        <w:t>obdobia.</w:t>
      </w:r>
      <w:r>
        <w:rPr>
          <w:color w:val="1F1F1F"/>
          <w:spacing w:val="-6"/>
        </w:rPr>
        <w:t xml:space="preserve"> </w:t>
      </w:r>
      <w:r>
        <w:t>Drobný</w:t>
      </w:r>
      <w:r>
        <w:rPr>
          <w:spacing w:val="-8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1,-</w:t>
      </w:r>
      <w:r>
        <w:rPr>
          <w:spacing w:val="-7"/>
        </w:rPr>
        <w:t xml:space="preserve"> </w:t>
      </w:r>
      <w:r>
        <w:t>EUR</w:t>
      </w:r>
      <w:r>
        <w:rPr>
          <w:spacing w:val="-8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2400,-EUR,</w:t>
      </w:r>
      <w:r>
        <w:rPr>
          <w:spacing w:val="-8"/>
        </w:rPr>
        <w:t xml:space="preserve"> </w:t>
      </w:r>
      <w:r>
        <w:t>ktorý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rozhodnutia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 nie je dlhodobým nehmotným majetkom sa účtuje pri obstaraní do nákladov na účet 518 - Ostatné služby. Drobný hmotný majetok od 1,- do 1700,- EUR, ktorý podľa rozhodnutia účtovnej jednotky nie je dlhodobým hmotným majetkom sa účtuje ako zásoby a podľa uváženia na zaeviduje na podsúvahových účtoch ako drobný</w:t>
      </w:r>
      <w:r>
        <w:rPr>
          <w:spacing w:val="-9"/>
        </w:rPr>
        <w:t xml:space="preserve"> </w:t>
      </w:r>
      <w:r>
        <w:t>majetok.</w:t>
      </w:r>
    </w:p>
    <w:p w:rsidR="003F6E9C" w:rsidRDefault="003F6E9C">
      <w:pPr>
        <w:pStyle w:val="Zkladntext"/>
        <w:spacing w:before="10"/>
        <w:rPr>
          <w:sz w:val="22"/>
        </w:rPr>
      </w:pPr>
    </w:p>
    <w:p w:rsidR="003F6E9C" w:rsidRDefault="00663B05">
      <w:pPr>
        <w:pStyle w:val="Odsekzoznamu"/>
        <w:numPr>
          <w:ilvl w:val="0"/>
          <w:numId w:val="5"/>
        </w:numPr>
        <w:tabs>
          <w:tab w:val="left" w:pos="860"/>
        </w:tabs>
        <w:spacing w:before="1" w:line="276" w:lineRule="auto"/>
        <w:ind w:right="266"/>
        <w:rPr>
          <w:i/>
          <w:sz w:val="20"/>
        </w:rPr>
      </w:pPr>
      <w:r>
        <w:rPr>
          <w:i/>
          <w:sz w:val="20"/>
        </w:rPr>
        <w:t>Informácia o oprave významných chýb minulých účtovných období účtovaných v bežnom účtovnom období s uvedením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sumy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vplyvu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nerozdelený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zisk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rokov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alebo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na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neuhradenú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stratu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minulých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rokov.</w:t>
      </w:r>
    </w:p>
    <w:p w:rsidR="003F6E9C" w:rsidRDefault="003F6E9C">
      <w:pPr>
        <w:pStyle w:val="Zkladntext"/>
        <w:rPr>
          <w:i/>
          <w:sz w:val="23"/>
        </w:rPr>
      </w:pPr>
    </w:p>
    <w:p w:rsidR="003F6E9C" w:rsidRDefault="00663B05">
      <w:pPr>
        <w:pStyle w:val="Zkladntext"/>
        <w:ind w:left="576"/>
      </w:pPr>
      <w:r>
        <w:t>Opravy významných chýb minulých období neboli vykonané .</w:t>
      </w:r>
    </w:p>
    <w:p w:rsidR="003F6E9C" w:rsidRDefault="003F6E9C">
      <w:pPr>
        <w:sectPr w:rsidR="003F6E9C">
          <w:pgSz w:w="11910" w:h="17340"/>
          <w:pgMar w:top="660" w:right="1160" w:bottom="1360" w:left="1200" w:header="0" w:footer="1165" w:gutter="0"/>
          <w:cols w:space="708"/>
        </w:sectPr>
      </w:pPr>
    </w:p>
    <w:p w:rsidR="003F6E9C" w:rsidRDefault="00C336AA">
      <w:pPr>
        <w:pStyle w:val="Heading1"/>
        <w:spacing w:before="119"/>
        <w:ind w:left="1929" w:right="386"/>
        <w:jc w:val="center"/>
      </w:pPr>
      <w:r>
        <w:lastRenderedPageBreak/>
        <w:pict>
          <v:shape id="_x0000_s1029" type="#_x0000_t202" style="position:absolute;left:0;text-align:left;margin-left:73.8pt;margin-top:1.75pt;width:139pt;height:17.05pt;z-index:15734272;mso-position-horizontal-relative:page" filled="f" strokeweight=".48pt">
            <v:textbox inset="0,0,0,0">
              <w:txbxContent>
                <w:p w:rsidR="003F6E9C" w:rsidRDefault="00663B05">
                  <w:pPr>
                    <w:spacing w:before="79" w:line="252" w:lineRule="exact"/>
                    <w:ind w:left="67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POD 3 - 01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348.2pt;margin-top:1.5pt;width:140.8pt;height:17.55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  <w:gridCol w:w="279"/>
                    <w:gridCol w:w="281"/>
                    <w:gridCol w:w="281"/>
                  </w:tblGrid>
                  <w:tr w:rsidR="003F6E9C">
                    <w:trPr>
                      <w:trHeight w:val="330"/>
                    </w:trPr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1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90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7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9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69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79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6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3F6E9C" w:rsidRDefault="00663B05">
                        <w:pPr>
                          <w:pStyle w:val="TableParagraph"/>
                          <w:spacing w:before="41"/>
                          <w:ind w:left="88"/>
                        </w:pPr>
                        <w:r>
                          <w:t>8</w:t>
                        </w:r>
                      </w:p>
                    </w:tc>
                  </w:tr>
                </w:tbl>
                <w:p w:rsidR="003F6E9C" w:rsidRDefault="003F6E9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63B05">
        <w:t>DIČ</w:t>
      </w:r>
    </w:p>
    <w:p w:rsidR="003F6E9C" w:rsidRDefault="003F6E9C">
      <w:pPr>
        <w:pStyle w:val="Zkladntext"/>
        <w:rPr>
          <w:b/>
          <w:sz w:val="22"/>
        </w:rPr>
      </w:pPr>
    </w:p>
    <w:p w:rsidR="003F6E9C" w:rsidRDefault="00663B05">
      <w:pPr>
        <w:ind w:left="1929" w:right="1972"/>
        <w:jc w:val="center"/>
        <w:rPr>
          <w:b/>
          <w:sz w:val="20"/>
        </w:rPr>
      </w:pPr>
      <w:r>
        <w:rPr>
          <w:b/>
          <w:sz w:val="20"/>
        </w:rPr>
        <w:t>Čl. VI</w:t>
      </w:r>
    </w:p>
    <w:p w:rsidR="003F6E9C" w:rsidRDefault="00663B05">
      <w:pPr>
        <w:spacing w:before="35"/>
        <w:ind w:left="1929" w:right="1975"/>
        <w:jc w:val="center"/>
        <w:rPr>
          <w:b/>
          <w:sz w:val="20"/>
        </w:rPr>
      </w:pPr>
      <w:r>
        <w:rPr>
          <w:b/>
          <w:sz w:val="20"/>
        </w:rPr>
        <w:t>Udalosti, ktoré nastali po dni, ku ktorému sa zostavuje účtovná závierka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pStyle w:val="Zkladntext"/>
        <w:spacing w:line="276" w:lineRule="auto"/>
        <w:ind w:left="216" w:right="181"/>
      </w:pPr>
      <w:r>
        <w:t>Odo dňa, ku ktorému sa zostavuje účtovná závierka do dňa zostavenia účtovnej závierky nenastali žiadne skutočnosti, ktoré by mali vplyv na výsledky uvedené v zostavenej účtovnej</w:t>
      </w:r>
      <w:r>
        <w:rPr>
          <w:spacing w:val="-11"/>
        </w:rPr>
        <w:t xml:space="preserve"> </w:t>
      </w:r>
      <w:r>
        <w:t>závierke.</w:t>
      </w:r>
    </w:p>
    <w:p w:rsidR="003F6E9C" w:rsidRDefault="003F6E9C">
      <w:pPr>
        <w:pStyle w:val="Zkladntext"/>
        <w:rPr>
          <w:sz w:val="23"/>
        </w:rPr>
      </w:pPr>
    </w:p>
    <w:p w:rsidR="003F6E9C" w:rsidRDefault="00663B05">
      <w:pPr>
        <w:pStyle w:val="Heading2"/>
      </w:pPr>
      <w:r>
        <w:t>Čl.</w:t>
      </w:r>
      <w:r>
        <w:rPr>
          <w:spacing w:val="-4"/>
        </w:rPr>
        <w:t xml:space="preserve"> </w:t>
      </w:r>
      <w:r>
        <w:t>VII</w:t>
      </w:r>
    </w:p>
    <w:p w:rsidR="003F6E9C" w:rsidRDefault="00663B05">
      <w:pPr>
        <w:spacing w:before="35"/>
        <w:ind w:left="1929" w:right="1969"/>
        <w:jc w:val="center"/>
        <w:rPr>
          <w:b/>
          <w:sz w:val="20"/>
        </w:rPr>
      </w:pPr>
      <w:r>
        <w:rPr>
          <w:b/>
          <w:sz w:val="20"/>
        </w:rPr>
        <w:t>Ostatné informácie</w:t>
      </w:r>
    </w:p>
    <w:p w:rsidR="003F6E9C" w:rsidRDefault="003F6E9C">
      <w:pPr>
        <w:pStyle w:val="Zkladntext"/>
        <w:rPr>
          <w:b/>
          <w:sz w:val="26"/>
        </w:rPr>
      </w:pPr>
    </w:p>
    <w:p w:rsidR="003F6E9C" w:rsidRDefault="00663B05">
      <w:pPr>
        <w:ind w:left="216"/>
        <w:rPr>
          <w:i/>
          <w:sz w:val="20"/>
        </w:rPr>
      </w:pPr>
      <w:r>
        <w:rPr>
          <w:i/>
          <w:sz w:val="20"/>
        </w:rPr>
        <w:t>Bezpredmetné</w:t>
      </w:r>
    </w:p>
    <w:p w:rsidR="003F6E9C" w:rsidRDefault="003F6E9C">
      <w:pPr>
        <w:pStyle w:val="Zkladntext"/>
        <w:rPr>
          <w:i/>
          <w:sz w:val="22"/>
        </w:rPr>
      </w:pPr>
    </w:p>
    <w:p w:rsidR="003F6E9C" w:rsidRDefault="003F6E9C">
      <w:pPr>
        <w:pStyle w:val="Zkladntext"/>
        <w:rPr>
          <w:i/>
          <w:sz w:val="27"/>
        </w:rPr>
      </w:pPr>
    </w:p>
    <w:p w:rsidR="003F6E9C" w:rsidRDefault="00663B05">
      <w:pPr>
        <w:pStyle w:val="Zkladntext"/>
        <w:ind w:left="216"/>
      </w:pPr>
      <w:r>
        <w:t>V</w:t>
      </w:r>
      <w:r w:rsidR="00351625">
        <w:t> Brezinách, dňa 2</w:t>
      </w:r>
      <w:r w:rsidR="00C15A2F">
        <w:t>9</w:t>
      </w:r>
      <w:r w:rsidR="00351625">
        <w:t>.</w:t>
      </w:r>
      <w:r w:rsidR="00C15A2F">
        <w:t>3.2021</w:t>
      </w:r>
    </w:p>
    <w:sectPr w:rsidR="003F6E9C" w:rsidSect="003F6E9C">
      <w:pgSz w:w="11910" w:h="17340"/>
      <w:pgMar w:top="660" w:right="1160" w:bottom="1360" w:left="1200" w:header="0" w:footer="116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CA2" w:rsidRDefault="00B10CA2" w:rsidP="003F6E9C">
      <w:r>
        <w:separator/>
      </w:r>
    </w:p>
  </w:endnote>
  <w:endnote w:type="continuationSeparator" w:id="0">
    <w:p w:rsidR="00B10CA2" w:rsidRDefault="00B10CA2" w:rsidP="003F6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adea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E9C" w:rsidRDefault="00C336AA">
    <w:pPr>
      <w:pStyle w:val="Zkladntext"/>
      <w:spacing w:line="14" w:lineRule="auto"/>
    </w:pPr>
    <w:r>
      <w:pict>
        <v:rect id="_x0000_s2051" style="position:absolute;margin-left:70.8pt;margin-top:803.15pt;width:204.15pt;height:.5pt;z-index:-16138752;mso-position-horizontal-relative:page;mso-position-vertical-relative:page" fillcolor="#4f81bc" stroked="f">
          <w10:wrap anchorx="page" anchory="page"/>
        </v:rect>
      </w:pict>
    </w:r>
    <w:r>
      <w:pict>
        <v:rect id="_x0000_s2050" style="position:absolute;margin-left:320.35pt;margin-top:803.15pt;width:204.15pt;height:.5pt;z-index:-16138240;mso-position-horizontal-relative:page;mso-position-vertical-relative:page" fillcolor="#4f81bc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9.5pt;margin-top:797.65pt;width:32.65pt;height:11.45pt;z-index:-16137728;mso-position-horizontal-relative:page;mso-position-vertical-relative:page" filled="f" stroked="f">
          <v:textbox inset="0,0,0,0">
            <w:txbxContent>
              <w:p w:rsidR="003F6E9C" w:rsidRDefault="00663B05">
                <w:pPr>
                  <w:spacing w:before="20"/>
                  <w:ind w:left="20"/>
                  <w:rPr>
                    <w:rFonts w:ascii="Caladea"/>
                    <w:i/>
                    <w:sz w:val="16"/>
                  </w:rPr>
                </w:pPr>
                <w:r>
                  <w:rPr>
                    <w:rFonts w:ascii="Caladea"/>
                    <w:i/>
                    <w:sz w:val="16"/>
                  </w:rPr>
                  <w:t xml:space="preserve">Strana </w:t>
                </w:r>
                <w:r w:rsidR="00C336AA">
                  <w:fldChar w:fldCharType="begin"/>
                </w:r>
                <w:r>
                  <w:rPr>
                    <w:rFonts w:ascii="Caladea"/>
                    <w:i/>
                    <w:sz w:val="16"/>
                  </w:rPr>
                  <w:instrText xml:space="preserve"> PAGE </w:instrText>
                </w:r>
                <w:r w:rsidR="00C336AA">
                  <w:fldChar w:fldCharType="separate"/>
                </w:r>
                <w:r w:rsidR="000E09E6">
                  <w:rPr>
                    <w:rFonts w:ascii="Caladea"/>
                    <w:i/>
                    <w:noProof/>
                    <w:sz w:val="16"/>
                  </w:rPr>
                  <w:t>1</w:t>
                </w:r>
                <w:r w:rsidR="00C336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CA2" w:rsidRDefault="00B10CA2" w:rsidP="003F6E9C">
      <w:r>
        <w:separator/>
      </w:r>
    </w:p>
  </w:footnote>
  <w:footnote w:type="continuationSeparator" w:id="0">
    <w:p w:rsidR="00B10CA2" w:rsidRDefault="00B10CA2" w:rsidP="003F6E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D763B"/>
    <w:multiLevelType w:val="hybridMultilevel"/>
    <w:tmpl w:val="8C4826F0"/>
    <w:lvl w:ilvl="0" w:tplc="AB4E6F20">
      <w:start w:val="2"/>
      <w:numFmt w:val="bullet"/>
      <w:lvlText w:val="-"/>
      <w:lvlJc w:val="left"/>
      <w:pPr>
        <w:ind w:left="1296" w:hanging="360"/>
      </w:pPr>
      <w:rPr>
        <w:rFonts w:ascii="Liberation Sans Narrow" w:eastAsia="Liberation Sans Narrow" w:hAnsi="Liberation Sans Narrow" w:cs="Liberation Sans Narrow" w:hint="default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">
    <w:nsid w:val="1FA9454A"/>
    <w:multiLevelType w:val="hybridMultilevel"/>
    <w:tmpl w:val="C8200EB0"/>
    <w:lvl w:ilvl="0" w:tplc="FC9CAA02">
      <w:start w:val="1"/>
      <w:numFmt w:val="decimal"/>
      <w:lvlText w:val="%1)"/>
      <w:lvlJc w:val="left"/>
      <w:pPr>
        <w:ind w:left="446" w:hanging="231"/>
      </w:pPr>
      <w:rPr>
        <w:rFonts w:ascii="Liberation Sans Narrow" w:eastAsia="Liberation Sans Narrow" w:hAnsi="Liberation Sans Narrow" w:cs="Liberation Sans Narrow" w:hint="default"/>
        <w:spacing w:val="-60"/>
        <w:w w:val="100"/>
        <w:sz w:val="24"/>
        <w:szCs w:val="24"/>
        <w:lang w:val="sk-SK" w:eastAsia="en-US" w:bidi="ar-SA"/>
      </w:rPr>
    </w:lvl>
    <w:lvl w:ilvl="1" w:tplc="920071D2">
      <w:start w:val="1"/>
      <w:numFmt w:val="decimal"/>
      <w:lvlText w:val="(%2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2" w:tplc="23EC900A">
      <w:start w:val="1"/>
      <w:numFmt w:val="lowerLetter"/>
      <w:lvlText w:val="%3)"/>
      <w:lvlJc w:val="left"/>
      <w:pPr>
        <w:ind w:left="1211" w:hanging="360"/>
      </w:pPr>
      <w:rPr>
        <w:rFonts w:ascii="Liberation Sans Narrow" w:eastAsia="Liberation Sans Narrow" w:hAnsi="Liberation Sans Narrow" w:cs="Liberation Sans Narrow" w:hint="default"/>
        <w:i/>
        <w:w w:val="99"/>
        <w:sz w:val="20"/>
        <w:szCs w:val="20"/>
        <w:lang w:val="sk-SK" w:eastAsia="en-US" w:bidi="ar-SA"/>
      </w:rPr>
    </w:lvl>
    <w:lvl w:ilvl="3" w:tplc="64C2FB36">
      <w:numFmt w:val="bullet"/>
      <w:lvlText w:val="•"/>
      <w:lvlJc w:val="left"/>
      <w:pPr>
        <w:ind w:left="2313" w:hanging="360"/>
      </w:pPr>
      <w:rPr>
        <w:rFonts w:hint="default"/>
        <w:lang w:val="sk-SK" w:eastAsia="en-US" w:bidi="ar-SA"/>
      </w:rPr>
    </w:lvl>
    <w:lvl w:ilvl="4" w:tplc="128A9F0A">
      <w:numFmt w:val="bullet"/>
      <w:lvlText w:val="•"/>
      <w:lvlJc w:val="left"/>
      <w:pPr>
        <w:ind w:left="3346" w:hanging="360"/>
      </w:pPr>
      <w:rPr>
        <w:rFonts w:hint="default"/>
        <w:lang w:val="sk-SK" w:eastAsia="en-US" w:bidi="ar-SA"/>
      </w:rPr>
    </w:lvl>
    <w:lvl w:ilvl="5" w:tplc="F3B4EDB0">
      <w:numFmt w:val="bullet"/>
      <w:lvlText w:val="•"/>
      <w:lvlJc w:val="left"/>
      <w:pPr>
        <w:ind w:left="4379" w:hanging="360"/>
      </w:pPr>
      <w:rPr>
        <w:rFonts w:hint="default"/>
        <w:lang w:val="sk-SK" w:eastAsia="en-US" w:bidi="ar-SA"/>
      </w:rPr>
    </w:lvl>
    <w:lvl w:ilvl="6" w:tplc="19B0CDD2">
      <w:numFmt w:val="bullet"/>
      <w:lvlText w:val="•"/>
      <w:lvlJc w:val="left"/>
      <w:pPr>
        <w:ind w:left="5413" w:hanging="360"/>
      </w:pPr>
      <w:rPr>
        <w:rFonts w:hint="default"/>
        <w:lang w:val="sk-SK" w:eastAsia="en-US" w:bidi="ar-SA"/>
      </w:rPr>
    </w:lvl>
    <w:lvl w:ilvl="7" w:tplc="9BE4DECC">
      <w:numFmt w:val="bullet"/>
      <w:lvlText w:val="•"/>
      <w:lvlJc w:val="left"/>
      <w:pPr>
        <w:ind w:left="6446" w:hanging="360"/>
      </w:pPr>
      <w:rPr>
        <w:rFonts w:hint="default"/>
        <w:lang w:val="sk-SK" w:eastAsia="en-US" w:bidi="ar-SA"/>
      </w:rPr>
    </w:lvl>
    <w:lvl w:ilvl="8" w:tplc="B296C086">
      <w:numFmt w:val="bullet"/>
      <w:lvlText w:val="•"/>
      <w:lvlJc w:val="left"/>
      <w:pPr>
        <w:ind w:left="7479" w:hanging="360"/>
      </w:pPr>
      <w:rPr>
        <w:rFonts w:hint="default"/>
        <w:lang w:val="sk-SK" w:eastAsia="en-US" w:bidi="ar-SA"/>
      </w:rPr>
    </w:lvl>
  </w:abstractNum>
  <w:abstractNum w:abstractNumId="2">
    <w:nsid w:val="25091274"/>
    <w:multiLevelType w:val="hybridMultilevel"/>
    <w:tmpl w:val="1C3C7F1C"/>
    <w:lvl w:ilvl="0" w:tplc="F4D09672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b/>
        <w:bCs/>
        <w:w w:val="99"/>
        <w:sz w:val="20"/>
        <w:szCs w:val="20"/>
        <w:lang w:val="sk-SK" w:eastAsia="en-US" w:bidi="ar-SA"/>
      </w:rPr>
    </w:lvl>
    <w:lvl w:ilvl="1" w:tplc="3D5EA42E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FD40366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3C04D2F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4BDC89CE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08A4F47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91725794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26BC8154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EFAAF236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3">
    <w:nsid w:val="51EA33D4"/>
    <w:multiLevelType w:val="hybridMultilevel"/>
    <w:tmpl w:val="08D8934A"/>
    <w:lvl w:ilvl="0" w:tplc="0A0E1630">
      <w:start w:val="1"/>
      <w:numFmt w:val="decimal"/>
      <w:lvlText w:val="%1."/>
      <w:lvlJc w:val="left"/>
      <w:pPr>
        <w:ind w:left="574" w:hanging="358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6E5E837C">
      <w:start w:val="1"/>
      <w:numFmt w:val="lowerLetter"/>
      <w:lvlText w:val="%2)"/>
      <w:lvlJc w:val="left"/>
      <w:pPr>
        <w:ind w:left="996" w:hanging="42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2" w:tplc="BA084D78">
      <w:numFmt w:val="bullet"/>
      <w:lvlText w:val="-"/>
      <w:lvlJc w:val="left"/>
      <w:pPr>
        <w:ind w:left="1632" w:hanging="564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3" w:tplc="83CCAA3A">
      <w:numFmt w:val="bullet"/>
      <w:lvlText w:val="•"/>
      <w:lvlJc w:val="left"/>
      <w:pPr>
        <w:ind w:left="2340" w:hanging="564"/>
      </w:pPr>
      <w:rPr>
        <w:rFonts w:hint="default"/>
        <w:lang w:val="sk-SK" w:eastAsia="en-US" w:bidi="ar-SA"/>
      </w:rPr>
    </w:lvl>
    <w:lvl w:ilvl="4" w:tplc="E85CA260">
      <w:numFmt w:val="bullet"/>
      <w:lvlText w:val="•"/>
      <w:lvlJc w:val="left"/>
      <w:pPr>
        <w:ind w:left="3369" w:hanging="564"/>
      </w:pPr>
      <w:rPr>
        <w:rFonts w:hint="default"/>
        <w:lang w:val="sk-SK" w:eastAsia="en-US" w:bidi="ar-SA"/>
      </w:rPr>
    </w:lvl>
    <w:lvl w:ilvl="5" w:tplc="DA128972">
      <w:numFmt w:val="bullet"/>
      <w:lvlText w:val="•"/>
      <w:lvlJc w:val="left"/>
      <w:pPr>
        <w:ind w:left="4398" w:hanging="564"/>
      </w:pPr>
      <w:rPr>
        <w:rFonts w:hint="default"/>
        <w:lang w:val="sk-SK" w:eastAsia="en-US" w:bidi="ar-SA"/>
      </w:rPr>
    </w:lvl>
    <w:lvl w:ilvl="6" w:tplc="67AA534E">
      <w:numFmt w:val="bullet"/>
      <w:lvlText w:val="•"/>
      <w:lvlJc w:val="left"/>
      <w:pPr>
        <w:ind w:left="5428" w:hanging="564"/>
      </w:pPr>
      <w:rPr>
        <w:rFonts w:hint="default"/>
        <w:lang w:val="sk-SK" w:eastAsia="en-US" w:bidi="ar-SA"/>
      </w:rPr>
    </w:lvl>
    <w:lvl w:ilvl="7" w:tplc="4FD28240">
      <w:numFmt w:val="bullet"/>
      <w:lvlText w:val="•"/>
      <w:lvlJc w:val="left"/>
      <w:pPr>
        <w:ind w:left="6457" w:hanging="564"/>
      </w:pPr>
      <w:rPr>
        <w:rFonts w:hint="default"/>
        <w:lang w:val="sk-SK" w:eastAsia="en-US" w:bidi="ar-SA"/>
      </w:rPr>
    </w:lvl>
    <w:lvl w:ilvl="8" w:tplc="47E6C554">
      <w:numFmt w:val="bullet"/>
      <w:lvlText w:val="•"/>
      <w:lvlJc w:val="left"/>
      <w:pPr>
        <w:ind w:left="7487" w:hanging="564"/>
      </w:pPr>
      <w:rPr>
        <w:rFonts w:hint="default"/>
        <w:lang w:val="sk-SK" w:eastAsia="en-US" w:bidi="ar-SA"/>
      </w:rPr>
    </w:lvl>
  </w:abstractNum>
  <w:abstractNum w:abstractNumId="4">
    <w:nsid w:val="53D14352"/>
    <w:multiLevelType w:val="hybridMultilevel"/>
    <w:tmpl w:val="B8E6C584"/>
    <w:lvl w:ilvl="0" w:tplc="D758DD32">
      <w:numFmt w:val="bullet"/>
      <w:lvlText w:val="-"/>
      <w:lvlJc w:val="left"/>
      <w:pPr>
        <w:ind w:left="924" w:hanging="72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4C560D62">
      <w:numFmt w:val="bullet"/>
      <w:lvlText w:val="•"/>
      <w:lvlJc w:val="left"/>
      <w:pPr>
        <w:ind w:left="1782" w:hanging="720"/>
      </w:pPr>
      <w:rPr>
        <w:rFonts w:hint="default"/>
        <w:lang w:val="sk-SK" w:eastAsia="en-US" w:bidi="ar-SA"/>
      </w:rPr>
    </w:lvl>
    <w:lvl w:ilvl="2" w:tplc="CB809F68">
      <w:numFmt w:val="bullet"/>
      <w:lvlText w:val="•"/>
      <w:lvlJc w:val="left"/>
      <w:pPr>
        <w:ind w:left="2645" w:hanging="720"/>
      </w:pPr>
      <w:rPr>
        <w:rFonts w:hint="default"/>
        <w:lang w:val="sk-SK" w:eastAsia="en-US" w:bidi="ar-SA"/>
      </w:rPr>
    </w:lvl>
    <w:lvl w:ilvl="3" w:tplc="CFC09306">
      <w:numFmt w:val="bullet"/>
      <w:lvlText w:val="•"/>
      <w:lvlJc w:val="left"/>
      <w:pPr>
        <w:ind w:left="3507" w:hanging="720"/>
      </w:pPr>
      <w:rPr>
        <w:rFonts w:hint="default"/>
        <w:lang w:val="sk-SK" w:eastAsia="en-US" w:bidi="ar-SA"/>
      </w:rPr>
    </w:lvl>
    <w:lvl w:ilvl="4" w:tplc="D37819AC">
      <w:numFmt w:val="bullet"/>
      <w:lvlText w:val="•"/>
      <w:lvlJc w:val="left"/>
      <w:pPr>
        <w:ind w:left="4370" w:hanging="720"/>
      </w:pPr>
      <w:rPr>
        <w:rFonts w:hint="default"/>
        <w:lang w:val="sk-SK" w:eastAsia="en-US" w:bidi="ar-SA"/>
      </w:rPr>
    </w:lvl>
    <w:lvl w:ilvl="5" w:tplc="576AD548">
      <w:numFmt w:val="bullet"/>
      <w:lvlText w:val="•"/>
      <w:lvlJc w:val="left"/>
      <w:pPr>
        <w:ind w:left="5233" w:hanging="720"/>
      </w:pPr>
      <w:rPr>
        <w:rFonts w:hint="default"/>
        <w:lang w:val="sk-SK" w:eastAsia="en-US" w:bidi="ar-SA"/>
      </w:rPr>
    </w:lvl>
    <w:lvl w:ilvl="6" w:tplc="B0983CF8">
      <w:numFmt w:val="bullet"/>
      <w:lvlText w:val="•"/>
      <w:lvlJc w:val="left"/>
      <w:pPr>
        <w:ind w:left="6095" w:hanging="720"/>
      </w:pPr>
      <w:rPr>
        <w:rFonts w:hint="default"/>
        <w:lang w:val="sk-SK" w:eastAsia="en-US" w:bidi="ar-SA"/>
      </w:rPr>
    </w:lvl>
    <w:lvl w:ilvl="7" w:tplc="894CAB22">
      <w:numFmt w:val="bullet"/>
      <w:lvlText w:val="•"/>
      <w:lvlJc w:val="left"/>
      <w:pPr>
        <w:ind w:left="6958" w:hanging="720"/>
      </w:pPr>
      <w:rPr>
        <w:rFonts w:hint="default"/>
        <w:lang w:val="sk-SK" w:eastAsia="en-US" w:bidi="ar-SA"/>
      </w:rPr>
    </w:lvl>
    <w:lvl w:ilvl="8" w:tplc="AD506B4C">
      <w:numFmt w:val="bullet"/>
      <w:lvlText w:val="•"/>
      <w:lvlJc w:val="left"/>
      <w:pPr>
        <w:ind w:left="7821" w:hanging="720"/>
      </w:pPr>
      <w:rPr>
        <w:rFonts w:hint="default"/>
        <w:lang w:val="sk-SK" w:eastAsia="en-US" w:bidi="ar-SA"/>
      </w:rPr>
    </w:lvl>
  </w:abstractNum>
  <w:abstractNum w:abstractNumId="5">
    <w:nsid w:val="54D81778"/>
    <w:multiLevelType w:val="hybridMultilevel"/>
    <w:tmpl w:val="F3024DF4"/>
    <w:lvl w:ilvl="0" w:tplc="FE1C0898">
      <w:start w:val="1"/>
      <w:numFmt w:val="decimal"/>
      <w:lvlText w:val="(%1)"/>
      <w:lvlJc w:val="left"/>
      <w:pPr>
        <w:ind w:left="859" w:hanging="360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08A4E84C">
      <w:numFmt w:val="bullet"/>
      <w:lvlText w:val="•"/>
      <w:lvlJc w:val="left"/>
      <w:pPr>
        <w:ind w:left="1728" w:hanging="360"/>
      </w:pPr>
      <w:rPr>
        <w:rFonts w:hint="default"/>
        <w:lang w:val="sk-SK" w:eastAsia="en-US" w:bidi="ar-SA"/>
      </w:rPr>
    </w:lvl>
    <w:lvl w:ilvl="2" w:tplc="3AA66612">
      <w:numFmt w:val="bullet"/>
      <w:lvlText w:val="•"/>
      <w:lvlJc w:val="left"/>
      <w:pPr>
        <w:ind w:left="2597" w:hanging="360"/>
      </w:pPr>
      <w:rPr>
        <w:rFonts w:hint="default"/>
        <w:lang w:val="sk-SK" w:eastAsia="en-US" w:bidi="ar-SA"/>
      </w:rPr>
    </w:lvl>
    <w:lvl w:ilvl="3" w:tplc="562C2D4A">
      <w:numFmt w:val="bullet"/>
      <w:lvlText w:val="•"/>
      <w:lvlJc w:val="left"/>
      <w:pPr>
        <w:ind w:left="3465" w:hanging="360"/>
      </w:pPr>
      <w:rPr>
        <w:rFonts w:hint="default"/>
        <w:lang w:val="sk-SK" w:eastAsia="en-US" w:bidi="ar-SA"/>
      </w:rPr>
    </w:lvl>
    <w:lvl w:ilvl="4" w:tplc="BAB44158">
      <w:numFmt w:val="bullet"/>
      <w:lvlText w:val="•"/>
      <w:lvlJc w:val="left"/>
      <w:pPr>
        <w:ind w:left="4334" w:hanging="360"/>
      </w:pPr>
      <w:rPr>
        <w:rFonts w:hint="default"/>
        <w:lang w:val="sk-SK" w:eastAsia="en-US" w:bidi="ar-SA"/>
      </w:rPr>
    </w:lvl>
    <w:lvl w:ilvl="5" w:tplc="517C6CBC">
      <w:numFmt w:val="bullet"/>
      <w:lvlText w:val="•"/>
      <w:lvlJc w:val="left"/>
      <w:pPr>
        <w:ind w:left="5203" w:hanging="360"/>
      </w:pPr>
      <w:rPr>
        <w:rFonts w:hint="default"/>
        <w:lang w:val="sk-SK" w:eastAsia="en-US" w:bidi="ar-SA"/>
      </w:rPr>
    </w:lvl>
    <w:lvl w:ilvl="6" w:tplc="EA54535A">
      <w:numFmt w:val="bullet"/>
      <w:lvlText w:val="•"/>
      <w:lvlJc w:val="left"/>
      <w:pPr>
        <w:ind w:left="6071" w:hanging="360"/>
      </w:pPr>
      <w:rPr>
        <w:rFonts w:hint="default"/>
        <w:lang w:val="sk-SK" w:eastAsia="en-US" w:bidi="ar-SA"/>
      </w:rPr>
    </w:lvl>
    <w:lvl w:ilvl="7" w:tplc="176E4BAE">
      <w:numFmt w:val="bullet"/>
      <w:lvlText w:val="•"/>
      <w:lvlJc w:val="left"/>
      <w:pPr>
        <w:ind w:left="6940" w:hanging="360"/>
      </w:pPr>
      <w:rPr>
        <w:rFonts w:hint="default"/>
        <w:lang w:val="sk-SK" w:eastAsia="en-US" w:bidi="ar-SA"/>
      </w:rPr>
    </w:lvl>
    <w:lvl w:ilvl="8" w:tplc="B4966C00">
      <w:numFmt w:val="bullet"/>
      <w:lvlText w:val="•"/>
      <w:lvlJc w:val="left"/>
      <w:pPr>
        <w:ind w:left="7809" w:hanging="360"/>
      </w:pPr>
      <w:rPr>
        <w:rFonts w:hint="default"/>
        <w:lang w:val="sk-SK" w:eastAsia="en-US" w:bidi="ar-SA"/>
      </w:rPr>
    </w:lvl>
  </w:abstractNum>
  <w:abstractNum w:abstractNumId="6">
    <w:nsid w:val="5C724C0C"/>
    <w:multiLevelType w:val="hybridMultilevel"/>
    <w:tmpl w:val="6AB8A284"/>
    <w:lvl w:ilvl="0" w:tplc="52169D80">
      <w:start w:val="1"/>
      <w:numFmt w:val="lowerLetter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A5F658C2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97C2847C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E96C808C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1A009C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FFF26E14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7A546DFE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ADC91E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FCF631A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7">
    <w:nsid w:val="5CC300ED"/>
    <w:multiLevelType w:val="hybridMultilevel"/>
    <w:tmpl w:val="8264AE66"/>
    <w:lvl w:ilvl="0" w:tplc="1D00F05C">
      <w:start w:val="1"/>
      <w:numFmt w:val="decimal"/>
      <w:lvlText w:val="%1."/>
      <w:lvlJc w:val="left"/>
      <w:pPr>
        <w:ind w:left="398" w:hanging="183"/>
      </w:pPr>
      <w:rPr>
        <w:rFonts w:ascii="Liberation Sans Narrow" w:eastAsia="Liberation Sans Narrow" w:hAnsi="Liberation Sans Narrow" w:cs="Liberation Sans Narrow" w:hint="default"/>
        <w:i/>
        <w:spacing w:val="-1"/>
        <w:w w:val="99"/>
        <w:sz w:val="20"/>
        <w:szCs w:val="20"/>
        <w:lang w:val="sk-SK" w:eastAsia="en-US" w:bidi="ar-SA"/>
      </w:rPr>
    </w:lvl>
    <w:lvl w:ilvl="1" w:tplc="8B942742">
      <w:numFmt w:val="bullet"/>
      <w:lvlText w:val="•"/>
      <w:lvlJc w:val="left"/>
      <w:pPr>
        <w:ind w:left="1314" w:hanging="183"/>
      </w:pPr>
      <w:rPr>
        <w:rFonts w:hint="default"/>
        <w:lang w:val="sk-SK" w:eastAsia="en-US" w:bidi="ar-SA"/>
      </w:rPr>
    </w:lvl>
    <w:lvl w:ilvl="2" w:tplc="955C68EE">
      <w:numFmt w:val="bullet"/>
      <w:lvlText w:val="•"/>
      <w:lvlJc w:val="left"/>
      <w:pPr>
        <w:ind w:left="2229" w:hanging="183"/>
      </w:pPr>
      <w:rPr>
        <w:rFonts w:hint="default"/>
        <w:lang w:val="sk-SK" w:eastAsia="en-US" w:bidi="ar-SA"/>
      </w:rPr>
    </w:lvl>
    <w:lvl w:ilvl="3" w:tplc="E47CEB1C">
      <w:numFmt w:val="bullet"/>
      <w:lvlText w:val="•"/>
      <w:lvlJc w:val="left"/>
      <w:pPr>
        <w:ind w:left="3143" w:hanging="183"/>
      </w:pPr>
      <w:rPr>
        <w:rFonts w:hint="default"/>
        <w:lang w:val="sk-SK" w:eastAsia="en-US" w:bidi="ar-SA"/>
      </w:rPr>
    </w:lvl>
    <w:lvl w:ilvl="4" w:tplc="324A9216">
      <w:numFmt w:val="bullet"/>
      <w:lvlText w:val="•"/>
      <w:lvlJc w:val="left"/>
      <w:pPr>
        <w:ind w:left="4058" w:hanging="183"/>
      </w:pPr>
      <w:rPr>
        <w:rFonts w:hint="default"/>
        <w:lang w:val="sk-SK" w:eastAsia="en-US" w:bidi="ar-SA"/>
      </w:rPr>
    </w:lvl>
    <w:lvl w:ilvl="5" w:tplc="CAF6F97A">
      <w:numFmt w:val="bullet"/>
      <w:lvlText w:val="•"/>
      <w:lvlJc w:val="left"/>
      <w:pPr>
        <w:ind w:left="4973" w:hanging="183"/>
      </w:pPr>
      <w:rPr>
        <w:rFonts w:hint="default"/>
        <w:lang w:val="sk-SK" w:eastAsia="en-US" w:bidi="ar-SA"/>
      </w:rPr>
    </w:lvl>
    <w:lvl w:ilvl="6" w:tplc="4E3E30EA">
      <w:numFmt w:val="bullet"/>
      <w:lvlText w:val="•"/>
      <w:lvlJc w:val="left"/>
      <w:pPr>
        <w:ind w:left="5887" w:hanging="183"/>
      </w:pPr>
      <w:rPr>
        <w:rFonts w:hint="default"/>
        <w:lang w:val="sk-SK" w:eastAsia="en-US" w:bidi="ar-SA"/>
      </w:rPr>
    </w:lvl>
    <w:lvl w:ilvl="7" w:tplc="CB24C08A">
      <w:numFmt w:val="bullet"/>
      <w:lvlText w:val="•"/>
      <w:lvlJc w:val="left"/>
      <w:pPr>
        <w:ind w:left="6802" w:hanging="183"/>
      </w:pPr>
      <w:rPr>
        <w:rFonts w:hint="default"/>
        <w:lang w:val="sk-SK" w:eastAsia="en-US" w:bidi="ar-SA"/>
      </w:rPr>
    </w:lvl>
    <w:lvl w:ilvl="8" w:tplc="EFA89050">
      <w:numFmt w:val="bullet"/>
      <w:lvlText w:val="•"/>
      <w:lvlJc w:val="left"/>
      <w:pPr>
        <w:ind w:left="7717" w:hanging="183"/>
      </w:pPr>
      <w:rPr>
        <w:rFonts w:hint="default"/>
        <w:lang w:val="sk-SK" w:eastAsia="en-US" w:bidi="ar-SA"/>
      </w:rPr>
    </w:lvl>
  </w:abstractNum>
  <w:abstractNum w:abstractNumId="8">
    <w:nsid w:val="5D666F38"/>
    <w:multiLevelType w:val="hybridMultilevel"/>
    <w:tmpl w:val="ED101FA4"/>
    <w:lvl w:ilvl="0" w:tplc="5BAAE650">
      <w:start w:val="1"/>
      <w:numFmt w:val="decimal"/>
      <w:lvlText w:val="%1)"/>
      <w:lvlJc w:val="left"/>
      <w:pPr>
        <w:ind w:left="936" w:hanging="360"/>
      </w:pPr>
      <w:rPr>
        <w:rFonts w:ascii="Liberation Sans Narrow" w:eastAsia="Liberation Sans Narrow" w:hAnsi="Liberation Sans Narrow" w:cs="Liberation Sans Narrow" w:hint="default"/>
        <w:w w:val="99"/>
        <w:sz w:val="20"/>
        <w:szCs w:val="20"/>
        <w:lang w:val="sk-SK" w:eastAsia="en-US" w:bidi="ar-SA"/>
      </w:rPr>
    </w:lvl>
    <w:lvl w:ilvl="1" w:tplc="072EC374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D4FC55B4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533C7AFA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65946A8A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8B386766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4042A28C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3DD6C7F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25AA387E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abstractNum w:abstractNumId="9">
    <w:nsid w:val="6F321258"/>
    <w:multiLevelType w:val="hybridMultilevel"/>
    <w:tmpl w:val="D5E6999E"/>
    <w:lvl w:ilvl="0" w:tplc="D8525BF0">
      <w:numFmt w:val="bullet"/>
      <w:lvlText w:val="-"/>
      <w:lvlJc w:val="left"/>
      <w:pPr>
        <w:ind w:left="936" w:hanging="360"/>
      </w:pPr>
      <w:rPr>
        <w:rFonts w:ascii="Arial" w:eastAsia="Arial" w:hAnsi="Arial" w:cs="Arial" w:hint="default"/>
        <w:w w:val="99"/>
        <w:sz w:val="20"/>
        <w:szCs w:val="20"/>
        <w:lang w:val="sk-SK" w:eastAsia="en-US" w:bidi="ar-SA"/>
      </w:rPr>
    </w:lvl>
    <w:lvl w:ilvl="1" w:tplc="8B469B4A">
      <w:numFmt w:val="bullet"/>
      <w:lvlText w:val="•"/>
      <w:lvlJc w:val="left"/>
      <w:pPr>
        <w:ind w:left="1800" w:hanging="360"/>
      </w:pPr>
      <w:rPr>
        <w:rFonts w:hint="default"/>
        <w:lang w:val="sk-SK" w:eastAsia="en-US" w:bidi="ar-SA"/>
      </w:rPr>
    </w:lvl>
    <w:lvl w:ilvl="2" w:tplc="E45E7F3E">
      <w:numFmt w:val="bullet"/>
      <w:lvlText w:val="•"/>
      <w:lvlJc w:val="left"/>
      <w:pPr>
        <w:ind w:left="2661" w:hanging="360"/>
      </w:pPr>
      <w:rPr>
        <w:rFonts w:hint="default"/>
        <w:lang w:val="sk-SK" w:eastAsia="en-US" w:bidi="ar-SA"/>
      </w:rPr>
    </w:lvl>
    <w:lvl w:ilvl="3" w:tplc="0D70EFD2">
      <w:numFmt w:val="bullet"/>
      <w:lvlText w:val="•"/>
      <w:lvlJc w:val="left"/>
      <w:pPr>
        <w:ind w:left="3521" w:hanging="360"/>
      </w:pPr>
      <w:rPr>
        <w:rFonts w:hint="default"/>
        <w:lang w:val="sk-SK" w:eastAsia="en-US" w:bidi="ar-SA"/>
      </w:rPr>
    </w:lvl>
    <w:lvl w:ilvl="4" w:tplc="F24AC5A6">
      <w:numFmt w:val="bullet"/>
      <w:lvlText w:val="•"/>
      <w:lvlJc w:val="left"/>
      <w:pPr>
        <w:ind w:left="4382" w:hanging="360"/>
      </w:pPr>
      <w:rPr>
        <w:rFonts w:hint="default"/>
        <w:lang w:val="sk-SK" w:eastAsia="en-US" w:bidi="ar-SA"/>
      </w:rPr>
    </w:lvl>
    <w:lvl w:ilvl="5" w:tplc="E46ED9AA">
      <w:numFmt w:val="bullet"/>
      <w:lvlText w:val="•"/>
      <w:lvlJc w:val="left"/>
      <w:pPr>
        <w:ind w:left="5243" w:hanging="360"/>
      </w:pPr>
      <w:rPr>
        <w:rFonts w:hint="default"/>
        <w:lang w:val="sk-SK" w:eastAsia="en-US" w:bidi="ar-SA"/>
      </w:rPr>
    </w:lvl>
    <w:lvl w:ilvl="6" w:tplc="09CAC9D0">
      <w:numFmt w:val="bullet"/>
      <w:lvlText w:val="•"/>
      <w:lvlJc w:val="left"/>
      <w:pPr>
        <w:ind w:left="6103" w:hanging="360"/>
      </w:pPr>
      <w:rPr>
        <w:rFonts w:hint="default"/>
        <w:lang w:val="sk-SK" w:eastAsia="en-US" w:bidi="ar-SA"/>
      </w:rPr>
    </w:lvl>
    <w:lvl w:ilvl="7" w:tplc="BA828778">
      <w:numFmt w:val="bullet"/>
      <w:lvlText w:val="•"/>
      <w:lvlJc w:val="left"/>
      <w:pPr>
        <w:ind w:left="6964" w:hanging="360"/>
      </w:pPr>
      <w:rPr>
        <w:rFonts w:hint="default"/>
        <w:lang w:val="sk-SK" w:eastAsia="en-US" w:bidi="ar-SA"/>
      </w:rPr>
    </w:lvl>
    <w:lvl w:ilvl="8" w:tplc="A23423BC">
      <w:numFmt w:val="bullet"/>
      <w:lvlText w:val="•"/>
      <w:lvlJc w:val="left"/>
      <w:pPr>
        <w:ind w:left="7825" w:hanging="360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9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F6E9C"/>
    <w:rsid w:val="000E09E6"/>
    <w:rsid w:val="00351625"/>
    <w:rsid w:val="003667C6"/>
    <w:rsid w:val="003F6E9C"/>
    <w:rsid w:val="0047268D"/>
    <w:rsid w:val="00663B05"/>
    <w:rsid w:val="00B10CA2"/>
    <w:rsid w:val="00C15A2F"/>
    <w:rsid w:val="00C336AA"/>
    <w:rsid w:val="00E76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F6E9C"/>
    <w:rPr>
      <w:rFonts w:ascii="Liberation Sans Narrow" w:eastAsia="Liberation Sans Narrow" w:hAnsi="Liberation Sans Narrow" w:cs="Liberation Sans Narrow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6E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6E9C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3F6E9C"/>
    <w:pPr>
      <w:spacing w:before="79"/>
      <w:ind w:left="67"/>
      <w:outlineLvl w:val="1"/>
    </w:pPr>
  </w:style>
  <w:style w:type="paragraph" w:customStyle="1" w:styleId="Heading2">
    <w:name w:val="Heading 2"/>
    <w:basedOn w:val="Normlny"/>
    <w:uiPriority w:val="1"/>
    <w:qFormat/>
    <w:rsid w:val="003F6E9C"/>
    <w:pPr>
      <w:ind w:left="1929" w:right="1970"/>
      <w:jc w:val="center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F6E9C"/>
    <w:pPr>
      <w:ind w:left="936" w:hanging="361"/>
    </w:pPr>
  </w:style>
  <w:style w:type="paragraph" w:customStyle="1" w:styleId="TableParagraph">
    <w:name w:val="Table Paragraph"/>
    <w:basedOn w:val="Normlny"/>
    <w:uiPriority w:val="1"/>
    <w:qFormat/>
    <w:rsid w:val="003F6E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Murincekova</dc:creator>
  <cp:lastModifiedBy>Lukas Praženica</cp:lastModifiedBy>
  <cp:revision>4</cp:revision>
  <dcterms:created xsi:type="dcterms:W3CDTF">2021-03-29T20:29:00Z</dcterms:created>
  <dcterms:modified xsi:type="dcterms:W3CDTF">2021-03-29T20:29:00Z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2020-06-28T00:00:00Z</vt:filetime>
  </property>
</Properties>
</file>