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TableGrid"/>
        <w:tblW w:w="10375" w:type="dxa"/>
        <w:jc w:val="left"/>
        <w:tblInd w:w="-70" w:type="dxa"/>
        <w:tblCellMar>
          <w:top w:w="50" w:type="dxa"/>
          <w:left w:w="106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3060"/>
        <w:gridCol w:w="2668"/>
        <w:gridCol w:w="339"/>
        <w:gridCol w:w="341"/>
        <w:gridCol w:w="340"/>
        <w:gridCol w:w="339"/>
        <w:gridCol w:w="340"/>
        <w:gridCol w:w="341"/>
        <w:gridCol w:w="339"/>
        <w:gridCol w:w="340"/>
        <w:gridCol w:w="567"/>
        <w:gridCol w:w="341"/>
        <w:gridCol w:w="341"/>
        <w:gridCol w:w="338"/>
        <w:gridCol w:w="341"/>
      </w:tblGrid>
      <w:tr>
        <w:trPr>
          <w:trHeight w:val="382" w:hRule="atLeast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>Poznámky (Úč  NUJ 3 – 01)</w:t>
            </w:r>
            <w:r>
              <w:rPr>
                <w:b/>
              </w:rPr>
              <w:t xml:space="preserve"> </w:t>
            </w:r>
          </w:p>
        </w:tc>
        <w:tc>
          <w:tcPr>
            <w:tcW w:w="26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101" w:hanging="0"/>
              <w:jc w:val="right"/>
              <w:rPr/>
            </w:pPr>
            <w:r>
              <w:rPr>
                <w:b/>
              </w:rPr>
              <w:t xml:space="preserve">IČO 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5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0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0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0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7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0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1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7 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/SID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</w:tr>
    </w:tbl>
    <w:p>
      <w:pPr>
        <w:pStyle w:val="Normal"/>
        <w:spacing w:lineRule="auto" w:line="259" w:before="0" w:after="98"/>
        <w:ind w:lef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spacing w:lineRule="auto" w:line="259" w:before="0" w:after="99"/>
        <w:ind w:left="10" w:right="4" w:hanging="10"/>
        <w:jc w:val="center"/>
        <w:rPr/>
      </w:pPr>
      <w:r>
        <w:rPr>
          <w:b/>
        </w:rPr>
        <w:t xml:space="preserve">Čl. I </w:t>
      </w:r>
    </w:p>
    <w:p>
      <w:pPr>
        <w:pStyle w:val="Normal"/>
        <w:spacing w:lineRule="auto" w:line="259" w:before="0" w:after="99"/>
        <w:ind w:left="10" w:right="2" w:hanging="10"/>
        <w:jc w:val="center"/>
        <w:rPr/>
      </w:pPr>
      <w:r>
        <w:rPr>
          <w:b/>
        </w:rPr>
        <w:t xml:space="preserve">Všeobecné údaje </w:t>
      </w:r>
    </w:p>
    <w:p>
      <w:pPr>
        <w:pStyle w:val="Normal"/>
        <w:ind w:left="-5" w:hanging="10"/>
        <w:rPr/>
      </w:pPr>
      <w:r>
        <w:rPr/>
        <w:t xml:space="preserve">(1) Meno a priezvisko fyzickej osoby alebo názov právnickej osoby, ktorá je zakladateľom alebo zriaďovateľom účtovnej jednotky, dátum založenia alebo zriadenia účtovnej jednotky. </w:t>
      </w:r>
    </w:p>
    <w:p>
      <w:pPr>
        <w:pStyle w:val="Normal"/>
        <w:ind w:left="-5" w:hanging="10"/>
        <w:rPr/>
      </w:pPr>
      <w:r>
        <w:rPr/>
        <w:t xml:space="preserve">PhDr. Pavol Šmýkala, MBA, Lipová 66/37, 921 01 Piešťany </w:t>
      </w:r>
    </w:p>
    <w:p>
      <w:pPr>
        <w:pStyle w:val="Normal"/>
        <w:ind w:left="-5" w:hanging="10"/>
        <w:rPr/>
      </w:pPr>
      <w:r>
        <w:rPr/>
        <w:t xml:space="preserve">Ľuboš Kubišta, Dvorníky 520, 920 56 Dvorníky </w:t>
      </w:r>
    </w:p>
    <w:p>
      <w:pPr>
        <w:pStyle w:val="Normal"/>
        <w:ind w:left="-5" w:hanging="10"/>
        <w:rPr/>
      </w:pPr>
      <w:r>
        <w:rPr/>
        <w:t xml:space="preserve">Ing. Andrej Kukla, Dvorníky 5520, 920 56 Dvorníky </w:t>
      </w:r>
    </w:p>
    <w:p>
      <w:pPr>
        <w:pStyle w:val="Nadpis1"/>
        <w:ind w:left="-5" w:hanging="10"/>
        <w:rPr/>
      </w:pPr>
      <w:r>
        <w:rPr/>
        <w:t xml:space="preserve">09.10. 2015 </w:t>
      </w:r>
    </w:p>
    <w:p>
      <w:pPr>
        <w:pStyle w:val="Normal"/>
        <w:numPr>
          <w:ilvl w:val="0"/>
          <w:numId w:val="1"/>
        </w:numPr>
        <w:rPr/>
      </w:pPr>
      <w:r>
        <w:rPr/>
        <w:t xml:space="preserve">Informácie o členoch štatutárnych orgánov, dozorných orgánov  a iných orgánov účtovnej jednotky; uvádzajú sa mená a priezviská členov štatutárnych orgánov, dozorných orgánov a iných orgánov účtovnej jednotky. </w:t>
      </w:r>
    </w:p>
    <w:p>
      <w:pPr>
        <w:pStyle w:val="Normal"/>
        <w:ind w:left="-5" w:hanging="10"/>
        <w:rPr/>
      </w:pPr>
      <w:r>
        <w:rPr/>
        <w:t xml:space="preserve">Peter Ondrašovič - riaditeľ </w:t>
      </w:r>
    </w:p>
    <w:p>
      <w:pPr>
        <w:pStyle w:val="Normal"/>
        <w:numPr>
          <w:ilvl w:val="0"/>
          <w:numId w:val="1"/>
        </w:numPr>
        <w:rPr/>
      </w:pPr>
      <w:r>
        <w:rPr/>
        <w:t xml:space="preserve">Opis činnosti, na účel ktorej bola účtovná jednotka zriadená a opis druhu podnikateľskej činnosti, ak ju účtovná jednotka vykonáva. </w:t>
      </w:r>
    </w:p>
    <w:p>
      <w:pPr>
        <w:pStyle w:val="Normal"/>
        <w:numPr>
          <w:ilvl w:val="0"/>
          <w:numId w:val="2"/>
        </w:numPr>
        <w:spacing w:before="0" w:after="0"/>
        <w:rPr/>
      </w:pPr>
      <w:r>
        <w:rPr/>
        <w:t xml:space="preserve">Poskytovanie zdravotnej starostlivosti v zmysle zákona č. 576/2004 Z.z. o zdravotnej starostlivosti, službách súvisiacich s poskytovaním zdravotnej starostlivosti a o zmene a doplnení niektorých zákonov a to: </w:t>
      </w:r>
    </w:p>
    <w:p>
      <w:pPr>
        <w:pStyle w:val="Normal"/>
        <w:spacing w:before="0" w:after="0"/>
        <w:ind w:left="-5" w:hanging="10"/>
        <w:rPr/>
      </w:pPr>
      <w:r>
        <w:rPr/>
        <w:t xml:space="preserve">-ošetrovateľská  starostlivosť v zariadeniach sociálnych služieb a v zariadeniach sociálnoprávnej ochrany detí a sociálnej kurately.  </w:t>
      </w:r>
    </w:p>
    <w:p>
      <w:pPr>
        <w:pStyle w:val="Normal"/>
        <w:numPr>
          <w:ilvl w:val="0"/>
          <w:numId w:val="2"/>
        </w:numPr>
        <w:spacing w:before="0" w:after="0"/>
        <w:rPr/>
      </w:pPr>
      <w:r>
        <w:rPr/>
        <w:t xml:space="preserve">Poskytovanie sociálnych služieb v zmysle zákona č. 448/2008 Z.z. o sociálnych službách a o zmene a doplnení zákona č. 455/1991 Zb. o živnostenskom podnikaní živnostenský zákon) v znení neskorších predpisov, a to: </w:t>
      </w:r>
    </w:p>
    <w:p>
      <w:pPr>
        <w:pStyle w:val="Normal"/>
        <w:numPr>
          <w:ilvl w:val="0"/>
          <w:numId w:val="3"/>
        </w:numPr>
        <w:spacing w:before="0" w:after="0"/>
        <w:rPr/>
      </w:pPr>
      <w:r>
        <w:rPr/>
        <w:t xml:space="preserve">sociálne služby na reišenie nerpiaznivej sociálnej situácie z dôvodu ťažkého zdravotného postihnutia, nepriaznivého zdravotného stavu alebo z dôvodu dovŕšenia dôchodkového veku, ktorými sú: </w:t>
      </w:r>
    </w:p>
    <w:p>
      <w:pPr>
        <w:pStyle w:val="Normal"/>
        <w:numPr>
          <w:ilvl w:val="0"/>
          <w:numId w:val="3"/>
        </w:numPr>
        <w:spacing w:before="0" w:after="0"/>
        <w:rPr/>
      </w:pPr>
      <w:r>
        <w:rPr/>
        <w:t xml:space="preserve">poskytovanie sociálnej služby v zariadení pre fyzického osoby, ktoré sú odkázané na pomoc inej fyzickej osoby a pre fyzické osoby, ktoré dovŕšili dôchodkový vek – v zariadení pre seniorov.  </w:t>
      </w:r>
    </w:p>
    <w:p>
      <w:pPr>
        <w:pStyle w:val="Normal"/>
        <w:spacing w:before="0" w:after="0"/>
        <w:ind w:left="-5" w:right="3326" w:hanging="10"/>
        <w:rPr/>
      </w:pPr>
      <w:r>
        <w:rPr/>
        <w:t xml:space="preserve">3) Tvorba, rozvoj, ochrana, obnova a prezentácia duchovných a kultúrnych hodnôt,  4) Vzdelávanie, výchova a rozvoj telesnej kultúry. 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/>
        <w:t xml:space="preserve"> </w:t>
      </w:r>
    </w:p>
    <w:p>
      <w:pPr>
        <w:pStyle w:val="Normal"/>
        <w:numPr>
          <w:ilvl w:val="0"/>
          <w:numId w:val="4"/>
        </w:numPr>
        <w:ind w:left="271" w:hanging="271"/>
        <w:rPr/>
      </w:pPr>
      <w:r>
        <w:rPr/>
        <w:t xml:space="preserve">Priemerný prepočítaný počet zamestnancov, a z toho počet vedúcich zamestnancov účtovnej jednotky za účtovné obdobie, za ktoré sa zostavuje účtovná závierka (ďalej len „bežné účtovné obdobie“)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obdobia.  </w:t>
      </w:r>
    </w:p>
    <w:p>
      <w:pPr>
        <w:pStyle w:val="Normal"/>
        <w:numPr>
          <w:ilvl w:val="0"/>
          <w:numId w:val="4"/>
        </w:numPr>
        <w:ind w:left="271" w:hanging="271"/>
        <w:rPr/>
      </w:pPr>
      <w:r>
        <w:rPr/>
        <w:t xml:space="preserve">Informácia o organizáciách v zriaďovateľskej pôsobnosti účtovnej jednotky. </w:t>
      </w:r>
    </w:p>
    <w:p>
      <w:pPr>
        <w:pStyle w:val="Normal"/>
        <w:numPr>
          <w:ilvl w:val="0"/>
          <w:numId w:val="4"/>
        </w:numPr>
        <w:ind w:left="271" w:hanging="271"/>
        <w:rPr/>
      </w:pPr>
      <w:r>
        <w:rPr/>
        <w:t xml:space="preserve">Údaje podľa odseku  4 a čl. III a IV  sa uvádzajú v textovej podobe a tabuľkovej podobe.  </w:t>
      </w:r>
    </w:p>
    <w:p>
      <w:pPr>
        <w:pStyle w:val="Normal"/>
        <w:spacing w:lineRule="auto" w:line="259" w:before="0" w:after="9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99"/>
        <w:ind w:left="10" w:right="7" w:hanging="10"/>
        <w:jc w:val="center"/>
        <w:rPr/>
      </w:pPr>
      <w:r>
        <w:rPr>
          <w:b/>
        </w:rPr>
        <w:t xml:space="preserve">Čl. II </w:t>
      </w:r>
    </w:p>
    <w:p>
      <w:pPr>
        <w:pStyle w:val="Normal"/>
        <w:spacing w:lineRule="auto" w:line="259" w:before="0" w:after="99"/>
        <w:ind w:left="10" w:right="7" w:hanging="10"/>
        <w:jc w:val="center"/>
        <w:rPr/>
      </w:pPr>
      <w:r>
        <w:rPr>
          <w:b/>
        </w:rPr>
        <w:t xml:space="preserve">Informácie o účtovných zásadách a účtovných metódach </w:t>
      </w:r>
    </w:p>
    <w:p>
      <w:pPr>
        <w:pStyle w:val="Normal"/>
        <w:numPr>
          <w:ilvl w:val="0"/>
          <w:numId w:val="5"/>
        </w:numPr>
        <w:rPr/>
      </w:pPr>
      <w:r>
        <w:rPr/>
        <w:t xml:space="preserve">Informácia, či je účtovná závierka zostavená za splnenia predpokladu, že účtovná jednotka bude nepretržite pokračovať vo svojej činnosti. NIE </w:t>
      </w:r>
    </w:p>
    <w:p>
      <w:pPr>
        <w:pStyle w:val="Normal"/>
        <w:numPr>
          <w:ilvl w:val="0"/>
          <w:numId w:val="5"/>
        </w:numPr>
        <w:rPr/>
      </w:pPr>
      <w:r>
        <w:rPr/>
        <w:t xml:space="preserve">Zmeny účtovných zásad a zmeny účtovných metód s uvedením dôvodu týchto zmien a vyčíslením ich vplyvu na finančnú hodnotu majetku, záväzkov, základného imania a výsledku hospodárenia účtovnej jednotky. NIE (3) Spôsob oceňovania jednotlivých položiek majetku a záväzkov v členení na </w:t>
      </w:r>
    </w:p>
    <w:p>
      <w:pPr>
        <w:pStyle w:val="Normal"/>
        <w:numPr>
          <w:ilvl w:val="0"/>
          <w:numId w:val="6"/>
        </w:numPr>
        <w:ind w:left="211" w:hanging="211"/>
        <w:rPr/>
      </w:pPr>
      <w:r>
        <w:rPr/>
        <w:t xml:space="preserve">dlhodobý nehmotný majetok obstaraný kúpou, </w:t>
      </w:r>
    </w:p>
    <w:p>
      <w:pPr>
        <w:pStyle w:val="Normal"/>
        <w:numPr>
          <w:ilvl w:val="0"/>
          <w:numId w:val="6"/>
        </w:numPr>
        <w:ind w:left="211" w:hanging="211"/>
        <w:rPr/>
      </w:pPr>
      <w:r>
        <w:rPr/>
        <w:t xml:space="preserve">dlhodobý nehmotný majetok obstaraný vlastnou činnosťou, </w:t>
      </w:r>
    </w:p>
    <w:p>
      <w:pPr>
        <w:pStyle w:val="Normal"/>
        <w:numPr>
          <w:ilvl w:val="0"/>
          <w:numId w:val="6"/>
        </w:numPr>
        <w:ind w:left="211" w:hanging="211"/>
        <w:rPr/>
      </w:pPr>
      <w:r>
        <w:rPr/>
        <w:t xml:space="preserve">dlhodobý nehmotný majetok obstaraný iným spôsobom,  </w:t>
      </w:r>
    </w:p>
    <w:p>
      <w:pPr>
        <w:pStyle w:val="Normal"/>
        <w:numPr>
          <w:ilvl w:val="0"/>
          <w:numId w:val="6"/>
        </w:numPr>
        <w:ind w:left="211" w:hanging="211"/>
        <w:rPr/>
      </w:pPr>
      <w:r>
        <w:rPr/>
        <w:t xml:space="preserve">dlhodobý hmotný majetok obstaraný kúpou, </w:t>
      </w:r>
    </w:p>
    <w:p>
      <w:pPr>
        <w:pStyle w:val="Normal"/>
        <w:numPr>
          <w:ilvl w:val="0"/>
          <w:numId w:val="6"/>
        </w:numPr>
        <w:ind w:left="211" w:hanging="211"/>
        <w:rPr/>
      </w:pPr>
      <w:r>
        <w:rPr/>
        <w:t xml:space="preserve">dlhodobý hmotný majetok obstaraný vlastnou činnosťou, </w:t>
      </w:r>
    </w:p>
    <w:p>
      <w:pPr>
        <w:pStyle w:val="Normal"/>
        <w:numPr>
          <w:ilvl w:val="0"/>
          <w:numId w:val="6"/>
        </w:numPr>
        <w:ind w:left="211" w:hanging="211"/>
        <w:rPr/>
      </w:pPr>
      <w:r>
        <w:rPr/>
        <w:t xml:space="preserve">dlhodobý hmotný majetok obstaraný iným spôsobom, </w:t>
      </w:r>
    </w:p>
    <w:p>
      <w:pPr>
        <w:pStyle w:val="Nadpis1"/>
        <w:ind w:left="-5" w:hanging="10"/>
        <w:rPr/>
      </w:pPr>
      <w:r>
        <w:rPr/>
        <w:t xml:space="preserve">g) dlhodobý finančný majetok, </w:t>
      </w:r>
    </w:p>
    <w:p>
      <w:pPr>
        <w:pStyle w:val="Normal"/>
        <w:numPr>
          <w:ilvl w:val="0"/>
          <w:numId w:val="7"/>
        </w:numPr>
        <w:ind w:left="261" w:hanging="261"/>
        <w:rPr/>
      </w:pPr>
      <w:r>
        <w:rPr/>
        <w:t xml:space="preserve">zásoby obstarané kúpou, </w:t>
      </w:r>
    </w:p>
    <w:p>
      <w:pPr>
        <w:pStyle w:val="Normal"/>
        <w:numPr>
          <w:ilvl w:val="0"/>
          <w:numId w:val="7"/>
        </w:numPr>
        <w:ind w:left="261" w:hanging="261"/>
        <w:rPr/>
      </w:pPr>
      <w:r>
        <w:rPr/>
        <w:t xml:space="preserve">zásoby vytvorené vlastnou činnosťou, </w:t>
      </w:r>
    </w:p>
    <w:p>
      <w:pPr>
        <w:pStyle w:val="Normal"/>
        <w:numPr>
          <w:ilvl w:val="0"/>
          <w:numId w:val="7"/>
        </w:numPr>
        <w:ind w:left="261" w:hanging="261"/>
        <w:rPr/>
      </w:pPr>
      <w:r>
        <w:rPr/>
        <w:t xml:space="preserve">zásoby obstarané iným spôsobom, </w:t>
      </w:r>
    </w:p>
    <w:p>
      <w:pPr>
        <w:pStyle w:val="Normal"/>
        <w:numPr>
          <w:ilvl w:val="0"/>
          <w:numId w:val="7"/>
        </w:numPr>
        <w:ind w:left="261" w:hanging="261"/>
        <w:rPr/>
      </w:pPr>
      <w:r>
        <w:rPr/>
        <w:t xml:space="preserve">pohľadávky, </w:t>
      </w:r>
    </w:p>
    <w:p>
      <w:pPr>
        <w:pStyle w:val="Normal"/>
        <w:numPr>
          <w:ilvl w:val="0"/>
          <w:numId w:val="7"/>
        </w:numPr>
        <w:ind w:left="261" w:hanging="261"/>
        <w:rPr/>
      </w:pPr>
      <w:r>
        <w:rPr/>
        <w:t xml:space="preserve">krátkodobý finančný majetok, </w:t>
      </w:r>
    </w:p>
    <w:p>
      <w:pPr>
        <w:pStyle w:val="Normal"/>
        <w:numPr>
          <w:ilvl w:val="0"/>
          <w:numId w:val="7"/>
        </w:numPr>
        <w:ind w:left="261" w:hanging="261"/>
        <w:rPr/>
      </w:pPr>
      <w:r>
        <w:rPr/>
        <w:t xml:space="preserve">časové rozlíšenie na strane aktív, </w:t>
      </w:r>
    </w:p>
    <w:p>
      <w:pPr>
        <w:pStyle w:val="Normal"/>
        <w:numPr>
          <w:ilvl w:val="0"/>
          <w:numId w:val="7"/>
        </w:numPr>
        <w:ind w:left="261" w:hanging="261"/>
        <w:rPr/>
      </w:pPr>
      <w:r>
        <w:rPr/>
        <w:t xml:space="preserve">záväzky vrátane rezerv, dlhopisov, pôžičiek a úverov, </w:t>
      </w:r>
    </w:p>
    <w:p>
      <w:pPr>
        <w:pStyle w:val="Normal"/>
        <w:numPr>
          <w:ilvl w:val="0"/>
          <w:numId w:val="7"/>
        </w:numPr>
        <w:ind w:left="261" w:hanging="261"/>
        <w:rPr/>
      </w:pPr>
      <w:r>
        <w:rPr/>
        <w:t xml:space="preserve">časové rozlíšenie na strane pasív, </w:t>
      </w:r>
    </w:p>
    <w:p>
      <w:pPr>
        <w:pStyle w:val="Normal"/>
        <w:numPr>
          <w:ilvl w:val="0"/>
          <w:numId w:val="7"/>
        </w:numPr>
        <w:ind w:left="261" w:hanging="261"/>
        <w:rPr/>
      </w:pPr>
      <w:r>
        <w:rPr/>
        <w:t xml:space="preserve">deriváty, </w:t>
      </w:r>
    </w:p>
    <w:p>
      <w:pPr>
        <w:pStyle w:val="Normal"/>
        <w:ind w:left="-5" w:hanging="10"/>
        <w:rPr/>
      </w:pPr>
      <w:r>
        <w:rPr/>
        <w:t xml:space="preserve">r) majetok a záväzky zabezpečené derivátmi. </w:t>
      </w:r>
    </w:p>
    <w:p>
      <w:pPr>
        <w:pStyle w:val="Normal"/>
        <w:numPr>
          <w:ilvl w:val="0"/>
          <w:numId w:val="8"/>
        </w:numPr>
        <w:spacing w:lineRule="auto" w:line="237" w:before="0" w:after="119"/>
        <w:jc w:val="left"/>
        <w:rPr/>
      </w:pPr>
      <w:r>
        <w:rPr/>
        <w:t xml:space="preserve">Spôsob zostavenia odpisového plánu pre jednotlivé druhy dlhodobého hmotného majetku  a dlhodobého nehmotného majetku, pričom sa uvádza doba odpisovania, použité sadzby odpisov a odpisové metódy pri určení odpisov.: neodpisuje majetok </w:t>
      </w:r>
    </w:p>
    <w:p>
      <w:pPr>
        <w:pStyle w:val="Normal"/>
        <w:numPr>
          <w:ilvl w:val="0"/>
          <w:numId w:val="8"/>
        </w:numPr>
        <w:jc w:val="left"/>
        <w:rPr/>
      </w:pPr>
      <w:r>
        <w:rPr/>
        <w:t xml:space="preserve">Zásady pre zohľadnenie zníženia hodnoty majetku. Uvádza sa, či účtovná jednotka uplatňuje opravné položky (NIE) a rezervy (NIE). </w:t>
      </w:r>
    </w:p>
    <w:p>
      <w:pPr>
        <w:pStyle w:val="Normal"/>
        <w:spacing w:lineRule="auto" w:line="259" w:before="0" w:after="9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99"/>
        <w:ind w:left="10" w:right="4" w:hanging="10"/>
        <w:jc w:val="center"/>
        <w:rPr/>
      </w:pPr>
      <w:r>
        <w:rPr>
          <w:b/>
        </w:rPr>
        <w:t xml:space="preserve">Čl. III </w:t>
      </w:r>
    </w:p>
    <w:p>
      <w:pPr>
        <w:pStyle w:val="Normal"/>
        <w:spacing w:lineRule="auto" w:line="259" w:before="0" w:after="99"/>
        <w:ind w:left="10" w:right="2" w:hanging="10"/>
        <w:jc w:val="center"/>
        <w:rPr/>
      </w:pPr>
      <w:r>
        <w:rPr>
          <w:b/>
        </w:rPr>
        <w:t xml:space="preserve">Informácie, ktoré dopĺňajú a vysvetľujú údaje v súvahe </w:t>
      </w:r>
    </w:p>
    <w:p>
      <w:pPr>
        <w:pStyle w:val="Nadpis1"/>
        <w:ind w:left="-5" w:hanging="10"/>
        <w:rPr/>
      </w:pPr>
      <w:r>
        <w:rPr/>
        <w:t xml:space="preserve">(1) Údaje o dlhodobom nehmotnom majetku a dlhodobom hmotnom majetku za bežné účtovné obdobie, a to </w:t>
      </w:r>
    </w:p>
    <w:p>
      <w:pPr>
        <w:pStyle w:val="Normal"/>
        <w:numPr>
          <w:ilvl w:val="0"/>
          <w:numId w:val="9"/>
        </w:numPr>
        <w:rPr/>
      </w:pPr>
      <w:r>
        <w:rPr/>
        <w:t xml:space="preserve">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obdobia, </w:t>
      </w:r>
    </w:p>
    <w:p>
      <w:pPr>
        <w:pStyle w:val="Normal"/>
        <w:numPr>
          <w:ilvl w:val="0"/>
          <w:numId w:val="9"/>
        </w:numPr>
        <w:rPr/>
      </w:pPr>
      <w:r>
        <w:rPr/>
        <w:t xml:space="preserve">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bežného účtovného obdobia a zostatok na konci bežného účtovného obdobia, </w:t>
      </w:r>
    </w:p>
    <w:p>
      <w:pPr>
        <w:pStyle w:val="Nadpis1"/>
        <w:ind w:left="-5" w:hanging="10"/>
        <w:rPr/>
      </w:pPr>
      <w:r>
        <w:rPr/>
        <w:t xml:space="preserve">- netvorili sa </w:t>
      </w:r>
    </w:p>
    <w:p>
      <w:pPr>
        <w:pStyle w:val="Normal"/>
        <w:ind w:left="-5" w:hanging="10"/>
        <w:rPr/>
      </w:pPr>
      <w:r>
        <w:rPr/>
        <w:t xml:space="preserve">c) prehľad o zostatkových cenách dlhodobého majetku na začiatku bežného účtovného obdobia a na konci bežného účtovného obdobia. </w:t>
      </w:r>
    </w:p>
    <w:p>
      <w:pPr>
        <w:pStyle w:val="Normal"/>
        <w:ind w:left="-5" w:hanging="10"/>
        <w:rPr/>
      </w:pPr>
      <w:r>
        <w:rPr/>
        <w:t xml:space="preserve">(2) Prehľad dlhodobého majetku, na ktorý je zriadené záložné právo a dlhodobého majetku, pri ktorom má účtovná jednotka obmedzené právo s ním nakladať. </w:t>
      </w:r>
    </w:p>
    <w:p>
      <w:pPr>
        <w:pStyle w:val="Nadpis1"/>
        <w:ind w:left="-5" w:hanging="10"/>
        <w:rPr/>
      </w:pPr>
      <w:r>
        <w:rPr/>
        <w:t xml:space="preserve">– </w:t>
      </w:r>
      <w:r>
        <w:rPr/>
        <w:t xml:space="preserve">nie je  </w:t>
      </w:r>
    </w:p>
    <w:p>
      <w:pPr>
        <w:pStyle w:val="Normal"/>
        <w:numPr>
          <w:ilvl w:val="0"/>
          <w:numId w:val="10"/>
        </w:numPr>
        <w:ind w:left="271" w:hanging="271"/>
        <w:rPr/>
      </w:pPr>
      <w:r>
        <w:rPr/>
        <w:t xml:space="preserve">Údaje o spôsobe a výške poistenia dlhodobého nehmotného majetku a dlhodobého hmotného majetku. </w:t>
      </w:r>
    </w:p>
    <w:p>
      <w:pPr>
        <w:pStyle w:val="Normal"/>
        <w:numPr>
          <w:ilvl w:val="0"/>
          <w:numId w:val="10"/>
        </w:numPr>
        <w:ind w:left="271" w:hanging="271"/>
        <w:rPr/>
      </w:pPr>
      <w:r>
        <w:rPr/>
        <w:t xml:space="preserve">Údaje o štruktúre dlhodobého finančného majetku za bežné účtovné obdobie a jeho umiestnenie v členení podľa položiek súvahy a o zmenách, ktoré sa uskutočnili v priebehu bežného účtovného obdobia v jednotlivých položkách dlhodobého  finančného  majetku. </w:t>
      </w:r>
    </w:p>
    <w:p>
      <w:pPr>
        <w:pStyle w:val="Normal"/>
        <w:numPr>
          <w:ilvl w:val="0"/>
          <w:numId w:val="10"/>
        </w:numPr>
        <w:ind w:left="271" w:hanging="271"/>
        <w:rPr/>
      </w:pPr>
      <w:r>
        <w:rPr/>
        <w:t xml:space="preserve">Informácia o výške tvorby, zníženia a zúčtovania opravných položiek k dlhodobému finančnému majetku a opis dôvodu ich tvorby, zníženia a zúčtovania. </w:t>
      </w:r>
    </w:p>
    <w:p>
      <w:pPr>
        <w:pStyle w:val="Nadpis1"/>
        <w:ind w:left="-5" w:hanging="10"/>
        <w:rPr/>
      </w:pPr>
      <w:r>
        <w:rPr/>
        <w:t xml:space="preserve">- netvorili sa </w:t>
      </w:r>
    </w:p>
    <w:p>
      <w:pPr>
        <w:pStyle w:val="Normal"/>
        <w:numPr>
          <w:ilvl w:val="0"/>
          <w:numId w:val="11"/>
        </w:numPr>
        <w:spacing w:before="0" w:after="10"/>
        <w:rPr/>
      </w:pPr>
      <w:r>
        <w:rPr/>
        <w:t xml:space="preserve">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  </w:t>
      </w:r>
    </w:p>
    <w:tbl>
      <w:tblPr>
        <w:tblStyle w:val="TableGrid"/>
        <w:tblW w:w="9926" w:type="dxa"/>
        <w:jc w:val="left"/>
        <w:tblInd w:w="139" w:type="dxa"/>
        <w:tblCellMar>
          <w:top w:w="51" w:type="dxa"/>
          <w:left w:w="106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4962"/>
        <w:gridCol w:w="2412"/>
        <w:gridCol w:w="2552"/>
      </w:tblGrid>
      <w:tr>
        <w:trPr>
          <w:trHeight w:val="768" w:hRule="atLeast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57" w:hanging="0"/>
              <w:jc w:val="center"/>
              <w:rPr/>
            </w:pPr>
            <w:r>
              <w:rPr/>
              <w:t xml:space="preserve"> </w:t>
            </w:r>
          </w:p>
          <w:p>
            <w:pPr>
              <w:pStyle w:val="Normal"/>
              <w:spacing w:lineRule="auto" w:line="259" w:before="0" w:after="0"/>
              <w:ind w:left="9" w:hanging="0"/>
              <w:jc w:val="center"/>
              <w:rPr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60" w:hanging="0"/>
              <w:jc w:val="left"/>
              <w:rPr/>
            </w:pPr>
            <w:r>
              <w:rPr>
                <w:b/>
              </w:rPr>
              <w:t xml:space="preserve">Bežné  účtovné obdobie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7" w:before="0" w:after="2"/>
              <w:ind w:left="0" w:hanging="0"/>
              <w:jc w:val="center"/>
              <w:rPr/>
            </w:pPr>
            <w:r>
              <w:rPr>
                <w:b/>
              </w:rPr>
              <w:t xml:space="preserve">Bezprostredne predchádzajúce účtovné </w:t>
            </w:r>
          </w:p>
          <w:p>
            <w:pPr>
              <w:pStyle w:val="Normal"/>
              <w:spacing w:lineRule="auto" w:line="259" w:before="0" w:after="0"/>
              <w:ind w:left="4" w:hanging="0"/>
              <w:jc w:val="center"/>
              <w:rPr/>
            </w:pPr>
            <w:r>
              <w:rPr>
                <w:b/>
              </w:rPr>
              <w:t xml:space="preserve">obdobie </w:t>
            </w:r>
          </w:p>
        </w:tc>
      </w:tr>
      <w:tr>
        <w:trPr>
          <w:trHeight w:val="401" w:hRule="atLeast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Pokladnica, ceniny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401" w:hRule="atLeast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Bežné bankové účty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>49</w:t>
            </w:r>
          </w:p>
        </w:tc>
      </w:tr>
      <w:tr>
        <w:trPr>
          <w:trHeight w:val="401" w:hRule="atLeast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Bankové účty termínované 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401" w:hRule="atLeast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Peniaze na ceste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401" w:hRule="atLeast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SPOLU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>49</w:t>
            </w:r>
          </w:p>
        </w:tc>
      </w:tr>
    </w:tbl>
    <w:p>
      <w:pPr>
        <w:pStyle w:val="Normal"/>
        <w:spacing w:lineRule="auto" w:line="259" w:before="0" w:after="100"/>
        <w:ind w:left="0" w:hanging="0"/>
        <w:jc w:val="left"/>
        <w:rPr/>
      </w:pPr>
      <w:r>
        <w:rPr/>
        <w:t xml:space="preserve"> </w:t>
      </w:r>
    </w:p>
    <w:p>
      <w:pPr>
        <w:pStyle w:val="Normal"/>
        <w:numPr>
          <w:ilvl w:val="0"/>
          <w:numId w:val="11"/>
        </w:numPr>
        <w:rPr/>
      </w:pPr>
      <w:r>
        <w:rPr/>
        <w:t xml:space="preserve">Prehľad 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zásobám. </w:t>
      </w:r>
    </w:p>
    <w:p>
      <w:pPr>
        <w:pStyle w:val="Nadpis1"/>
        <w:ind w:left="-5" w:hanging="10"/>
        <w:rPr/>
      </w:pPr>
      <w:r>
        <w:rPr/>
        <w:t xml:space="preserve">-netvorili sa </w:t>
      </w:r>
    </w:p>
    <w:p>
      <w:pPr>
        <w:pStyle w:val="Normal"/>
        <w:numPr>
          <w:ilvl w:val="0"/>
          <w:numId w:val="12"/>
        </w:numPr>
        <w:rPr/>
      </w:pPr>
      <w:r>
        <w:rPr/>
        <w:t xml:space="preserve">Opis významných pohľadávok v nadväznosti na položky súvahy a v členení na pohľadávky za hlavnú nezdaňovanú  činnosť,  zdaňovanú činnosť a podnikateľskú činnosť. </w:t>
      </w:r>
    </w:p>
    <w:p>
      <w:pPr>
        <w:pStyle w:val="Normal"/>
        <w:numPr>
          <w:ilvl w:val="0"/>
          <w:numId w:val="12"/>
        </w:numPr>
        <w:rPr/>
      </w:pPr>
      <w:r>
        <w:rPr/>
        <w:t xml:space="preserve">Prehľad 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pohľadávkam. </w:t>
      </w:r>
    </w:p>
    <w:p>
      <w:pPr>
        <w:pStyle w:val="Nadpis1"/>
        <w:ind w:left="-5" w:hanging="10"/>
        <w:rPr/>
      </w:pPr>
      <w:r>
        <w:rPr/>
        <w:t xml:space="preserve">- netvorili sa </w:t>
      </w:r>
    </w:p>
    <w:p>
      <w:pPr>
        <w:pStyle w:val="Normal"/>
        <w:spacing w:lineRule="auto" w:line="259" w:before="0" w:after="99"/>
        <w:ind w:left="-5" w:hanging="10"/>
        <w:jc w:val="left"/>
        <w:rPr/>
      </w:pPr>
      <w:r>
        <w:rPr/>
        <w:t xml:space="preserve">(10) Prehľad  pohľadávok do lehoty splatnosti a po lehote splatnosti. </w:t>
      </w:r>
    </w:p>
    <w:p>
      <w:pPr>
        <w:pStyle w:val="Normal"/>
        <w:ind w:left="-5" w:hanging="10"/>
        <w:rPr/>
      </w:pPr>
      <w:r>
        <w:rPr/>
        <w:t xml:space="preserve">(11)Prehľad významných položiek časového rozlíšenia nákladov budúcich období a príjmov budúcich období. </w:t>
      </w:r>
    </w:p>
    <w:p>
      <w:pPr>
        <w:pStyle w:val="Normal"/>
        <w:ind w:left="-5" w:hanging="10"/>
        <w:rPr/>
      </w:pPr>
      <w:r>
        <w:rPr/>
        <w:t xml:space="preserve">(12)Opis a výška zmien vlastných zdrojov krytia neobežného majetku a obežného majetku podľa položiek súvahy za bežné účtovné obdobie, a to  </w:t>
      </w:r>
    </w:p>
    <w:p>
      <w:pPr>
        <w:pStyle w:val="Normal"/>
        <w:numPr>
          <w:ilvl w:val="0"/>
          <w:numId w:val="13"/>
        </w:numPr>
        <w:ind w:left="180" w:hanging="180"/>
        <w:rPr/>
      </w:pPr>
      <w:r>
        <w:rPr/>
        <w:t xml:space="preserve">opis základného imania, nadačného imania v nadáciách, výška vkladov zakladateľov alebo zriaďovateľov, prioritný majetok v neziskových organizáciách poskytujúcich všeobecne prospešné služby, prevody zdrojov z fondov účtovnej jednotky a podobne; za jednotlivé položky sa uvádza stav na začiatku bežného účtovného obdobia, jednotlivé prírastky, úbytky, presuny a zostatok na konci bežného účtovného obdobia, </w:t>
      </w:r>
    </w:p>
    <w:p>
      <w:pPr>
        <w:pStyle w:val="Normal"/>
        <w:numPr>
          <w:ilvl w:val="0"/>
          <w:numId w:val="13"/>
        </w:numPr>
        <w:ind w:left="180" w:hanging="180"/>
        <w:rPr/>
      </w:pPr>
      <w:r>
        <w:rPr/>
        <w:t xml:space="preserve">opis jednotlivých druhov fondov, ktoré tvorí účtovná jednotka, stav na začiatku bežného účtovného obdobia, prírastky, úbytky, presuny a zostatok na konci bežného účtovného obdobia.  </w:t>
      </w:r>
    </w:p>
    <w:p>
      <w:pPr>
        <w:pStyle w:val="Normal"/>
        <w:numPr>
          <w:ilvl w:val="0"/>
          <w:numId w:val="14"/>
        </w:numPr>
        <w:ind w:left="372" w:hanging="372"/>
        <w:rPr/>
      </w:pPr>
      <w:r>
        <w:rPr/>
        <w:t xml:space="preserve">Informácia o rozdelení účtovného zisku alebo vysporiadaní účtovnej straty vykázanej v minulých účtovných obdobiach. </w:t>
      </w:r>
    </w:p>
    <w:p>
      <w:pPr>
        <w:pStyle w:val="Normal"/>
        <w:numPr>
          <w:ilvl w:val="0"/>
          <w:numId w:val="14"/>
        </w:numPr>
        <w:ind w:left="372" w:hanging="372"/>
        <w:rPr/>
      </w:pPr>
      <w:r>
        <w:rPr/>
        <w:t xml:space="preserve">Opis a výška cudzích zdrojov, a to </w:t>
      </w:r>
    </w:p>
    <w:p>
      <w:pPr>
        <w:pStyle w:val="Normal"/>
        <w:ind w:left="165" w:hanging="180"/>
        <w:rPr/>
      </w:pPr>
      <w:r>
        <w:rPr/>
        <w:t xml:space="preserve">a) údaje o jednotlivých druhoch rezerv, ktoré tvorí účtovná jednotka; uvádza sa stav rezerv na začiatku bežného účtovného obdobia, ich tvorba, zníženie, použitie alebo zrušenie počas bežného účtovného obdobia a zostatok rezervy na konci bežného účtovného obdobia, pričom sa uvedie predpokladaný rok použitia rezervy, </w:t>
      </w:r>
    </w:p>
    <w:p>
      <w:pPr>
        <w:pStyle w:val="Nadpis1"/>
        <w:ind w:left="-5" w:hanging="10"/>
        <w:rPr/>
      </w:pPr>
      <w:r>
        <w:rPr/>
        <w:t xml:space="preserve">- neboli tvorené </w:t>
      </w:r>
    </w:p>
    <w:p>
      <w:pPr>
        <w:pStyle w:val="Normal"/>
        <w:ind w:left="225" w:hanging="240"/>
        <w:rPr/>
      </w:pPr>
      <w:r>
        <w:rPr/>
        <w:t xml:space="preserve">b) údaje o významných položkách na účtoch 325 -  Ostatné záväzky a 379 – Iné záväzky; uvádza sa začiatočný stav, prírastky, úbytky a konečný zostatok podľa jednotlivých druhov  záväzkov, </w:t>
      </w:r>
    </w:p>
    <w:p>
      <w:pPr>
        <w:pStyle w:val="Normal"/>
        <w:ind w:left="-5" w:hanging="10"/>
        <w:rPr/>
      </w:pPr>
      <w:r>
        <w:rPr/>
        <w:t xml:space="preserve">- nie sú </w:t>
      </w:r>
    </w:p>
    <w:p>
      <w:pPr>
        <w:pStyle w:val="Normal"/>
        <w:numPr>
          <w:ilvl w:val="0"/>
          <w:numId w:val="15"/>
        </w:numPr>
        <w:ind w:left="211" w:hanging="211"/>
        <w:rPr/>
      </w:pPr>
      <w:r>
        <w:rPr/>
        <w:t xml:space="preserve">prehľad  o výške záväzkov do lehoty splatnosti a po lehote splatnosti, </w:t>
      </w:r>
    </w:p>
    <w:p>
      <w:pPr>
        <w:pStyle w:val="Normal"/>
        <w:numPr>
          <w:ilvl w:val="0"/>
          <w:numId w:val="15"/>
        </w:numPr>
        <w:ind w:left="211" w:hanging="211"/>
        <w:rPr/>
      </w:pPr>
      <w:r>
        <w:rPr/>
        <w:t xml:space="preserve">prehľad o výške záväzkov podľa zostatkovej doby splatnosti v členení podľa položiek súvahy  </w:t>
      </w:r>
    </w:p>
    <w:p>
      <w:pPr>
        <w:sectPr>
          <w:footerReference w:type="default" r:id="rId2"/>
          <w:type w:val="nextPage"/>
          <w:pgSz w:w="11906" w:h="16838"/>
          <w:pgMar w:left="852" w:right="843" w:header="0" w:top="857" w:footer="943" w:bottom="1845" w:gutter="0"/>
          <w:pgNumType w:start="7"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Normal"/>
        <w:numPr>
          <w:ilvl w:val="0"/>
          <w:numId w:val="16"/>
        </w:numPr>
        <w:ind w:left="201" w:hanging="201"/>
        <w:rPr/>
      </w:pPr>
      <w:r>
        <w:rPr/>
        <w:t xml:space="preserve">do jedného roka vrátane, </w:t>
      </w:r>
    </w:p>
    <w:p>
      <w:pPr>
        <w:pStyle w:val="Normal"/>
        <w:numPr>
          <w:ilvl w:val="0"/>
          <w:numId w:val="16"/>
        </w:numPr>
        <w:ind w:left="201" w:hanging="201"/>
        <w:rPr/>
      </w:pPr>
      <w:r>
        <w:rPr/>
        <w:t xml:space="preserve">od jedného roka do piatich rokov vrátane, </w:t>
      </w:r>
    </w:p>
    <w:p>
      <w:pPr>
        <w:pStyle w:val="Normal"/>
        <w:numPr>
          <w:ilvl w:val="0"/>
          <w:numId w:val="16"/>
        </w:numPr>
        <w:ind w:left="201" w:hanging="201"/>
        <w:rPr/>
      </w:pPr>
      <w:r>
        <w:rPr/>
        <w:t xml:space="preserve">viac ako päť rokov, </w:t>
      </w:r>
    </w:p>
    <w:p>
      <w:pPr>
        <w:pStyle w:val="Normal"/>
        <w:ind w:left="165" w:hanging="180"/>
        <w:rPr/>
      </w:pPr>
      <w:r>
        <w:rPr/>
        <w:t xml:space="preserve">e) prehľad o záväzkoch zo sociálneho fondu; uvádza sa začiatočný stav, tvorba a čerpanie sociálneho fondu počas účtovného obdobia a zostatok na konci účtovného obdobia, </w:t>
      </w:r>
    </w:p>
    <w:p>
      <w:pPr>
        <w:pStyle w:val="Nadpis1"/>
        <w:ind w:left="-5" w:hanging="10"/>
        <w:rPr/>
      </w:pPr>
      <w:r>
        <w:rPr/>
        <w:t xml:space="preserve">- nie je  </w:t>
      </w:r>
    </w:p>
    <w:p>
      <w:pPr>
        <w:pStyle w:val="Normal"/>
        <w:numPr>
          <w:ilvl w:val="0"/>
          <w:numId w:val="17"/>
        </w:numPr>
        <w:ind w:left="211" w:hanging="211"/>
        <w:rPr/>
      </w:pPr>
      <w:r>
        <w:rPr/>
        <w:t xml:space="preserve">prehľad o bankových úveroch, pôžičkách a návratných finančných výpomociach s uvedením meny, v ktorej boli poskytnuté, druhu, hodnoty v cudzej mene a hodnoty v eurách ku dňu, ku ktorému sa zostavuje účtovná závierka, výšky úroku, splatnosti a formy zabezpečenia, </w:t>
      </w:r>
    </w:p>
    <w:p>
      <w:pPr>
        <w:pStyle w:val="Normal"/>
        <w:numPr>
          <w:ilvl w:val="0"/>
          <w:numId w:val="17"/>
        </w:numPr>
        <w:spacing w:before="0" w:after="227"/>
        <w:ind w:left="211" w:hanging="211"/>
        <w:rPr/>
      </w:pPr>
      <w:r>
        <w:rPr/>
        <w:t xml:space="preserve">prehľad o významných položkách časového rozlíšenia výdavkov budúcich období. </w:t>
      </w:r>
    </w:p>
    <w:p>
      <w:pPr>
        <w:pStyle w:val="Normal"/>
        <w:spacing w:before="0" w:after="230"/>
        <w:ind w:left="-5" w:hanging="10"/>
        <w:rPr/>
      </w:pPr>
      <w:r>
        <w:rPr/>
        <w:t xml:space="preserve">- nie sú </w:t>
      </w:r>
    </w:p>
    <w:p>
      <w:pPr>
        <w:pStyle w:val="Normal"/>
        <w:ind w:left="-5" w:hanging="10"/>
        <w:rPr/>
      </w:pPr>
      <w:r>
        <w:rPr/>
        <w:t xml:space="preserve">(15) Prehľad o významných položkách výnosov budúcich období v členení najmä na </w:t>
      </w:r>
    </w:p>
    <w:p>
      <w:pPr>
        <w:pStyle w:val="Normal"/>
        <w:numPr>
          <w:ilvl w:val="0"/>
          <w:numId w:val="18"/>
        </w:numPr>
        <w:ind w:left="211" w:hanging="211"/>
        <w:rPr/>
      </w:pPr>
      <w:r>
        <w:rPr/>
        <w:t xml:space="preserve">zostatkovú hodnotu bezodplatne nadobudnutého dlhodobého majetku, </w:t>
      </w:r>
    </w:p>
    <w:p>
      <w:pPr>
        <w:pStyle w:val="Normal"/>
        <w:numPr>
          <w:ilvl w:val="0"/>
          <w:numId w:val="18"/>
        </w:numPr>
        <w:ind w:left="211" w:hanging="211"/>
        <w:rPr/>
      </w:pPr>
      <w:r>
        <w:rPr/>
        <w:t xml:space="preserve">zostatkovú hodnotu dlhodobého majetku obstaraného z dotácie, </w:t>
      </w:r>
    </w:p>
    <w:p>
      <w:pPr>
        <w:pStyle w:val="Normal"/>
        <w:numPr>
          <w:ilvl w:val="0"/>
          <w:numId w:val="18"/>
        </w:numPr>
        <w:ind w:left="211" w:hanging="211"/>
        <w:rPr/>
      </w:pPr>
      <w:r>
        <w:rPr/>
        <w:t xml:space="preserve">zostatok nepoužitej dotácie alebo grantu, </w:t>
      </w:r>
    </w:p>
    <w:p>
      <w:pPr>
        <w:pStyle w:val="Normal"/>
        <w:numPr>
          <w:ilvl w:val="0"/>
          <w:numId w:val="18"/>
        </w:numPr>
        <w:ind w:left="211" w:hanging="211"/>
        <w:rPr/>
      </w:pPr>
      <w:r>
        <w:rPr/>
        <w:t xml:space="preserve">zostatok nepoužitej časti podielu zaplatenej dane, </w:t>
      </w:r>
    </w:p>
    <w:p>
      <w:pPr>
        <w:pStyle w:val="Normal"/>
        <w:numPr>
          <w:ilvl w:val="0"/>
          <w:numId w:val="18"/>
        </w:numPr>
        <w:spacing w:before="0" w:after="227"/>
        <w:ind w:left="211" w:hanging="211"/>
        <w:rPr/>
      </w:pPr>
      <w:r>
        <w:rPr/>
        <w:t xml:space="preserve">zostatkovú hodnotu dlhodobého majetku obstaraného z podielu zaplatenej dane. – nie je  </w:t>
      </w:r>
    </w:p>
    <w:p>
      <w:pPr>
        <w:pStyle w:val="Normal"/>
        <w:ind w:left="-5" w:hanging="10"/>
        <w:rPr/>
      </w:pPr>
      <w:r>
        <w:rPr/>
        <w:t xml:space="preserve">(16) Údaje o majetku prenajatom formou finančného prenájmu, a to </w:t>
      </w:r>
    </w:p>
    <w:p>
      <w:pPr>
        <w:pStyle w:val="Normal"/>
        <w:numPr>
          <w:ilvl w:val="0"/>
          <w:numId w:val="19"/>
        </w:numPr>
        <w:ind w:left="213" w:hanging="213"/>
        <w:rPr/>
      </w:pPr>
      <w:r>
        <w:rPr/>
        <w:t xml:space="preserve">celková suma dohodnutých platieb ku dňu, ku ktorému sa zostavuje účtovná závierka, v členení na istinu a finančný náklad, - nie je  </w:t>
      </w:r>
    </w:p>
    <w:p>
      <w:pPr>
        <w:pStyle w:val="Normal"/>
        <w:numPr>
          <w:ilvl w:val="0"/>
          <w:numId w:val="19"/>
        </w:numPr>
        <w:ind w:left="213" w:hanging="213"/>
        <w:rPr/>
      </w:pPr>
      <w:r>
        <w:rPr/>
        <w:t xml:space="preserve">suma istiny a finančného nákladu podľa doby splatnosti  </w:t>
      </w:r>
    </w:p>
    <w:p>
      <w:pPr>
        <w:pStyle w:val="Normal"/>
        <w:numPr>
          <w:ilvl w:val="1"/>
          <w:numId w:val="19"/>
        </w:numPr>
        <w:spacing w:before="0" w:after="136"/>
        <w:ind w:left="921" w:hanging="201"/>
        <w:rPr/>
      </w:pPr>
      <w:r>
        <w:rPr/>
        <w:t xml:space="preserve">do jedného roka vrátane, </w:t>
      </w:r>
    </w:p>
    <w:p>
      <w:pPr>
        <w:pStyle w:val="Normal"/>
        <w:numPr>
          <w:ilvl w:val="1"/>
          <w:numId w:val="19"/>
        </w:numPr>
        <w:ind w:left="921" w:hanging="201"/>
        <w:rPr/>
      </w:pPr>
      <w:r>
        <w:rPr/>
        <w:t xml:space="preserve">od jedného roka do piatich rokov vrátane, </w:t>
      </w:r>
    </w:p>
    <w:p>
      <w:pPr>
        <w:pStyle w:val="Normal"/>
        <w:numPr>
          <w:ilvl w:val="1"/>
          <w:numId w:val="19"/>
        </w:numPr>
        <w:ind w:left="921" w:hanging="201"/>
        <w:rPr/>
      </w:pPr>
      <w:r>
        <w:rPr/>
        <w:t xml:space="preserve">viac ako päť rokov. </w:t>
      </w:r>
    </w:p>
    <w:p>
      <w:pPr>
        <w:pStyle w:val="Normal"/>
        <w:spacing w:lineRule="auto" w:line="259" w:before="0" w:after="9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99"/>
        <w:ind w:left="10" w:right="45" w:hanging="10"/>
        <w:jc w:val="center"/>
        <w:rPr/>
      </w:pPr>
      <w:r>
        <w:rPr>
          <w:b/>
        </w:rPr>
        <w:t xml:space="preserve">Čl. IV </w:t>
      </w:r>
    </w:p>
    <w:p>
      <w:pPr>
        <w:pStyle w:val="Normal"/>
        <w:spacing w:lineRule="auto" w:line="259" w:before="0" w:after="99"/>
        <w:ind w:left="10" w:right="43" w:hanging="10"/>
        <w:jc w:val="center"/>
        <w:rPr/>
      </w:pPr>
      <w:r>
        <w:rPr>
          <w:b/>
        </w:rPr>
        <w:t xml:space="preserve">Informácie, ktoré dopĺňajú a vysvetľujú údaje vo výkaze ziskov a strát </w:t>
      </w:r>
    </w:p>
    <w:p>
      <w:pPr>
        <w:pStyle w:val="Normal"/>
        <w:numPr>
          <w:ilvl w:val="0"/>
          <w:numId w:val="20"/>
        </w:numPr>
        <w:ind w:left="272" w:hanging="272"/>
        <w:rPr/>
      </w:pPr>
      <w:r>
        <w:rPr/>
        <w:t xml:space="preserve">Prehľad tržieb za vlastné výkony a tovar s uvedením ich opisu a vyčíslením hodnoty tržieb podľa jednotlivých hlavných druhov výrobkov,  služieb hlavnej činnosti a podnikateľskej činnosti účtovnej jednotky. </w:t>
      </w:r>
    </w:p>
    <w:p>
      <w:pPr>
        <w:pStyle w:val="Normal"/>
        <w:numPr>
          <w:ilvl w:val="0"/>
          <w:numId w:val="20"/>
        </w:numPr>
        <w:ind w:left="272" w:hanging="272"/>
        <w:rPr/>
      </w:pPr>
      <w:r>
        <w:rPr/>
        <w:t xml:space="preserve">Opis a vyčíslenie hodnoty významných položiek prijatých darov, osobitných výnosov, zákonných poplatkov a iných ostatných výnosov.  </w:t>
      </w:r>
    </w:p>
    <w:p>
      <w:pPr>
        <w:pStyle w:val="Normal"/>
        <w:numPr>
          <w:ilvl w:val="0"/>
          <w:numId w:val="20"/>
        </w:numPr>
        <w:ind w:left="272" w:hanging="272"/>
        <w:rPr/>
      </w:pPr>
      <w:r>
        <w:rPr/>
        <w:t xml:space="preserve">Prehľad  dotácií a grantov, ktoré účtovná jednotka prijala v priebehu bežného účtovného obdobia. </w:t>
      </w:r>
    </w:p>
    <w:p>
      <w:pPr>
        <w:pStyle w:val="Normal"/>
        <w:numPr>
          <w:ilvl w:val="0"/>
          <w:numId w:val="20"/>
        </w:numPr>
        <w:ind w:left="272" w:hanging="272"/>
        <w:rPr/>
      </w:pPr>
      <w:r>
        <w:rPr/>
        <w:t xml:space="preserve">Opis a suma významných položiek finančných výnosov; uvádza sa aj celková suma kurzových ziskov, pričom  osobitne sa uvádza hodnota kurzových ziskov účtovaná ku dňu, ku ktorému sa zostavuje účtovná závierka. </w:t>
      </w:r>
    </w:p>
    <w:p>
      <w:pPr>
        <w:pStyle w:val="Normal"/>
        <w:numPr>
          <w:ilvl w:val="0"/>
          <w:numId w:val="20"/>
        </w:numPr>
        <w:ind w:left="272" w:hanging="272"/>
        <w:rPr/>
      </w:pPr>
      <w:r>
        <w:rPr/>
        <w:t xml:space="preserve">Opis a vyčíslenie hodnoty významných položiek nákladov, nákladov na ostatné služby, osobitných nákladov a iných ostatných nákladov.  </w:t>
      </w:r>
    </w:p>
    <w:p>
      <w:pPr>
        <w:pStyle w:val="Normal"/>
        <w:spacing w:lineRule="auto" w:line="259" w:before="0" w:after="9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100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9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/>
        <w:t xml:space="preserve"> </w:t>
      </w:r>
    </w:p>
    <w:tbl>
      <w:tblPr>
        <w:tblStyle w:val="TableGrid"/>
        <w:tblW w:w="9926" w:type="dxa"/>
        <w:jc w:val="left"/>
        <w:tblInd w:w="142" w:type="dxa"/>
        <w:tblCellMar>
          <w:top w:w="50" w:type="dxa"/>
          <w:left w:w="108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4962"/>
        <w:gridCol w:w="2410"/>
        <w:gridCol w:w="2554"/>
      </w:tblGrid>
      <w:tr>
        <w:trPr>
          <w:trHeight w:val="766" w:hRule="atLeast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55" w:hanging="0"/>
              <w:jc w:val="center"/>
              <w:rPr/>
            </w:pPr>
            <w:r>
              <w:rPr/>
              <w:t xml:space="preserve"> </w:t>
            </w:r>
          </w:p>
          <w:p>
            <w:pPr>
              <w:pStyle w:val="Normal"/>
              <w:spacing w:lineRule="auto" w:line="259" w:before="0" w:after="0"/>
              <w:ind w:left="7" w:hanging="0"/>
              <w:jc w:val="center"/>
              <w:rPr/>
            </w:pPr>
            <w:r>
              <w:rPr>
                <w:b/>
              </w:rPr>
              <w:t xml:space="preserve">Náklady </w:t>
            </w:r>
          </w:p>
          <w:p>
            <w:pPr>
              <w:pStyle w:val="Normal"/>
              <w:spacing w:lineRule="auto" w:line="259" w:before="0" w:after="0"/>
              <w:ind w:left="55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58" w:hanging="0"/>
              <w:jc w:val="left"/>
              <w:rPr/>
            </w:pPr>
            <w:r>
              <w:rPr>
                <w:b/>
              </w:rPr>
              <w:t xml:space="preserve">Bežné  účtovné obdobie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7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Bezprostredne predchádzajúce účtovné </w:t>
            </w:r>
          </w:p>
          <w:p>
            <w:pPr>
              <w:pStyle w:val="Normal"/>
              <w:spacing w:lineRule="auto" w:line="259" w:before="0" w:after="0"/>
              <w:ind w:left="4" w:hanging="0"/>
              <w:jc w:val="center"/>
              <w:rPr/>
            </w:pPr>
            <w:r>
              <w:rPr>
                <w:b/>
              </w:rPr>
              <w:t xml:space="preserve">obdobie </w:t>
            </w:r>
          </w:p>
        </w:tc>
      </w:tr>
      <w:tr>
        <w:trPr>
          <w:trHeight w:val="401" w:hRule="atLeast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Ostatné služby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</w:r>
          </w:p>
        </w:tc>
      </w:tr>
      <w:tr>
        <w:trPr>
          <w:trHeight w:val="401" w:hRule="atLeast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Ostatné náklady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>88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>110</w:t>
            </w:r>
          </w:p>
        </w:tc>
      </w:tr>
      <w:tr>
        <w:trPr>
          <w:trHeight w:val="403" w:hRule="atLeast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Spolu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>88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>110</w:t>
            </w:r>
          </w:p>
        </w:tc>
      </w:tr>
    </w:tbl>
    <w:p>
      <w:pPr>
        <w:pStyle w:val="Normal"/>
        <w:spacing w:lineRule="auto" w:line="259" w:before="0" w:after="98"/>
        <w:ind w:left="0" w:hanging="0"/>
        <w:jc w:val="left"/>
        <w:rPr/>
      </w:pPr>
      <w:r>
        <w:rPr/>
        <w:t xml:space="preserve"> </w:t>
      </w:r>
    </w:p>
    <w:p>
      <w:pPr>
        <w:pStyle w:val="Normal"/>
        <w:numPr>
          <w:ilvl w:val="0"/>
          <w:numId w:val="20"/>
        </w:numPr>
        <w:ind w:left="272" w:hanging="272"/>
        <w:rPr/>
      </w:pPr>
      <w:r>
        <w:rPr/>
        <w:t xml:space="preserve">Prehľad o účele a výške použitia podielu zaplatenej dane za bežné účtovné obdobie. </w:t>
      </w:r>
    </w:p>
    <w:p>
      <w:pPr>
        <w:pStyle w:val="Normal"/>
        <w:numPr>
          <w:ilvl w:val="0"/>
          <w:numId w:val="20"/>
        </w:numPr>
        <w:ind w:left="272" w:hanging="272"/>
        <w:rPr/>
      </w:pPr>
      <w:r>
        <w:rPr/>
        <w:t xml:space="preserve">Opis a suma významných položiek finančných nákladov; uvádza sa aj celková suma kurzových strát, pričom osobitne sa uvádza hodnota kurzových strát účtovaná ku dňu, ku ktorému sa zostavuje účtovná závierka. </w:t>
      </w:r>
    </w:p>
    <w:p>
      <w:pPr>
        <w:pStyle w:val="Normal"/>
        <w:numPr>
          <w:ilvl w:val="0"/>
          <w:numId w:val="20"/>
        </w:numPr>
        <w:ind w:left="272" w:hanging="272"/>
        <w:rPr/>
      </w:pPr>
      <w:r>
        <w:rPr/>
        <w:t xml:space="preserve">V účtovnej jednotke, ktorá má povinnosť overenia účtovnej závierky audítorom, sa uvedie vymedzenie a suma nákladov za účtovné obdobie v členení na náklady za: nemá a) overenie účtovnej závierky, </w:t>
      </w:r>
    </w:p>
    <w:p>
      <w:pPr>
        <w:pStyle w:val="Normal"/>
        <w:numPr>
          <w:ilvl w:val="0"/>
          <w:numId w:val="21"/>
        </w:numPr>
        <w:ind w:left="211" w:hanging="211"/>
        <w:rPr/>
      </w:pPr>
      <w:r>
        <w:rPr/>
        <w:t xml:space="preserve">uisťovacie audítorské služby okrem  overenia účtovnej závierky, </w:t>
      </w:r>
    </w:p>
    <w:p>
      <w:pPr>
        <w:pStyle w:val="Normal"/>
        <w:numPr>
          <w:ilvl w:val="0"/>
          <w:numId w:val="21"/>
        </w:numPr>
        <w:ind w:left="211" w:hanging="211"/>
        <w:rPr/>
      </w:pPr>
      <w:r>
        <w:rPr/>
        <w:t xml:space="preserve">súvisiace audítorské služby, </w:t>
      </w:r>
    </w:p>
    <w:p>
      <w:pPr>
        <w:pStyle w:val="Normal"/>
        <w:numPr>
          <w:ilvl w:val="0"/>
          <w:numId w:val="21"/>
        </w:numPr>
        <w:ind w:left="211" w:hanging="211"/>
        <w:rPr/>
      </w:pPr>
      <w:r>
        <w:rPr/>
        <w:t xml:space="preserve">daňové poradenstvo, </w:t>
      </w:r>
    </w:p>
    <w:p>
      <w:pPr>
        <w:pStyle w:val="Normal"/>
        <w:numPr>
          <w:ilvl w:val="0"/>
          <w:numId w:val="21"/>
        </w:numPr>
        <w:ind w:left="211" w:hanging="211"/>
        <w:rPr/>
      </w:pPr>
      <w:r>
        <w:rPr/>
        <w:t xml:space="preserve">ostatné neaudítorské služby. </w:t>
      </w:r>
    </w:p>
    <w:p>
      <w:pPr>
        <w:pStyle w:val="Normal"/>
        <w:spacing w:lineRule="auto" w:line="259" w:before="0" w:after="99"/>
        <w:ind w:left="10" w:right="47" w:hanging="10"/>
        <w:jc w:val="center"/>
        <w:rPr/>
      </w:pPr>
      <w:r>
        <w:rPr>
          <w:b/>
        </w:rPr>
        <w:t xml:space="preserve">Čl. V </w:t>
      </w:r>
    </w:p>
    <w:p>
      <w:pPr>
        <w:pStyle w:val="Normal"/>
        <w:spacing w:lineRule="auto" w:line="259" w:before="0" w:after="99"/>
        <w:ind w:left="10" w:right="43" w:hanging="10"/>
        <w:jc w:val="center"/>
        <w:rPr/>
      </w:pPr>
      <w:r>
        <w:rPr>
          <w:b/>
        </w:rPr>
        <w:t xml:space="preserve">Opis údajov na podsúvahových účtoch </w:t>
      </w:r>
    </w:p>
    <w:p>
      <w:pPr>
        <w:pStyle w:val="Normal"/>
        <w:spacing w:lineRule="auto" w:line="350" w:before="0" w:after="0"/>
        <w:ind w:left="-5" w:right="477" w:hanging="10"/>
        <w:rPr/>
      </w:pPr>
      <w:r>
        <w:rPr/>
        <w:t xml:space="preserve">Významné položky prenajatého majetku, majetku prijatého do úschovy,  odpísané pohľadávky a prípadné ďalšie položky. - Nie sú </w:t>
      </w:r>
    </w:p>
    <w:p>
      <w:pPr>
        <w:pStyle w:val="Normal"/>
        <w:spacing w:lineRule="auto" w:line="259" w:before="0" w:after="99"/>
        <w:ind w:left="10" w:right="45" w:hanging="10"/>
        <w:jc w:val="center"/>
        <w:rPr/>
      </w:pPr>
      <w:r>
        <w:rPr>
          <w:b/>
        </w:rPr>
        <w:t xml:space="preserve">Čl. VI </w:t>
      </w:r>
    </w:p>
    <w:p>
      <w:pPr>
        <w:pStyle w:val="Normal"/>
        <w:spacing w:lineRule="auto" w:line="259" w:before="0" w:after="99"/>
        <w:ind w:left="10" w:right="46" w:hanging="10"/>
        <w:jc w:val="center"/>
        <w:rPr/>
      </w:pPr>
      <w:r>
        <w:rPr>
          <w:b/>
        </w:rPr>
        <w:t xml:space="preserve">Ďalšie informácie </w:t>
      </w:r>
    </w:p>
    <w:p>
      <w:pPr>
        <w:pStyle w:val="Normal"/>
        <w:numPr>
          <w:ilvl w:val="0"/>
          <w:numId w:val="22"/>
        </w:numPr>
        <w:rPr/>
      </w:pPr>
      <w:r>
        <w:rPr/>
        <w:t xml:space="preserve"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 </w:t>
      </w:r>
    </w:p>
    <w:p>
      <w:pPr>
        <w:pStyle w:val="Normal"/>
        <w:numPr>
          <w:ilvl w:val="0"/>
          <w:numId w:val="22"/>
        </w:numPr>
        <w:rPr/>
      </w:pPr>
      <w:r>
        <w:rPr/>
        <w:t xml:space="preserve">Opis a hodnota iných pasív vyplývajúcich zo súdnych rozhodnutí, z poskytnutých záruk, zo všeobecne záväzných právnych predpisov, z ručenia podľa jednotlivých druhov ručenia;  takýmito inými pasívami sú: </w:t>
      </w:r>
    </w:p>
    <w:p>
      <w:pPr>
        <w:pStyle w:val="Normal"/>
        <w:numPr>
          <w:ilvl w:val="0"/>
          <w:numId w:val="23"/>
        </w:numPr>
        <w:rPr/>
      </w:pPr>
      <w:r>
        <w:rPr/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pStyle w:val="Normal"/>
        <w:numPr>
          <w:ilvl w:val="0"/>
          <w:numId w:val="23"/>
        </w:numPr>
        <w:rPr/>
      </w:pPr>
      <w:r>
        <w:rPr/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>
      <w:pPr>
        <w:pStyle w:val="Normal"/>
        <w:ind w:left="-5" w:hanging="10"/>
        <w:rPr/>
      </w:pPr>
      <w:r>
        <w:rPr/>
        <w:t xml:space="preserve">(3) Opis významných položiek ostatných finančných povinností, ktoré sa nesledujú v účtovníctve a neuvádzajú sa v súvahe; pri každej položke sa uvádza jej opis, výška a údaj, či sa týka spriaznených osôb, a to a) povinnosť z devízových termínovaných obchodov a iných finančných derivátov, </w:t>
      </w:r>
    </w:p>
    <w:p>
      <w:pPr>
        <w:pStyle w:val="Normal"/>
        <w:numPr>
          <w:ilvl w:val="0"/>
          <w:numId w:val="24"/>
        </w:numPr>
        <w:ind w:left="211" w:hanging="211"/>
        <w:rPr/>
      </w:pPr>
      <w:r>
        <w:rPr/>
        <w:t xml:space="preserve">povinnosť z opčných obchodov, </w:t>
      </w:r>
    </w:p>
    <w:p>
      <w:pPr>
        <w:pStyle w:val="Normal"/>
        <w:numPr>
          <w:ilvl w:val="0"/>
          <w:numId w:val="24"/>
        </w:numPr>
        <w:ind w:left="211" w:hanging="211"/>
        <w:rPr/>
      </w:pPr>
      <w:r>
        <w:rPr/>
        <w:t xml:space="preserve">zákonná povinnosť alebo zmluvná povinnosť odobrať určité produkty alebo služby, napríklad z dodávateľských alebo odberateľských zmlúv, </w:t>
      </w:r>
    </w:p>
    <w:p>
      <w:pPr>
        <w:pStyle w:val="Normal"/>
        <w:numPr>
          <w:ilvl w:val="0"/>
          <w:numId w:val="24"/>
        </w:numPr>
        <w:spacing w:lineRule="auto" w:line="350"/>
        <w:ind w:left="211" w:hanging="211"/>
        <w:rPr/>
      </w:pPr>
      <w:r>
        <w:rPr/>
        <w:t xml:space="preserve">povinnosť z leasingových, nájomných, servisných, poistných, koncesionárskych, licenčných zmlúv a podobných zmlúv, e) iné povinnosti.  </w:t>
      </w:r>
    </w:p>
    <w:p>
      <w:pPr>
        <w:pStyle w:val="Normal"/>
        <w:numPr>
          <w:ilvl w:val="0"/>
          <w:numId w:val="25"/>
        </w:numPr>
        <w:ind w:left="271" w:hanging="271"/>
        <w:rPr/>
      </w:pPr>
      <w:r>
        <w:rPr/>
        <w:t xml:space="preserve">Prehľad nehnuteľných kultúrnych pamiatok, ktoré sú v správe alebo vo vlastníctve účtovnej jednotky. </w:t>
      </w:r>
    </w:p>
    <w:p>
      <w:pPr>
        <w:pStyle w:val="Normal"/>
        <w:numPr>
          <w:ilvl w:val="0"/>
          <w:numId w:val="25"/>
        </w:numPr>
        <w:ind w:left="271" w:hanging="271"/>
        <w:rPr/>
      </w:pPr>
      <w:r>
        <w:rPr/>
        <w:t xml:space="preserve">Informácie o významných skutočnostiach, ktoré nastali medzi dňom, ku ktorému sa zostavuje účtovná závierka a dňom jej zostavenia. </w:t>
      </w:r>
    </w:p>
    <w:p>
      <w:pPr>
        <w:pStyle w:val="Normal"/>
        <w:spacing w:lineRule="auto" w:line="259" w:before="0" w:after="9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left="-5" w:hanging="10"/>
        <w:jc w:val="left"/>
        <w:rPr/>
      </w:pPr>
      <w:r>
        <w:rPr>
          <w:b/>
        </w:rPr>
        <w:t xml:space="preserve">Vzorová tabuľka k čl. I ods.  4 o počte zamestnancov a dobrovoľníkov </w:t>
      </w:r>
    </w:p>
    <w:tbl>
      <w:tblPr>
        <w:tblStyle w:val="TableGrid"/>
        <w:tblW w:w="9926" w:type="dxa"/>
        <w:jc w:val="left"/>
        <w:tblInd w:w="142" w:type="dxa"/>
        <w:tblCellMar>
          <w:top w:w="50" w:type="dxa"/>
          <w:left w:w="108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4962"/>
        <w:gridCol w:w="2410"/>
        <w:gridCol w:w="2554"/>
      </w:tblGrid>
      <w:tr>
        <w:trPr>
          <w:trHeight w:val="766" w:hRule="atLeast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58" w:hanging="0"/>
              <w:jc w:val="left"/>
              <w:rPr/>
            </w:pPr>
            <w:r>
              <w:rPr>
                <w:b/>
              </w:rPr>
              <w:t xml:space="preserve">Bežné  účtovné obdobie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7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Bezprostredne predchádzajúce účtovné </w:t>
            </w:r>
          </w:p>
          <w:p>
            <w:pPr>
              <w:pStyle w:val="Normal"/>
              <w:spacing w:lineRule="auto" w:line="259" w:before="0" w:after="0"/>
              <w:ind w:left="4" w:hanging="0"/>
              <w:jc w:val="center"/>
              <w:rPr/>
            </w:pPr>
            <w:r>
              <w:rPr>
                <w:b/>
              </w:rPr>
              <w:t xml:space="preserve">obdobie </w:t>
            </w:r>
          </w:p>
        </w:tc>
      </w:tr>
      <w:tr>
        <w:trPr>
          <w:trHeight w:val="401" w:hRule="atLeast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Priemerný prepočítaný počet zamestnancov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0 </w:t>
            </w:r>
          </w:p>
        </w:tc>
      </w:tr>
      <w:tr>
        <w:trPr>
          <w:trHeight w:val="401" w:hRule="atLeast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z toho  počet vedúcich zamestnancov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0 </w:t>
            </w:r>
          </w:p>
        </w:tc>
      </w:tr>
      <w:tr>
        <w:trPr>
          <w:trHeight w:val="401" w:hRule="atLeast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Počet dobrovoľníkov vyslaných účtovnou jednotkou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0 </w:t>
            </w:r>
          </w:p>
        </w:tc>
      </w:tr>
      <w:tr>
        <w:trPr>
          <w:trHeight w:val="516" w:hRule="atLeast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0 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lineRule="auto" w:line="259" w:before="0" w:after="218"/>
        <w:ind w:left="0" w:hanging="0"/>
        <w:jc w:val="right"/>
        <w:rPr/>
      </w:pPr>
      <w:r>
        <w:rPr>
          <w:sz w:val="20"/>
        </w:rPr>
        <w:t xml:space="preserve"> </w:t>
      </w:r>
    </w:p>
    <w:p>
      <w:pPr>
        <w:pStyle w:val="Normal"/>
        <w:spacing w:lineRule="auto" w:line="259" w:before="0" w:after="235"/>
        <w:ind w:left="0" w:hanging="0"/>
        <w:jc w:val="left"/>
        <w:rPr/>
      </w:pPr>
      <w:r>
        <w:rPr>
          <w:sz w:val="20"/>
        </w:rPr>
        <w:t xml:space="preserve"> </w:t>
      </w:r>
    </w:p>
    <w:p>
      <w:pPr>
        <w:pStyle w:val="Normal"/>
        <w:spacing w:lineRule="auto" w:line="259" w:before="0" w:after="0"/>
        <w:ind w:left="-5" w:hanging="10"/>
        <w:jc w:val="left"/>
        <w:rPr/>
      </w:pPr>
      <w:r>
        <w:rPr>
          <w:b/>
        </w:rPr>
        <w:t xml:space="preserve">Vzorová tabuľka  k čl. III ods. 1 o stave a pohybe dlhodobého nehmotného majetku a dlhodobého hmotného majetku Tabuľka č. 1 </w:t>
      </w:r>
    </w:p>
    <w:tbl>
      <w:tblPr>
        <w:tblStyle w:val="TableGrid"/>
        <w:tblW w:w="10658" w:type="dxa"/>
        <w:jc w:val="left"/>
        <w:tblInd w:w="-70" w:type="dxa"/>
        <w:tblCellMar>
          <w:top w:w="50" w:type="dxa"/>
          <w:left w:w="106" w:type="dxa"/>
          <w:bottom w:w="0" w:type="dxa"/>
          <w:right w:w="58" w:type="dxa"/>
        </w:tblCellMar>
        <w:tblLook w:firstRow="1" w:noVBand="1" w:lastRow="0" w:firstColumn="1" w:lastColumn="0" w:noHBand="0" w:val="04a0"/>
      </w:tblPr>
      <w:tblGrid>
        <w:gridCol w:w="1901"/>
        <w:gridCol w:w="1239"/>
        <w:gridCol w:w="922"/>
        <w:gridCol w:w="1313"/>
        <w:gridCol w:w="1216"/>
        <w:gridCol w:w="1485"/>
        <w:gridCol w:w="1429"/>
        <w:gridCol w:w="1151"/>
      </w:tblGrid>
      <w:tr>
        <w:trPr>
          <w:trHeight w:val="1272" w:hRule="atLeast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7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Nehmotné výsledky </w:t>
            </w:r>
          </w:p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z vývojovej a obdobnej činnosti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Softvér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Oceniteľné práva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Ostatný dlhodobý </w:t>
            </w:r>
          </w:p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nehmotný majetok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70" w:hanging="0"/>
              <w:jc w:val="left"/>
              <w:rPr/>
            </w:pPr>
            <w:r>
              <w:rPr>
                <w:b/>
              </w:rPr>
              <w:t xml:space="preserve">Obstaranie </w:t>
            </w:r>
          </w:p>
          <w:p>
            <w:pPr>
              <w:pStyle w:val="Normal"/>
              <w:spacing w:lineRule="auto" w:line="259" w:before="0" w:after="0"/>
              <w:ind w:left="26" w:hanging="0"/>
              <w:jc w:val="left"/>
              <w:rPr/>
            </w:pPr>
            <w:r>
              <w:rPr>
                <w:b/>
              </w:rPr>
              <w:t xml:space="preserve">dlhodobého </w:t>
            </w:r>
          </w:p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nehmotného majetku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7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Poskytnuté preddavky na dlhodobý </w:t>
            </w:r>
          </w:p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nehmotný majetok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right="52" w:hanging="0"/>
              <w:jc w:val="center"/>
              <w:rPr/>
            </w:pPr>
            <w:r>
              <w:rPr>
                <w:b/>
              </w:rPr>
              <w:t xml:space="preserve">Spolu </w:t>
            </w:r>
          </w:p>
        </w:tc>
      </w:tr>
      <w:tr>
        <w:trPr>
          <w:trHeight w:val="782" w:hRule="atLeast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>Prvotné ocenenie</w:t>
            </w:r>
            <w:r>
              <w:rPr/>
              <w:t xml:space="preserve"> - stav na začiatku bežného účtovného obdobia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420" w:hRule="atLeast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prírastky  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420" w:hRule="atLeast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úbytky 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421" w:hRule="atLeast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presuny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516" w:hRule="atLeast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Stav na konci bežného účtovného obdobia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768" w:hRule="atLeast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Oprávky – </w:t>
            </w:r>
            <w:r>
              <w:rPr/>
              <w:t>stav na začiatku bežného účtovného obdobia</w:t>
            </w:r>
            <w:r>
              <w:rPr>
                <w:b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420" w:hRule="atLeast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prírastky  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420" w:hRule="atLeast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úbytky 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533" w:hRule="atLeast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Stav na konci bežného účtovného obdobia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766" w:hRule="atLeast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>Opravné položky</w:t>
            </w:r>
            <w:r>
              <w:rPr/>
              <w:t xml:space="preserve"> – stav na začiatku bežného účtovného obdobia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324" w:hRule="atLeast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prírastky  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353" w:hRule="atLeast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úbytky 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516" w:hRule="atLeast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Stav na konci bežného účtovného obdobia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350" w:hRule="atLeast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Zostatková hodnota 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4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</w:tr>
      <w:tr>
        <w:trPr>
          <w:trHeight w:val="768" w:hRule="atLeast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19" w:hanging="0"/>
              <w:jc w:val="left"/>
              <w:rPr/>
            </w:pPr>
            <w:r>
              <w:rPr/>
              <w:t xml:space="preserve">Stav na začiatku bežného účtovného obdobia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516" w:hRule="atLeast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Stav na konci bežného účtovného obdobia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" w:hanging="0"/>
              <w:jc w:val="center"/>
              <w:rPr/>
            </w:pPr>
            <w:r>
              <w:rPr/>
              <w:t xml:space="preserve"> </w:t>
            </w:r>
          </w:p>
        </w:tc>
      </w:tr>
    </w:tbl>
    <w:p>
      <w:pPr>
        <w:pStyle w:val="Normal"/>
        <w:spacing w:lineRule="auto" w:line="259" w:before="0" w:after="98"/>
        <w:ind w:lef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spacing w:lineRule="auto" w:line="259" w:before="0" w:after="98"/>
        <w:ind w:lef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spacing w:lineRule="auto" w:line="259" w:before="0" w:after="98"/>
        <w:ind w:lef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spacing w:lineRule="auto" w:line="259" w:before="0" w:after="98"/>
        <w:ind w:lef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spacing w:lineRule="auto" w:line="259" w:before="0" w:after="100"/>
        <w:ind w:lef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spacing w:lineRule="auto" w:line="259" w:before="0" w:after="98"/>
        <w:ind w:lef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spacing w:lineRule="auto" w:line="259" w:before="0" w:after="98"/>
        <w:ind w:lef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spacing w:lineRule="auto" w:line="259" w:before="0" w:after="0"/>
        <w:ind w:left="-5" w:hanging="10"/>
        <w:jc w:val="left"/>
        <w:rPr/>
      </w:pPr>
      <w:r>
        <w:rPr>
          <w:b/>
        </w:rPr>
        <w:t xml:space="preserve">Tabuľka č. 2 </w:t>
      </w:r>
    </w:p>
    <w:tbl>
      <w:tblPr>
        <w:tblStyle w:val="TableGrid"/>
        <w:tblW w:w="10989" w:type="dxa"/>
        <w:jc w:val="left"/>
        <w:tblInd w:w="-283" w:type="dxa"/>
        <w:tblCellMar>
          <w:top w:w="50" w:type="dxa"/>
          <w:left w:w="106" w:type="dxa"/>
          <w:bottom w:w="0" w:type="dxa"/>
          <w:right w:w="60" w:type="dxa"/>
        </w:tblCellMar>
        <w:tblLook w:firstRow="1" w:noVBand="1" w:lastRow="0" w:firstColumn="1" w:lastColumn="0" w:noHBand="0" w:val="04a0"/>
      </w:tblPr>
      <w:tblGrid>
        <w:gridCol w:w="1129"/>
        <w:gridCol w:w="644"/>
        <w:gridCol w:w="690"/>
        <w:gridCol w:w="899"/>
        <w:gridCol w:w="970"/>
        <w:gridCol w:w="1027"/>
        <w:gridCol w:w="34"/>
        <w:gridCol w:w="1005"/>
        <w:gridCol w:w="62"/>
        <w:gridCol w:w="926"/>
        <w:gridCol w:w="1096"/>
        <w:gridCol w:w="854"/>
        <w:gridCol w:w="854"/>
        <w:gridCol w:w="798"/>
      </w:tblGrid>
      <w:tr>
        <w:trPr>
          <w:trHeight w:val="2535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Poze mky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4" w:hanging="0"/>
              <w:jc w:val="left"/>
              <w:rPr/>
            </w:pPr>
            <w:r>
              <w:rPr>
                <w:b/>
              </w:rPr>
              <w:t>Umel</w:t>
            </w:r>
          </w:p>
          <w:p>
            <w:pPr>
              <w:pStyle w:val="Normal"/>
              <w:spacing w:lineRule="auto" w:line="259" w:before="0" w:after="0"/>
              <w:ind w:left="43" w:hanging="0"/>
              <w:jc w:val="left"/>
              <w:rPr/>
            </w:pPr>
            <w:r>
              <w:rPr>
                <w:b/>
              </w:rPr>
              <w:t xml:space="preserve">ecké </w:t>
            </w:r>
          </w:p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diela a zbi erky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60" w:hanging="0"/>
              <w:jc w:val="left"/>
              <w:rPr/>
            </w:pPr>
            <w:r>
              <w:rPr>
                <w:b/>
              </w:rPr>
              <w:t xml:space="preserve">Stavby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37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Samost atné </w:t>
            </w:r>
          </w:p>
          <w:p>
            <w:pPr>
              <w:pStyle w:val="Normal"/>
              <w:spacing w:lineRule="auto" w:line="237" w:before="0" w:after="0"/>
              <w:ind w:left="0" w:right="14" w:hanging="0"/>
              <w:jc w:val="center"/>
              <w:rPr/>
            </w:pPr>
            <w:r>
              <w:rPr>
                <w:b/>
              </w:rPr>
              <w:t xml:space="preserve">hnuteľn é veci </w:t>
            </w:r>
          </w:p>
          <w:p>
            <w:pPr>
              <w:pStyle w:val="Normal"/>
              <w:spacing w:lineRule="auto" w:line="237" w:before="0" w:after="2"/>
              <w:ind w:left="0" w:right="25" w:hanging="0"/>
              <w:jc w:val="center"/>
              <w:rPr/>
            </w:pPr>
            <w:r>
              <w:rPr>
                <w:b/>
              </w:rPr>
              <w:t xml:space="preserve">a súbor y </w:t>
            </w:r>
          </w:p>
          <w:p>
            <w:pPr>
              <w:pStyle w:val="Normal"/>
              <w:spacing w:lineRule="auto" w:line="259" w:before="0" w:after="0"/>
              <w:ind w:left="35" w:right="20" w:hanging="15"/>
              <w:jc w:val="center"/>
              <w:rPr/>
            </w:pPr>
            <w:r>
              <w:rPr>
                <w:b/>
              </w:rPr>
              <w:t xml:space="preserve">hnuteľn ých vecí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4" w:hanging="0"/>
              <w:jc w:val="left"/>
              <w:rPr/>
            </w:pPr>
            <w:r>
              <w:rPr>
                <w:b/>
              </w:rPr>
              <w:t>Dopravn</w:t>
            </w:r>
          </w:p>
          <w:p>
            <w:pPr>
              <w:pStyle w:val="Normal"/>
              <w:spacing w:lineRule="auto" w:line="259" w:before="0" w:after="0"/>
              <w:ind w:left="0" w:right="50" w:hanging="0"/>
              <w:jc w:val="center"/>
              <w:rPr/>
            </w:pPr>
            <w:r>
              <w:rPr>
                <w:b/>
              </w:rPr>
              <w:t xml:space="preserve">é </w:t>
            </w:r>
          </w:p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prostrie dky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37" w:before="0" w:after="0"/>
              <w:ind w:left="13" w:hanging="13"/>
              <w:jc w:val="center"/>
              <w:rPr/>
            </w:pPr>
            <w:r>
              <w:rPr>
                <w:b/>
              </w:rPr>
              <w:t xml:space="preserve">Pestovat eľské celky </w:t>
            </w:r>
          </w:p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trvalých porastov 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1" w:right="45" w:hanging="1"/>
              <w:jc w:val="center"/>
              <w:rPr/>
            </w:pPr>
            <w:r>
              <w:rPr>
                <w:b/>
              </w:rPr>
              <w:t xml:space="preserve">Základn é stádo a ťažné zvieratá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37" w:before="0" w:after="0"/>
              <w:ind w:left="62" w:right="94" w:hanging="0"/>
              <w:jc w:val="center"/>
              <w:rPr/>
            </w:pPr>
            <w:r>
              <w:rPr>
                <w:b/>
              </w:rPr>
              <w:t xml:space="preserve">Drobný a ostatný </w:t>
            </w:r>
          </w:p>
          <w:p>
            <w:pPr>
              <w:pStyle w:val="Normal"/>
              <w:spacing w:lineRule="auto" w:line="259" w:before="0" w:after="0"/>
              <w:ind w:left="6" w:hanging="6"/>
              <w:jc w:val="center"/>
              <w:rPr/>
            </w:pPr>
            <w:r>
              <w:rPr>
                <w:b/>
              </w:rPr>
              <w:t xml:space="preserve">dlhodobý hmotný majetok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37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Obstar anie </w:t>
            </w:r>
          </w:p>
          <w:p>
            <w:pPr>
              <w:pStyle w:val="Normal"/>
              <w:spacing w:lineRule="auto" w:line="240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dlhodo bého </w:t>
            </w:r>
          </w:p>
          <w:p>
            <w:pPr>
              <w:pStyle w:val="Normal"/>
              <w:spacing w:lineRule="auto" w:line="237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hmotn ého </w:t>
            </w:r>
          </w:p>
          <w:p>
            <w:pPr>
              <w:pStyle w:val="Normal"/>
              <w:spacing w:lineRule="auto" w:line="259" w:before="0" w:after="0"/>
              <w:ind w:left="0" w:right="24" w:hanging="0"/>
              <w:jc w:val="center"/>
              <w:rPr/>
            </w:pPr>
            <w:r>
              <w:rPr>
                <w:b/>
              </w:rPr>
              <w:t xml:space="preserve">majetk u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7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Poskyt nuté </w:t>
            </w:r>
          </w:p>
          <w:p>
            <w:pPr>
              <w:pStyle w:val="Normal"/>
              <w:spacing w:lineRule="auto" w:line="237" w:before="0" w:after="2"/>
              <w:ind w:left="0" w:hanging="0"/>
              <w:jc w:val="center"/>
              <w:rPr/>
            </w:pPr>
            <w:r>
              <w:rPr>
                <w:b/>
              </w:rPr>
              <w:t xml:space="preserve">predda vky na </w:t>
            </w:r>
          </w:p>
          <w:p>
            <w:pPr>
              <w:pStyle w:val="Normal"/>
              <w:spacing w:lineRule="auto" w:line="237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dlhodo bý </w:t>
            </w:r>
          </w:p>
          <w:p>
            <w:pPr>
              <w:pStyle w:val="Normal"/>
              <w:spacing w:lineRule="auto" w:line="237" w:before="0" w:after="0"/>
              <w:ind w:left="0" w:right="41" w:hanging="0"/>
              <w:jc w:val="center"/>
              <w:rPr/>
            </w:pPr>
            <w:r>
              <w:rPr>
                <w:b/>
              </w:rPr>
              <w:t xml:space="preserve">hmotn ý </w:t>
            </w:r>
          </w:p>
          <w:p>
            <w:pPr>
              <w:pStyle w:val="Normal"/>
              <w:spacing w:lineRule="auto" w:line="259" w:before="0" w:after="0"/>
              <w:ind w:left="0" w:right="24" w:hanging="0"/>
              <w:jc w:val="center"/>
              <w:rPr/>
            </w:pPr>
            <w:r>
              <w:rPr>
                <w:b/>
              </w:rPr>
              <w:t xml:space="preserve">majeto k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65" w:hanging="0"/>
              <w:jc w:val="left"/>
              <w:rPr/>
            </w:pPr>
            <w:r>
              <w:rPr>
                <w:b/>
              </w:rPr>
              <w:t xml:space="preserve">Spolu </w:t>
            </w:r>
          </w:p>
        </w:tc>
      </w:tr>
      <w:tr>
        <w:trPr>
          <w:trHeight w:val="1776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7" w:before="0" w:after="0"/>
              <w:ind w:left="0" w:hanging="0"/>
              <w:jc w:val="left"/>
              <w:rPr/>
            </w:pPr>
            <w:r>
              <w:rPr>
                <w:b/>
              </w:rPr>
              <w:t>Prvotné ocenenie</w:t>
            </w:r>
            <w:r>
              <w:rPr/>
              <w:t xml:space="preserve"> </w:t>
            </w:r>
          </w:p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- stav na začiatku bežného účtovného obdobia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629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prírastky  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66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úbytky 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66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presuny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1272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Stav na konci bežného účtovného obdobia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152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9" w:hanging="0"/>
              <w:jc w:val="left"/>
              <w:rPr/>
            </w:pPr>
            <w:r>
              <w:rPr>
                <w:b/>
              </w:rPr>
              <w:t xml:space="preserve">Oprávky – </w:t>
            </w:r>
            <w:r>
              <w:rPr/>
              <w:t>stav na začiatku bežného účtovného obdobia</w:t>
            </w:r>
            <w:r>
              <w:rPr>
                <w:b/>
              </w:rPr>
              <w:t xml:space="preserve">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667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prírastky  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686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úbytky 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1272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Stav na konci bežného účtovného obdobia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1779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7" w:before="0" w:after="0"/>
              <w:ind w:left="0" w:hanging="0"/>
              <w:jc w:val="left"/>
              <w:rPr/>
            </w:pPr>
            <w:r>
              <w:rPr>
                <w:b/>
              </w:rPr>
              <w:t>Opravné položky</w:t>
            </w:r>
            <w:r>
              <w:rPr/>
              <w:t xml:space="preserve"> – stav na </w:t>
            </w:r>
          </w:p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začiatku bežného účtovného obdobia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485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prírastky  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4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6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53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úbytky 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4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6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1272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Stav na konci bežného účtovného obdobia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4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6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569" w:hRule="atLeast"/>
        </w:trPr>
        <w:tc>
          <w:tcPr>
            <w:tcW w:w="1098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Zostatková hodnota </w:t>
            </w:r>
          </w:p>
        </w:tc>
      </w:tr>
      <w:tr>
        <w:trPr>
          <w:trHeight w:val="1272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Stav na začiatku bežného účtovného obdobia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38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38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5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1273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Stav na konci bežného účtovného obdobia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38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38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5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/>
              <w:t xml:space="preserve"> </w:t>
            </w:r>
          </w:p>
        </w:tc>
      </w:tr>
    </w:tbl>
    <w:p>
      <w:pPr>
        <w:pStyle w:val="Normal"/>
        <w:spacing w:lineRule="auto" w:line="259" w:before="0" w:after="9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left="-5" w:hanging="10"/>
        <w:jc w:val="left"/>
        <w:rPr/>
      </w:pPr>
      <w:r>
        <w:rPr>
          <w:b/>
        </w:rPr>
        <w:t xml:space="preserve">Vzorová tabuľka k čl. III ods. 4 a 5  o štruktúre a o zmenách jednotlivých položiek dlhodobého finančného majetku </w:t>
      </w:r>
    </w:p>
    <w:tbl>
      <w:tblPr>
        <w:tblStyle w:val="TableGrid"/>
        <w:tblW w:w="10192" w:type="dxa"/>
        <w:jc w:val="left"/>
        <w:tblInd w:w="7" w:type="dxa"/>
        <w:tblCellMar>
          <w:top w:w="10" w:type="dxa"/>
          <w:left w:w="2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47"/>
        <w:gridCol w:w="1264"/>
        <w:gridCol w:w="1267"/>
        <w:gridCol w:w="668"/>
        <w:gridCol w:w="1081"/>
        <w:gridCol w:w="1028"/>
        <w:gridCol w:w="1373"/>
        <w:gridCol w:w="1049"/>
        <w:gridCol w:w="714"/>
      </w:tblGrid>
      <w:tr>
        <w:trPr>
          <w:trHeight w:val="2402" w:hRule="atLeast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0" w:hanging="0"/>
              <w:jc w:val="center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37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Podielové cenné </w:t>
            </w:r>
          </w:p>
          <w:p>
            <w:pPr>
              <w:pStyle w:val="Normal"/>
              <w:spacing w:lineRule="auto" w:line="259" w:before="0" w:after="0"/>
              <w:ind w:left="0" w:right="34" w:hanging="0"/>
              <w:jc w:val="center"/>
              <w:rPr/>
            </w:pPr>
            <w:r>
              <w:rPr>
                <w:b/>
              </w:rPr>
              <w:t xml:space="preserve">papiere </w:t>
            </w:r>
          </w:p>
          <w:p>
            <w:pPr>
              <w:pStyle w:val="Normal"/>
              <w:spacing w:lineRule="auto" w:line="259" w:before="0" w:after="0"/>
              <w:ind w:left="0" w:right="32" w:hanging="0"/>
              <w:jc w:val="center"/>
              <w:rPr/>
            </w:pPr>
            <w:r>
              <w:rPr>
                <w:b/>
              </w:rPr>
              <w:t xml:space="preserve">a podiely </w:t>
            </w:r>
          </w:p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v ovládanej obchodnej spoločnosti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37" w:before="0" w:after="2"/>
              <w:ind w:left="0" w:hanging="0"/>
              <w:jc w:val="center"/>
              <w:rPr/>
            </w:pPr>
            <w:r>
              <w:rPr>
                <w:b/>
              </w:rPr>
              <w:t xml:space="preserve">Podielové cenné </w:t>
            </w:r>
          </w:p>
          <w:p>
            <w:pPr>
              <w:pStyle w:val="Normal"/>
              <w:spacing w:lineRule="auto" w:line="259" w:before="0" w:after="0"/>
              <w:ind w:left="0" w:right="34" w:hanging="0"/>
              <w:jc w:val="center"/>
              <w:rPr/>
            </w:pPr>
            <w:r>
              <w:rPr>
                <w:b/>
              </w:rPr>
              <w:t xml:space="preserve">papiere </w:t>
            </w:r>
          </w:p>
          <w:p>
            <w:pPr>
              <w:pStyle w:val="Normal"/>
              <w:spacing w:lineRule="auto" w:line="259" w:before="0" w:after="0"/>
              <w:ind w:left="0" w:right="32" w:hanging="0"/>
              <w:jc w:val="center"/>
              <w:rPr/>
            </w:pPr>
            <w:r>
              <w:rPr>
                <w:b/>
              </w:rPr>
              <w:t xml:space="preserve">a podiely </w:t>
            </w:r>
          </w:p>
          <w:p>
            <w:pPr>
              <w:pStyle w:val="Normal"/>
              <w:spacing w:lineRule="auto" w:line="259" w:before="0" w:after="0"/>
              <w:ind w:left="3" w:hanging="3"/>
              <w:jc w:val="center"/>
              <w:rPr/>
            </w:pPr>
            <w:r>
              <w:rPr>
                <w:b/>
              </w:rPr>
              <w:t xml:space="preserve">v obchodnej spoločnosti s podstatný m vplyvom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7" w:before="0" w:after="0"/>
              <w:ind w:left="213" w:hanging="199"/>
              <w:jc w:val="left"/>
              <w:rPr/>
            </w:pPr>
            <w:r>
              <w:rPr>
                <w:b/>
              </w:rPr>
              <w:t xml:space="preserve">Dlhov é </w:t>
            </w:r>
          </w:p>
          <w:p>
            <w:pPr>
              <w:pStyle w:val="Normal"/>
              <w:spacing w:lineRule="auto" w:line="259" w:before="0" w:after="0"/>
              <w:ind w:left="2" w:hanging="0"/>
              <w:rPr/>
            </w:pPr>
            <w:r>
              <w:rPr>
                <w:b/>
              </w:rPr>
              <w:t xml:space="preserve">cenné </w:t>
            </w:r>
          </w:p>
          <w:p>
            <w:pPr>
              <w:pStyle w:val="Normal"/>
              <w:spacing w:lineRule="auto" w:line="237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papie re </w:t>
            </w:r>
          </w:p>
          <w:p>
            <w:pPr>
              <w:pStyle w:val="Normal"/>
              <w:spacing w:lineRule="auto" w:line="240" w:before="0" w:after="0"/>
              <w:ind w:left="0" w:right="5" w:hanging="0"/>
              <w:jc w:val="center"/>
              <w:rPr/>
            </w:pPr>
            <w:r>
              <w:rPr>
                <w:b/>
              </w:rPr>
              <w:t xml:space="preserve">držan é do </w:t>
            </w:r>
          </w:p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splat nosti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Pôžičky podnikom v skupine a ostatné pôžičky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Ostatný dlhodobý finančný majetok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127" w:hanging="0"/>
              <w:jc w:val="left"/>
              <w:rPr/>
            </w:pPr>
            <w:r>
              <w:rPr>
                <w:b/>
              </w:rPr>
              <w:t xml:space="preserve">Obstaranie </w:t>
            </w:r>
          </w:p>
          <w:p>
            <w:pPr>
              <w:pStyle w:val="Normal"/>
              <w:spacing w:lineRule="auto" w:line="259" w:before="0" w:after="0"/>
              <w:ind w:left="84" w:hanging="0"/>
              <w:jc w:val="left"/>
              <w:rPr/>
            </w:pPr>
            <w:r>
              <w:rPr>
                <w:b/>
              </w:rPr>
              <w:t xml:space="preserve">dlhodobého </w:t>
            </w:r>
          </w:p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finančného majetku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9" w:hanging="0"/>
              <w:rPr/>
            </w:pPr>
            <w:r>
              <w:rPr>
                <w:b/>
              </w:rPr>
              <w:t>Poskytnu</w:t>
            </w:r>
          </w:p>
          <w:p>
            <w:pPr>
              <w:pStyle w:val="Normal"/>
              <w:spacing w:lineRule="auto" w:line="259" w:before="0" w:after="0"/>
              <w:ind w:left="0" w:right="29" w:hanging="0"/>
              <w:jc w:val="center"/>
              <w:rPr/>
            </w:pPr>
            <w:r>
              <w:rPr>
                <w:b/>
              </w:rPr>
              <w:t xml:space="preserve">té </w:t>
            </w:r>
          </w:p>
          <w:p>
            <w:pPr>
              <w:pStyle w:val="Normal"/>
              <w:spacing w:lineRule="auto" w:line="237" w:before="0" w:after="0"/>
              <w:ind w:left="0" w:right="12" w:hanging="0"/>
              <w:jc w:val="center"/>
              <w:rPr/>
            </w:pPr>
            <w:r>
              <w:rPr>
                <w:b/>
              </w:rPr>
              <w:t xml:space="preserve">preddavk y na </w:t>
            </w:r>
          </w:p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dlhodobý finančný  majetok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74" w:hanging="0"/>
              <w:jc w:val="left"/>
              <w:rPr/>
            </w:pPr>
            <w:r>
              <w:rPr>
                <w:b/>
              </w:rPr>
              <w:t xml:space="preserve">Spolu </w:t>
            </w:r>
          </w:p>
        </w:tc>
      </w:tr>
      <w:tr>
        <w:trPr>
          <w:trHeight w:val="300" w:hRule="atLeast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Prvotné ocenenie </w:t>
            </w:r>
          </w:p>
        </w:tc>
        <w:tc>
          <w:tcPr>
            <w:tcW w:w="1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4044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3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76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</w:tr>
      <w:tr>
        <w:trPr>
          <w:trHeight w:val="516" w:hRule="atLeast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rPr/>
            </w:pPr>
            <w:r>
              <w:rPr/>
              <w:t xml:space="preserve">Stav  na začiatku bežného účtovného obdobia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</w:tr>
      <w:tr>
        <w:trPr>
          <w:trHeight w:val="314" w:hRule="atLeast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Prírastky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</w:tr>
      <w:tr>
        <w:trPr>
          <w:trHeight w:val="312" w:hRule="atLeast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Úbytky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</w:tr>
      <w:tr>
        <w:trPr>
          <w:trHeight w:val="314" w:hRule="atLeast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Presuny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</w:tr>
      <w:tr>
        <w:trPr>
          <w:trHeight w:val="516" w:hRule="atLeast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Stav na konci bežného účtovného obdobia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</w:tr>
      <w:tr>
        <w:trPr>
          <w:trHeight w:val="300" w:hRule="atLeast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Opravné položky </w:t>
            </w:r>
          </w:p>
        </w:tc>
        <w:tc>
          <w:tcPr>
            <w:tcW w:w="1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4044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3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76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</w:tr>
      <w:tr>
        <w:trPr>
          <w:trHeight w:val="514" w:hRule="atLeast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Stav na začiatku bežného účtovného obdobia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</w:tr>
      <w:tr>
        <w:trPr>
          <w:trHeight w:val="314" w:hRule="atLeast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Prírastky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</w:tr>
      <w:tr>
        <w:trPr>
          <w:trHeight w:val="314" w:hRule="atLeast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Úbytky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</w:tr>
      <w:tr>
        <w:trPr>
          <w:trHeight w:val="514" w:hRule="atLeast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Stav na konci bežného účtovného obdobia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</w:tr>
      <w:tr>
        <w:trPr>
          <w:trHeight w:val="300" w:hRule="atLeast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Zostatková hodnota  </w:t>
            </w:r>
          </w:p>
        </w:tc>
        <w:tc>
          <w:tcPr>
            <w:tcW w:w="1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4044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3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76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</w:tr>
      <w:tr>
        <w:trPr>
          <w:trHeight w:val="516" w:hRule="atLeast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Stav na začiatku bežného účtovného obdobia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</w:tr>
      <w:tr>
        <w:trPr>
          <w:trHeight w:val="516" w:hRule="atLeast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Stav na konci bežného účtovného obdobia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</w:tr>
    </w:tbl>
    <w:p>
      <w:pPr>
        <w:pStyle w:val="Normal"/>
        <w:spacing w:lineRule="auto" w:line="259" w:before="0" w:after="30"/>
        <w:ind w:left="-5" w:hanging="10"/>
        <w:jc w:val="left"/>
        <w:rPr/>
      </w:pPr>
      <w:r>
        <w:rPr>
          <w:b/>
        </w:rPr>
        <w:t xml:space="preserve">Vzorová tabuľka k čl. III ods. 4 o štruktúre dlhodobého finančného majetku  </w:t>
      </w:r>
    </w:p>
    <w:tbl>
      <w:tblPr>
        <w:tblStyle w:val="TableGrid"/>
        <w:tblW w:w="10147" w:type="dxa"/>
        <w:jc w:val="left"/>
        <w:tblInd w:w="-108" w:type="dxa"/>
        <w:tblCellMar>
          <w:top w:w="8" w:type="dxa"/>
          <w:left w:w="106" w:type="dxa"/>
          <w:bottom w:w="0" w:type="dxa"/>
          <w:right w:w="63" w:type="dxa"/>
        </w:tblCellMar>
        <w:tblLook w:firstRow="1" w:noVBand="1" w:lastRow="0" w:firstColumn="1" w:lastColumn="0" w:noHBand="0" w:val="04a0"/>
      </w:tblPr>
      <w:tblGrid>
        <w:gridCol w:w="877"/>
        <w:gridCol w:w="976"/>
        <w:gridCol w:w="1296"/>
        <w:gridCol w:w="1418"/>
        <w:gridCol w:w="2008"/>
        <w:gridCol w:w="1189"/>
        <w:gridCol w:w="2382"/>
      </w:tblGrid>
      <w:tr>
        <w:trPr>
          <w:trHeight w:val="495" w:hRule="atLeast"/>
        </w:trPr>
        <w:tc>
          <w:tcPr>
            <w:tcW w:w="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Názov spoloč nosti 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37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Podiel na </w:t>
            </w:r>
          </w:p>
          <w:p>
            <w:pPr>
              <w:pStyle w:val="Normal"/>
              <w:spacing w:lineRule="auto" w:line="237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základn om </w:t>
            </w:r>
          </w:p>
          <w:p>
            <w:pPr>
              <w:pStyle w:val="Normal"/>
              <w:spacing w:lineRule="auto" w:line="259" w:before="0" w:after="0"/>
              <w:ind w:left="0" w:right="43" w:hanging="0"/>
              <w:jc w:val="center"/>
              <w:rPr/>
            </w:pPr>
            <w:r>
              <w:rPr>
                <w:b/>
              </w:rPr>
              <w:t xml:space="preserve">imaní </w:t>
            </w:r>
          </w:p>
          <w:p>
            <w:pPr>
              <w:pStyle w:val="Normal"/>
              <w:spacing w:lineRule="auto" w:line="259" w:before="0" w:after="0"/>
              <w:ind w:left="0" w:right="45" w:hanging="0"/>
              <w:jc w:val="center"/>
              <w:rPr/>
            </w:pPr>
            <w:r>
              <w:rPr>
                <w:b/>
              </w:rPr>
              <w:t xml:space="preserve">(v %) 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7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Podiel účtovnej </w:t>
            </w:r>
          </w:p>
          <w:p>
            <w:pPr>
              <w:pStyle w:val="Normal"/>
              <w:spacing w:lineRule="auto" w:line="237" w:before="0" w:after="0"/>
              <w:ind w:left="0" w:hanging="0"/>
              <w:jc w:val="center"/>
              <w:rPr/>
            </w:pPr>
            <w:r>
              <w:rPr>
                <w:b/>
              </w:rPr>
              <w:t>jednotky na hlasovacíc</w:t>
            </w:r>
          </w:p>
          <w:p>
            <w:pPr>
              <w:pStyle w:val="Normal"/>
              <w:spacing w:lineRule="auto" w:line="259" w:before="0" w:after="98"/>
              <w:ind w:left="0" w:right="41" w:hanging="0"/>
              <w:jc w:val="center"/>
              <w:rPr/>
            </w:pPr>
            <w:r>
              <w:rPr>
                <w:b/>
              </w:rPr>
              <w:t xml:space="preserve">h právach </w:t>
            </w:r>
          </w:p>
          <w:p>
            <w:pPr>
              <w:pStyle w:val="Normal"/>
              <w:spacing w:lineRule="auto" w:line="259" w:before="0" w:after="0"/>
              <w:ind w:left="0" w:right="45" w:hanging="0"/>
              <w:jc w:val="center"/>
              <w:rPr/>
            </w:pPr>
            <w:r>
              <w:rPr>
                <w:b/>
              </w:rPr>
              <w:t xml:space="preserve">(v %) 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34" w:hanging="0"/>
              <w:jc w:val="left"/>
              <w:rPr/>
            </w:pPr>
            <w:r>
              <w:rPr>
                <w:b/>
              </w:rPr>
              <w:t xml:space="preserve">Hodnota vlastného imania ku koncu </w:t>
            </w:r>
          </w:p>
        </w:tc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right="46" w:hanging="0"/>
              <w:jc w:val="center"/>
              <w:rPr/>
            </w:pPr>
            <w:r>
              <w:rPr>
                <w:b/>
              </w:rPr>
              <w:t xml:space="preserve">Účtovná hodnota ku koncu </w:t>
            </w:r>
          </w:p>
        </w:tc>
      </w:tr>
      <w:tr>
        <w:trPr>
          <w:trHeight w:val="1310" w:hRule="atLeast"/>
        </w:trPr>
        <w:tc>
          <w:tcPr>
            <w:tcW w:w="8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9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right="42" w:hanging="0"/>
              <w:jc w:val="center"/>
              <w:rPr/>
            </w:pPr>
            <w:r>
              <w:rPr>
                <w:b/>
              </w:rPr>
              <w:t xml:space="preserve">bežného </w:t>
            </w:r>
          </w:p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účtovného obdobia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right="46" w:hanging="0"/>
              <w:jc w:val="center"/>
              <w:rPr/>
            </w:pPr>
            <w:r>
              <w:rPr>
                <w:b/>
              </w:rPr>
              <w:t xml:space="preserve">bezprostredne </w:t>
            </w:r>
          </w:p>
          <w:p>
            <w:pPr>
              <w:pStyle w:val="Normal"/>
              <w:spacing w:lineRule="auto" w:line="259" w:before="0" w:after="0"/>
              <w:ind w:left="2" w:right="41" w:hanging="2"/>
              <w:jc w:val="center"/>
              <w:rPr/>
            </w:pPr>
            <w:r>
              <w:rPr>
                <w:b/>
              </w:rPr>
              <w:t xml:space="preserve">predchádzajúceh o účtovného obdobia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84" w:hanging="0"/>
              <w:jc w:val="left"/>
              <w:rPr/>
            </w:pPr>
            <w:r>
              <w:rPr>
                <w:b/>
              </w:rPr>
              <w:t xml:space="preserve">bežného </w:t>
            </w:r>
          </w:p>
          <w:p>
            <w:pPr>
              <w:pStyle w:val="Normal"/>
              <w:spacing w:lineRule="auto" w:line="259" w:before="0" w:after="0"/>
              <w:ind w:left="0" w:right="43" w:hanging="0"/>
              <w:jc w:val="center"/>
              <w:rPr/>
            </w:pPr>
            <w:r>
              <w:rPr>
                <w:b/>
              </w:rPr>
              <w:t xml:space="preserve">účtovnéh o obdobia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right="46" w:hanging="0"/>
              <w:jc w:val="center"/>
              <w:rPr/>
            </w:pPr>
            <w:r>
              <w:rPr>
                <w:b/>
              </w:rPr>
              <w:t xml:space="preserve">bezprostredne </w:t>
            </w:r>
          </w:p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predchádzajúceho účtovného obdobia </w:t>
            </w:r>
          </w:p>
        </w:tc>
      </w:tr>
      <w:tr>
        <w:trPr>
          <w:trHeight w:val="350" w:hRule="atLeast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</w:tr>
      <w:tr>
        <w:trPr>
          <w:trHeight w:val="353" w:hRule="atLeast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</w:tr>
      <w:tr>
        <w:trPr>
          <w:trHeight w:val="353" w:hRule="atLeast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</w:tr>
    </w:tbl>
    <w:p>
      <w:pPr>
        <w:pStyle w:val="Normal"/>
        <w:spacing w:lineRule="auto" w:line="259" w:before="0" w:after="9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98"/>
        <w:ind w:left="0" w:hanging="0"/>
        <w:jc w:val="left"/>
        <w:rPr/>
      </w:pPr>
      <w:r>
        <w:rPr>
          <w:b/>
        </w:rPr>
        <w:t xml:space="preserve">  </w:t>
      </w:r>
    </w:p>
    <w:p>
      <w:pPr>
        <w:pStyle w:val="Normal"/>
        <w:spacing w:lineRule="auto" w:line="259" w:before="0" w:after="98"/>
        <w:ind w:lef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spacing w:lineRule="auto" w:line="259" w:before="0" w:after="101"/>
        <w:ind w:left="-5" w:hanging="10"/>
        <w:jc w:val="left"/>
        <w:rPr/>
      </w:pPr>
      <w:r>
        <w:rPr>
          <w:b/>
        </w:rPr>
        <w:t xml:space="preserve">Vzorová tabuľka k čl. III ods. 6 o položkách krátkodobého finančného majetku </w:t>
      </w:r>
    </w:p>
    <w:p>
      <w:pPr>
        <w:pStyle w:val="Normal"/>
        <w:spacing w:lineRule="auto" w:line="259" w:before="0" w:after="0"/>
        <w:ind w:left="-5" w:hanging="10"/>
        <w:jc w:val="left"/>
        <w:rPr/>
      </w:pPr>
      <w:r>
        <w:rPr>
          <w:b/>
        </w:rPr>
        <w:t xml:space="preserve">Tabuľka č. 1  </w:t>
      </w:r>
    </w:p>
    <w:tbl>
      <w:tblPr>
        <w:tblStyle w:val="TableGrid"/>
        <w:tblW w:w="10384" w:type="dxa"/>
        <w:jc w:val="left"/>
        <w:tblInd w:w="-70" w:type="dxa"/>
        <w:tblCellMar>
          <w:top w:w="50" w:type="dxa"/>
          <w:left w:w="106" w:type="dxa"/>
          <w:bottom w:w="0" w:type="dxa"/>
          <w:right w:w="57" w:type="dxa"/>
        </w:tblCellMar>
        <w:tblLook w:firstRow="1" w:noVBand="1" w:lastRow="0" w:firstColumn="1" w:lastColumn="0" w:noHBand="0" w:val="04a0"/>
      </w:tblPr>
      <w:tblGrid>
        <w:gridCol w:w="2307"/>
        <w:gridCol w:w="2403"/>
        <w:gridCol w:w="1551"/>
        <w:gridCol w:w="1633"/>
        <w:gridCol w:w="2490"/>
      </w:tblGrid>
      <w:tr>
        <w:trPr>
          <w:trHeight w:val="634" w:hRule="atLeast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Krátkodobý finančný majetok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right="49" w:hanging="0"/>
              <w:jc w:val="center"/>
              <w:rPr/>
            </w:pPr>
            <w:r>
              <w:rPr>
                <w:b/>
              </w:rPr>
              <w:t xml:space="preserve">Prírastky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right="48" w:hanging="0"/>
              <w:jc w:val="center"/>
              <w:rPr/>
            </w:pPr>
            <w:r>
              <w:rPr>
                <w:b/>
              </w:rPr>
              <w:t xml:space="preserve">Úbytky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Stav na konci bežného účtovného obdobia </w:t>
            </w:r>
          </w:p>
        </w:tc>
      </w:tr>
      <w:tr>
        <w:trPr>
          <w:trHeight w:val="636" w:hRule="atLeast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rPr/>
            </w:pPr>
            <w:r>
              <w:rPr/>
              <w:t xml:space="preserve">Majetkové cenné papiere na obchodovanie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634" w:hRule="atLeast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Dlhové cenné papiere na obchodovanie 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888" w:hRule="atLeast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51" w:hanging="0"/>
              <w:rPr/>
            </w:pPr>
            <w:r>
              <w:rPr/>
              <w:t xml:space="preserve">Dlhové cenné papiere so splatnosťou do jedného roka držané do splatnosti 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636" w:hRule="atLeast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rPr/>
            </w:pPr>
            <w:r>
              <w:rPr/>
              <w:t xml:space="preserve">Ostatné realizovateľné cenné papiere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886" w:hRule="atLeast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Obstarávanie </w:t>
            </w:r>
          </w:p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krátkodobého finančného majetku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636" w:hRule="atLeast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rPr/>
            </w:pPr>
            <w:r>
              <w:rPr>
                <w:b/>
              </w:rPr>
              <w:t xml:space="preserve">Krátkodobý finančný majetok spolu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</w:tr>
    </w:tbl>
    <w:p>
      <w:pPr>
        <w:pStyle w:val="Normal"/>
        <w:spacing w:lineRule="auto" w:line="259" w:before="0" w:after="109"/>
        <w:ind w:lef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>
          <w:b/>
          <w:sz w:val="20"/>
        </w:rPr>
        <w:t xml:space="preserve">Tabuľka č. 2 </w:t>
      </w:r>
    </w:p>
    <w:tbl>
      <w:tblPr>
        <w:tblStyle w:val="TableGrid"/>
        <w:tblW w:w="10384" w:type="dxa"/>
        <w:jc w:val="left"/>
        <w:tblInd w:w="-70" w:type="dxa"/>
        <w:tblCellMar>
          <w:top w:w="10" w:type="dxa"/>
          <w:left w:w="106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2791"/>
        <w:gridCol w:w="2005"/>
        <w:gridCol w:w="3195"/>
        <w:gridCol w:w="2392"/>
      </w:tblGrid>
      <w:tr>
        <w:trPr>
          <w:trHeight w:val="802" w:hRule="atLeast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43" w:hanging="0"/>
              <w:jc w:val="center"/>
              <w:rPr/>
            </w:pPr>
            <w:r>
              <w:rPr>
                <w:b/>
                <w:sz w:val="16"/>
              </w:rPr>
              <w:t xml:space="preserve">Krátkodobý finančný  majetok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20"/>
              <w:ind w:left="0" w:hanging="0"/>
              <w:jc w:val="center"/>
              <w:rPr/>
            </w:pPr>
            <w:r>
              <w:rPr>
                <w:b/>
                <w:sz w:val="16"/>
              </w:rPr>
              <w:t xml:space="preserve">Zvýšenie/ zníženie hodnoty </w:t>
            </w:r>
          </w:p>
          <w:p>
            <w:pPr>
              <w:pStyle w:val="Normal"/>
              <w:spacing w:lineRule="auto" w:line="259" w:before="0" w:after="0"/>
              <w:ind w:left="45" w:hanging="0"/>
              <w:jc w:val="center"/>
              <w:rPr/>
            </w:pPr>
            <w:r>
              <w:rPr>
                <w:b/>
                <w:sz w:val="16"/>
              </w:rPr>
              <w:t xml:space="preserve">(+/-)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ind w:left="0" w:hanging="0"/>
              <w:jc w:val="center"/>
              <w:rPr/>
            </w:pPr>
            <w:r>
              <w:rPr>
                <w:b/>
                <w:sz w:val="16"/>
              </w:rPr>
              <w:t xml:space="preserve">Vplyv ocenenia na výsledok hospodárenia bežného účtovného </w:t>
            </w:r>
          </w:p>
          <w:p>
            <w:pPr>
              <w:pStyle w:val="Normal"/>
              <w:spacing w:lineRule="auto" w:line="259" w:before="0" w:after="0"/>
              <w:ind w:left="50" w:hanging="0"/>
              <w:jc w:val="center"/>
              <w:rPr/>
            </w:pPr>
            <w:r>
              <w:rPr>
                <w:b/>
                <w:sz w:val="16"/>
              </w:rPr>
              <w:t xml:space="preserve">obdobia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  <w:sz w:val="16"/>
              </w:rPr>
              <w:t xml:space="preserve">Vplyv ocenenia na vlastné imanie </w:t>
            </w:r>
          </w:p>
        </w:tc>
      </w:tr>
      <w:tr>
        <w:trPr>
          <w:trHeight w:val="637" w:hRule="atLeast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60" w:hanging="0"/>
              <w:jc w:val="left"/>
              <w:rPr/>
            </w:pPr>
            <w:r>
              <w:rPr/>
              <w:t xml:space="preserve">Majetkové cenné papiere na obchodovanie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</w:tr>
      <w:tr>
        <w:trPr>
          <w:trHeight w:val="634" w:hRule="atLeast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522" w:hanging="0"/>
              <w:rPr/>
            </w:pPr>
            <w:r>
              <w:rPr/>
              <w:t xml:space="preserve">Dlhové cenné papiere na obchodovanie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</w:tr>
      <w:tr>
        <w:trPr>
          <w:trHeight w:val="636" w:hRule="atLeast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Ostatné realizovateľné cenné papiere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</w:tr>
      <w:tr>
        <w:trPr>
          <w:trHeight w:val="262" w:hRule="atLeast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Krátkodobý finančný 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sz w:val="16"/>
              </w:rPr>
              <w:t xml:space="preserve"> </w:t>
            </w:r>
          </w:p>
        </w:tc>
      </w:tr>
      <w:tr>
        <w:trPr>
          <w:trHeight w:val="382" w:hRule="atLeast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majetok spolu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auto" w:line="259" w:before="0" w:after="98"/>
        <w:ind w:lef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spacing w:lineRule="auto" w:line="259" w:before="0" w:after="98"/>
        <w:ind w:lef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spacing w:lineRule="auto" w:line="259" w:before="0" w:after="0"/>
        <w:ind w:left="-5" w:hanging="10"/>
        <w:jc w:val="left"/>
        <w:rPr/>
      </w:pPr>
      <w:r>
        <w:rPr>
          <w:b/>
        </w:rPr>
        <w:t xml:space="preserve">Vzorová tabuľka k čl. III ods. 7 o vývoji opravných položiek k zásobám  </w:t>
      </w:r>
    </w:p>
    <w:tbl>
      <w:tblPr>
        <w:tblStyle w:val="TableGrid"/>
        <w:tblW w:w="10394" w:type="dxa"/>
        <w:jc w:val="left"/>
        <w:tblInd w:w="-70" w:type="dxa"/>
        <w:tblCellMar>
          <w:top w:w="50" w:type="dxa"/>
          <w:left w:w="106" w:type="dxa"/>
          <w:bottom w:w="0" w:type="dxa"/>
          <w:right w:w="84" w:type="dxa"/>
        </w:tblCellMar>
        <w:tblLook w:firstRow="1" w:noVBand="1" w:lastRow="0" w:firstColumn="1" w:lastColumn="0" w:noHBand="0" w:val="04a0"/>
      </w:tblPr>
      <w:tblGrid>
        <w:gridCol w:w="1769"/>
        <w:gridCol w:w="1823"/>
        <w:gridCol w:w="1725"/>
        <w:gridCol w:w="1522"/>
        <w:gridCol w:w="1636"/>
        <w:gridCol w:w="1918"/>
      </w:tblGrid>
      <w:tr>
        <w:trPr>
          <w:trHeight w:val="1020" w:hRule="atLeast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right="27" w:hanging="0"/>
              <w:jc w:val="center"/>
              <w:rPr/>
            </w:pPr>
            <w:r>
              <w:rPr>
                <w:b/>
              </w:rPr>
              <w:t xml:space="preserve">Druh zásob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7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Stav na začiatku bežného </w:t>
            </w:r>
          </w:p>
          <w:p>
            <w:pPr>
              <w:pStyle w:val="Normal"/>
              <w:spacing w:lineRule="auto" w:line="259" w:before="0" w:after="0"/>
              <w:ind w:left="13" w:hanging="0"/>
              <w:jc w:val="center"/>
              <w:rPr/>
            </w:pPr>
            <w:r>
              <w:rPr>
                <w:b/>
              </w:rPr>
              <w:t xml:space="preserve">účtovného obdobia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Tvorba opravnej položky </w:t>
            </w:r>
          </w:p>
          <w:p>
            <w:pPr>
              <w:pStyle w:val="Normal"/>
              <w:spacing w:lineRule="auto" w:line="259" w:before="0" w:after="0"/>
              <w:ind w:left="0" w:right="24" w:hanging="0"/>
              <w:jc w:val="center"/>
              <w:rPr/>
            </w:pPr>
            <w:r>
              <w:rPr>
                <w:b/>
              </w:rPr>
              <w:t xml:space="preserve">(zvýšenie)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Zníženie opravnej položky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14" w:hanging="8"/>
              <w:jc w:val="center"/>
              <w:rPr/>
            </w:pPr>
            <w:r>
              <w:rPr>
                <w:b/>
              </w:rPr>
              <w:t xml:space="preserve">Zúčtovanie  opravnej položky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Stav na konci bežného účtovného obdobia </w:t>
            </w:r>
          </w:p>
        </w:tc>
      </w:tr>
      <w:tr>
        <w:trPr>
          <w:trHeight w:val="533" w:hRule="atLeast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Materiál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1020" w:hRule="atLeast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21" w:hanging="0"/>
              <w:jc w:val="left"/>
              <w:rPr/>
            </w:pPr>
            <w:r>
              <w:rPr/>
              <w:t xml:space="preserve">Nedokončená výroba  a polotovary vlastnej výroby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559" w:hRule="atLeast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Výrobky 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560" w:hRule="atLeast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Zvieratá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559" w:hRule="atLeast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Tovar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766" w:hRule="atLeast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Poskytnutý preddavok na zásoby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562" w:hRule="atLeast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Zásoby spolu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</w:tr>
    </w:tbl>
    <w:p>
      <w:pPr>
        <w:pStyle w:val="Normal"/>
        <w:spacing w:lineRule="auto" w:line="259" w:before="0" w:after="9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left="-5" w:hanging="10"/>
        <w:jc w:val="left"/>
        <w:rPr/>
      </w:pPr>
      <w:r>
        <w:rPr>
          <w:b/>
        </w:rPr>
        <w:t xml:space="preserve">Vzorová tabuľka k čl. III ods. 9  o vývoji opravných položiek k pohľadávkam </w:t>
      </w:r>
    </w:p>
    <w:tbl>
      <w:tblPr>
        <w:tblStyle w:val="TableGrid"/>
        <w:tblW w:w="10428" w:type="dxa"/>
        <w:jc w:val="left"/>
        <w:tblInd w:w="-70" w:type="dxa"/>
        <w:tblCellMar>
          <w:top w:w="50" w:type="dxa"/>
          <w:left w:w="106" w:type="dxa"/>
          <w:bottom w:w="0" w:type="dxa"/>
          <w:right w:w="65" w:type="dxa"/>
        </w:tblCellMar>
        <w:tblLook w:firstRow="1" w:noVBand="1" w:lastRow="0" w:firstColumn="1" w:lastColumn="0" w:noHBand="0" w:val="04a0"/>
      </w:tblPr>
      <w:tblGrid>
        <w:gridCol w:w="1660"/>
        <w:gridCol w:w="1820"/>
        <w:gridCol w:w="1722"/>
        <w:gridCol w:w="1684"/>
        <w:gridCol w:w="1625"/>
        <w:gridCol w:w="1916"/>
      </w:tblGrid>
      <w:tr>
        <w:trPr>
          <w:trHeight w:val="1020" w:hRule="atLeast"/>
        </w:trPr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7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Stav na začiatku bežného </w:t>
            </w:r>
          </w:p>
          <w:p>
            <w:pPr>
              <w:pStyle w:val="Normal"/>
              <w:spacing w:lineRule="auto" w:line="259" w:before="0" w:after="0"/>
              <w:ind w:left="3" w:hanging="0"/>
              <w:jc w:val="center"/>
              <w:rPr/>
            </w:pPr>
            <w:r>
              <w:rPr>
                <w:b/>
              </w:rPr>
              <w:t xml:space="preserve">účtovného obdobia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37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Tvorba opravnej položky </w:t>
            </w:r>
          </w:p>
          <w:p>
            <w:pPr>
              <w:pStyle w:val="Normal"/>
              <w:spacing w:lineRule="auto" w:line="259" w:before="0" w:after="0"/>
              <w:ind w:left="0" w:right="43" w:hanging="0"/>
              <w:jc w:val="center"/>
              <w:rPr/>
            </w:pPr>
            <w:r>
              <w:rPr>
                <w:b/>
              </w:rPr>
              <w:t xml:space="preserve">(zvýšenie)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5" w:hanging="0"/>
              <w:jc w:val="center"/>
              <w:rPr/>
            </w:pPr>
            <w:r>
              <w:rPr>
                <w:b/>
              </w:rPr>
              <w:t xml:space="preserve">Zníženie opravnej položky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8" w:hanging="8"/>
              <w:jc w:val="center"/>
              <w:rPr/>
            </w:pPr>
            <w:r>
              <w:rPr>
                <w:b/>
              </w:rPr>
              <w:t xml:space="preserve">Zúčtovanie  opravnej položky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Stav na konci bežného účtovného obdobia </w:t>
            </w:r>
          </w:p>
        </w:tc>
      </w:tr>
      <w:tr>
        <w:trPr>
          <w:trHeight w:val="766" w:hRule="atLeast"/>
        </w:trPr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277" w:hanging="0"/>
              <w:jc w:val="left"/>
              <w:rPr/>
            </w:pPr>
            <w:r>
              <w:rPr/>
              <w:t xml:space="preserve">Pohľadávky z obchodného styku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550" w:hRule="atLeast"/>
        </w:trPr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Ostatné pohľadávky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768" w:hRule="atLeast"/>
        </w:trPr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Pohľadávky voči účastníkom združení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550" w:hRule="atLeast"/>
        </w:trPr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Iné pohľadávky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550" w:hRule="atLeast"/>
        </w:trPr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Pohľadávky spolu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</w:tr>
    </w:tbl>
    <w:p>
      <w:pPr>
        <w:pStyle w:val="Normal"/>
        <w:spacing w:lineRule="auto" w:line="259" w:before="0" w:after="98"/>
        <w:ind w:lef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spacing w:lineRule="auto" w:line="259" w:before="0" w:after="98"/>
        <w:ind w:lef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>
          <w:b/>
        </w:rPr>
        <w:t xml:space="preserve">Vzorová tabuľka k čl. III ods. 10  o pohľadávkach do lehoty splatnosti a po lehote splatnosti </w:t>
      </w:r>
      <w:r>
        <w:rPr/>
        <w:t xml:space="preserve"> </w:t>
      </w:r>
    </w:p>
    <w:tbl>
      <w:tblPr>
        <w:tblStyle w:val="TableGrid"/>
        <w:tblW w:w="10384" w:type="dxa"/>
        <w:jc w:val="left"/>
        <w:tblInd w:w="-70" w:type="dxa"/>
        <w:tblCellMar>
          <w:top w:w="50" w:type="dxa"/>
          <w:left w:w="106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3525"/>
        <w:gridCol w:w="3133"/>
        <w:gridCol w:w="3726"/>
      </w:tblGrid>
      <w:tr>
        <w:trPr>
          <w:trHeight w:val="408" w:hRule="atLeast"/>
        </w:trPr>
        <w:tc>
          <w:tcPr>
            <w:tcW w:w="3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6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2" w:hanging="0"/>
              <w:jc w:val="center"/>
              <w:rPr/>
            </w:pPr>
            <w:r>
              <w:rPr>
                <w:b/>
              </w:rPr>
              <w:t xml:space="preserve">Stav na konci </w:t>
            </w:r>
          </w:p>
        </w:tc>
      </w:tr>
      <w:tr>
        <w:trPr>
          <w:trHeight w:val="634" w:hRule="atLeast"/>
        </w:trPr>
        <w:tc>
          <w:tcPr>
            <w:tcW w:w="35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12" w:hanging="0"/>
              <w:jc w:val="center"/>
              <w:rPr/>
            </w:pPr>
            <w:r>
              <w:rPr>
                <w:b/>
              </w:rPr>
              <w:t xml:space="preserve">bežného účtovného obdobia 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bezprostredne predchádzajúceho účtovného obdobia </w:t>
            </w:r>
          </w:p>
        </w:tc>
      </w:tr>
      <w:tr>
        <w:trPr>
          <w:trHeight w:val="382" w:hRule="atLeast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Pohľadávky do lehoty splatnosti 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382" w:hRule="atLeast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Pohľadávky po lehote splatnosti 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384" w:hRule="atLeast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Pohľadávky spolu 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</w:tr>
    </w:tbl>
    <w:p>
      <w:pPr>
        <w:pStyle w:val="Normal"/>
        <w:spacing w:lineRule="auto" w:line="259" w:before="0" w:after="9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left="-5" w:hanging="10"/>
        <w:jc w:val="left"/>
        <w:rPr/>
      </w:pPr>
      <w:r>
        <w:rPr>
          <w:b/>
        </w:rPr>
        <w:t>Vzorová tabuľka k čl. III ods. 12 o zmenách vlastných zdrojov krytia neobežného majetku a obežného majetku</w:t>
      </w:r>
      <w:r>
        <w:rPr/>
        <w:t xml:space="preserve">     </w:t>
      </w:r>
    </w:p>
    <w:tbl>
      <w:tblPr>
        <w:tblStyle w:val="TableGrid"/>
        <w:tblW w:w="10384" w:type="dxa"/>
        <w:jc w:val="left"/>
        <w:tblInd w:w="-70" w:type="dxa"/>
        <w:tblCellMar>
          <w:top w:w="50" w:type="dxa"/>
          <w:left w:w="106" w:type="dxa"/>
          <w:bottom w:w="0" w:type="dxa"/>
          <w:right w:w="60" w:type="dxa"/>
        </w:tblCellMar>
        <w:tblLook w:firstRow="1" w:noVBand="1" w:lastRow="0" w:firstColumn="1" w:lastColumn="0" w:noHBand="0" w:val="04a0"/>
      </w:tblPr>
      <w:tblGrid>
        <w:gridCol w:w="2201"/>
        <w:gridCol w:w="2258"/>
        <w:gridCol w:w="1622"/>
        <w:gridCol w:w="1447"/>
        <w:gridCol w:w="1576"/>
        <w:gridCol w:w="1279"/>
      </w:tblGrid>
      <w:tr>
        <w:trPr>
          <w:trHeight w:val="1272" w:hRule="atLeast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06" w:right="207" w:hanging="0"/>
              <w:jc w:val="center"/>
              <w:rPr/>
            </w:pPr>
            <w:r>
              <w:rPr>
                <w:b/>
              </w:rPr>
              <w:t xml:space="preserve">Prírastky (+)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51" w:hanging="0"/>
              <w:jc w:val="center"/>
              <w:rPr/>
            </w:pPr>
            <w:r>
              <w:rPr>
                <w:b/>
              </w:rPr>
              <w:t xml:space="preserve">Úbytky </w:t>
            </w:r>
          </w:p>
          <w:p>
            <w:pPr>
              <w:pStyle w:val="Normal"/>
              <w:spacing w:lineRule="auto" w:line="259" w:before="0" w:after="0"/>
              <w:ind w:left="0" w:right="50" w:hanging="0"/>
              <w:jc w:val="center"/>
              <w:rPr/>
            </w:pPr>
            <w:r>
              <w:rPr>
                <w:b/>
              </w:rPr>
              <w:t xml:space="preserve">(-)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51" w:hanging="0"/>
              <w:jc w:val="center"/>
              <w:rPr/>
            </w:pPr>
            <w:r>
              <w:rPr>
                <w:b/>
              </w:rPr>
              <w:t xml:space="preserve">Presuny </w:t>
            </w:r>
          </w:p>
          <w:p>
            <w:pPr>
              <w:pStyle w:val="Normal"/>
              <w:spacing w:lineRule="auto" w:line="259" w:before="0" w:after="0"/>
              <w:ind w:left="0" w:right="50" w:hanging="0"/>
              <w:jc w:val="center"/>
              <w:rPr/>
            </w:pPr>
            <w:r>
              <w:rPr>
                <w:b/>
              </w:rPr>
              <w:t xml:space="preserve">(+, -)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Stav na konci </w:t>
            </w:r>
          </w:p>
          <w:p>
            <w:pPr>
              <w:pStyle w:val="Normal"/>
              <w:spacing w:lineRule="auto" w:line="259" w:before="0" w:after="0"/>
              <w:ind w:left="0" w:right="46" w:hanging="0"/>
              <w:jc w:val="center"/>
              <w:rPr/>
            </w:pPr>
            <w:r>
              <w:rPr>
                <w:b/>
              </w:rPr>
              <w:t xml:space="preserve">bežného </w:t>
            </w:r>
          </w:p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účtovného obdobia </w:t>
            </w:r>
          </w:p>
        </w:tc>
      </w:tr>
      <w:tr>
        <w:trPr>
          <w:trHeight w:val="401" w:hRule="atLeast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>Imanie a fondy</w:t>
            </w:r>
            <w:r>
              <w:rPr/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4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</w:tr>
      <w:tr>
        <w:trPr>
          <w:trHeight w:val="401" w:hRule="atLeast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Základné imanie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  <w:r>
              <w:rPr/>
              <w:t>102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102 </w:t>
            </w:r>
          </w:p>
        </w:tc>
      </w:tr>
      <w:tr>
        <w:trPr>
          <w:trHeight w:val="768" w:hRule="atLeast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z toho:  </w:t>
            </w:r>
          </w:p>
          <w:p>
            <w:pPr>
              <w:pStyle w:val="Normal"/>
              <w:spacing w:lineRule="auto" w:line="259" w:before="0" w:after="0"/>
              <w:ind w:left="0" w:right="643" w:hanging="0"/>
              <w:jc w:val="left"/>
              <w:rPr/>
            </w:pPr>
            <w:r>
              <w:rPr/>
              <w:t xml:space="preserve">nadačné imanie v nadácii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401" w:hRule="atLeast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vklady zakladateľov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  <w:r>
              <w:rPr/>
              <w:t>102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102 </w:t>
            </w:r>
          </w:p>
        </w:tc>
      </w:tr>
      <w:tr>
        <w:trPr>
          <w:trHeight w:val="401" w:hRule="atLeast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prioritný majetok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516" w:hRule="atLeast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Fondy tvorené podľa osobitného predpisu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401" w:hRule="atLeast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Fond reprodukcie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768" w:hRule="atLeast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7" w:before="0" w:after="0"/>
              <w:ind w:left="0" w:right="193" w:hanging="0"/>
              <w:jc w:val="left"/>
              <w:rPr/>
            </w:pPr>
            <w:r>
              <w:rPr/>
              <w:t xml:space="preserve">Oceňovacie rozdiely z precenenia majetku a </w:t>
            </w:r>
          </w:p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záväzkov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766" w:hRule="atLeast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434" w:hanging="0"/>
              <w:rPr/>
            </w:pPr>
            <w:r>
              <w:rPr/>
              <w:t xml:space="preserve">Oceňovacie rozdiely z precenenia kapitálových účastín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401" w:hRule="atLeast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>Fondy zo zisku</w:t>
            </w:r>
            <w:r>
              <w:rPr/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4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</w:tr>
      <w:tr>
        <w:trPr>
          <w:trHeight w:val="404" w:hRule="atLeast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Rezervný fond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401" w:hRule="atLeast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Fondy tvorené zo zisku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401" w:hRule="atLeast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Ostatné fondy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766" w:hRule="atLeast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10" w:hanging="0"/>
              <w:jc w:val="left"/>
              <w:rPr/>
            </w:pPr>
            <w:r>
              <w:rPr/>
              <w:t xml:space="preserve">Nevysporiadaný výsledok hospodárenia minulých rokov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516" w:hRule="atLeast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Výsledok hospodárenia za účtovné obdobie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  <w:r>
              <w:rPr/>
              <w:t>88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-95 </w:t>
            </w:r>
          </w:p>
        </w:tc>
      </w:tr>
      <w:tr>
        <w:trPr>
          <w:trHeight w:val="401" w:hRule="atLeast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Spolu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7 </w:t>
            </w:r>
          </w:p>
        </w:tc>
      </w:tr>
    </w:tbl>
    <w:p>
      <w:pPr>
        <w:pStyle w:val="Normal"/>
        <w:spacing w:lineRule="auto" w:line="259" w:before="0" w:after="9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left="-5" w:hanging="10"/>
        <w:jc w:val="left"/>
        <w:rPr/>
      </w:pPr>
      <w:r>
        <w:rPr>
          <w:b/>
        </w:rPr>
        <w:t>Vzorová tabuľka k čl. III ods. 13 o rozdelení účtovného zisku alebo vysporiadaní účtovnej straty</w:t>
      </w:r>
      <w:r>
        <w:rPr/>
        <w:t xml:space="preserve"> </w:t>
      </w:r>
    </w:p>
    <w:tbl>
      <w:tblPr>
        <w:tblStyle w:val="TableGrid"/>
        <w:tblW w:w="9081" w:type="dxa"/>
        <w:jc w:val="left"/>
        <w:tblInd w:w="-108" w:type="dxa"/>
        <w:tblCellMar>
          <w:top w:w="50" w:type="dxa"/>
          <w:left w:w="108" w:type="dxa"/>
          <w:bottom w:w="0" w:type="dxa"/>
          <w:right w:w="60" w:type="dxa"/>
        </w:tblCellMar>
        <w:tblLook w:firstRow="1" w:noVBand="1" w:lastRow="0" w:firstColumn="1" w:lastColumn="0" w:noHBand="0" w:val="04a0"/>
      </w:tblPr>
      <w:tblGrid>
        <w:gridCol w:w="3862"/>
        <w:gridCol w:w="1394"/>
        <w:gridCol w:w="3825"/>
      </w:tblGrid>
      <w:tr>
        <w:trPr>
          <w:trHeight w:val="761" w:hRule="atLeast"/>
        </w:trPr>
        <w:tc>
          <w:tcPr>
            <w:tcW w:w="5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7" w:hanging="0"/>
              <w:jc w:val="center"/>
              <w:rPr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>
        <w:trPr>
          <w:trHeight w:val="334" w:hRule="atLeast"/>
        </w:trPr>
        <w:tc>
          <w:tcPr>
            <w:tcW w:w="5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Účtovný zisk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57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334" w:hRule="atLeast"/>
        </w:trPr>
        <w:tc>
          <w:tcPr>
            <w:tcW w:w="5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>Rozdelenie účtovného zisku</w:t>
            </w:r>
            <w:r>
              <w:rPr/>
              <w:t xml:space="preserve"> </w:t>
            </w:r>
          </w:p>
        </w:tc>
        <w:tc>
          <w:tcPr>
            <w:tcW w:w="3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</w:tr>
      <w:tr>
        <w:trPr>
          <w:trHeight w:val="334" w:hRule="atLeast"/>
        </w:trPr>
        <w:tc>
          <w:tcPr>
            <w:tcW w:w="5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Prídel do základného imania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57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334" w:hRule="atLeast"/>
        </w:trPr>
        <w:tc>
          <w:tcPr>
            <w:tcW w:w="5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Prídel do fondu tvoreného podľa osobitného predpisu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57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334" w:hRule="atLeast"/>
        </w:trPr>
        <w:tc>
          <w:tcPr>
            <w:tcW w:w="5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08" w:hanging="0"/>
              <w:jc w:val="left"/>
              <w:rPr/>
            </w:pPr>
            <w:r>
              <w:rPr/>
              <w:t xml:space="preserve">Prídel do fondu reprodukcie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1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334" w:hRule="atLeast"/>
        </w:trPr>
        <w:tc>
          <w:tcPr>
            <w:tcW w:w="5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08" w:hanging="0"/>
              <w:jc w:val="left"/>
              <w:rPr/>
            </w:pPr>
            <w:r>
              <w:rPr/>
              <w:t xml:space="preserve">Prídel do rezervného fondu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1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334" w:hRule="atLeast"/>
        </w:trPr>
        <w:tc>
          <w:tcPr>
            <w:tcW w:w="5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08" w:hanging="0"/>
              <w:jc w:val="left"/>
              <w:rPr/>
            </w:pPr>
            <w:r>
              <w:rPr/>
              <w:t xml:space="preserve">Prídel do fondu tvoreného zo zisku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1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334" w:hRule="atLeast"/>
        </w:trPr>
        <w:tc>
          <w:tcPr>
            <w:tcW w:w="5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08" w:hanging="0"/>
              <w:jc w:val="left"/>
              <w:rPr/>
            </w:pPr>
            <w:r>
              <w:rPr/>
              <w:t xml:space="preserve">Prídel do ostatných fondov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1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334" w:hRule="atLeast"/>
        </w:trPr>
        <w:tc>
          <w:tcPr>
            <w:tcW w:w="5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08" w:hanging="0"/>
              <w:jc w:val="left"/>
              <w:rPr/>
            </w:pPr>
            <w:r>
              <w:rPr/>
              <w:t xml:space="preserve">Úhrada straty minulých období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1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336" w:hRule="atLeast"/>
        </w:trPr>
        <w:tc>
          <w:tcPr>
            <w:tcW w:w="5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08" w:hanging="0"/>
              <w:jc w:val="left"/>
              <w:rPr/>
            </w:pPr>
            <w:r>
              <w:rPr/>
              <w:t xml:space="preserve">Prevod do sociálneho fondu 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1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514" w:hRule="atLeast"/>
        </w:trPr>
        <w:tc>
          <w:tcPr>
            <w:tcW w:w="5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08" w:hanging="0"/>
              <w:jc w:val="left"/>
              <w:rPr/>
            </w:pPr>
            <w:r>
              <w:rPr/>
              <w:t xml:space="preserve">Prevod  do nevysporiadaného výsledku hospodárenia minulých rokov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11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334" w:hRule="atLeast"/>
        </w:trPr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08" w:hanging="0"/>
              <w:jc w:val="left"/>
              <w:rPr/>
            </w:pPr>
            <w:r>
              <w:rPr/>
              <w:t xml:space="preserve">Iné  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1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334" w:hRule="atLeast"/>
        </w:trPr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08" w:hanging="0"/>
              <w:jc w:val="left"/>
              <w:rPr/>
            </w:pPr>
            <w:r>
              <w:rPr>
                <w:b/>
              </w:rPr>
              <w:t xml:space="preserve">Účtovná strata 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1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336" w:hRule="atLeast"/>
        </w:trPr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08" w:hanging="0"/>
              <w:jc w:val="left"/>
              <w:rPr/>
            </w:pPr>
            <w:r>
              <w:rPr>
                <w:b/>
              </w:rPr>
              <w:t>Vysporiadanie účtovnej straty</w:t>
            </w:r>
            <w:r>
              <w:rPr/>
              <w:t xml:space="preserve"> </w:t>
            </w:r>
          </w:p>
        </w:tc>
        <w:tc>
          <w:tcPr>
            <w:tcW w:w="52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</w:tr>
      <w:tr>
        <w:trPr>
          <w:trHeight w:val="334" w:hRule="atLeast"/>
        </w:trPr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08" w:hanging="0"/>
              <w:jc w:val="left"/>
              <w:rPr/>
            </w:pPr>
            <w:r>
              <w:rPr/>
              <w:t xml:space="preserve">Zo základného imania 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1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334" w:hRule="atLeast"/>
        </w:trPr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08" w:hanging="0"/>
              <w:jc w:val="left"/>
              <w:rPr/>
            </w:pPr>
            <w:r>
              <w:rPr/>
              <w:t xml:space="preserve">Z rezervného fondu 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1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334" w:hRule="atLeast"/>
        </w:trPr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08" w:hanging="0"/>
              <w:jc w:val="left"/>
              <w:rPr/>
            </w:pPr>
            <w:r>
              <w:rPr/>
              <w:t xml:space="preserve">Z fondu tvoreného zo zisku 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1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334" w:hRule="atLeast"/>
        </w:trPr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08" w:hanging="0"/>
              <w:jc w:val="left"/>
              <w:rPr/>
            </w:pPr>
            <w:r>
              <w:rPr/>
              <w:t xml:space="preserve">Z ostatných fondov 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1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334" w:hRule="atLeast"/>
        </w:trPr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08" w:hanging="0"/>
              <w:jc w:val="left"/>
              <w:rPr/>
            </w:pPr>
            <w:r>
              <w:rPr/>
              <w:t xml:space="preserve">Z nerozdeleného zisku minulých rokov 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1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516" w:hRule="atLeast"/>
        </w:trPr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08" w:hanging="0"/>
              <w:jc w:val="left"/>
              <w:rPr/>
            </w:pPr>
            <w:r>
              <w:rPr/>
              <w:t xml:space="preserve">Prevod </w:t>
              <w:tab/>
              <w:t xml:space="preserve">do </w:t>
              <w:tab/>
              <w:t xml:space="preserve">nevysporiadaného </w:t>
              <w:tab/>
              <w:t xml:space="preserve">výsledku minulých rokov 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rPr/>
            </w:pPr>
            <w:r>
              <w:rPr/>
              <w:t xml:space="preserve">hospodárenia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110" w:hanging="0"/>
              <w:jc w:val="center"/>
              <w:rPr/>
            </w:pPr>
            <w:r>
              <w:rPr/>
              <w:t xml:space="preserve"> </w:t>
            </w:r>
          </w:p>
        </w:tc>
      </w:tr>
      <w:tr>
        <w:trPr>
          <w:trHeight w:val="334" w:hRule="atLeast"/>
        </w:trPr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08" w:hanging="0"/>
              <w:jc w:val="left"/>
              <w:rPr/>
            </w:pPr>
            <w:r>
              <w:rPr/>
              <w:t xml:space="preserve">Iné  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110" w:hanging="0"/>
              <w:jc w:val="center"/>
              <w:rPr/>
            </w:pPr>
            <w:r>
              <w:rPr/>
              <w:t xml:space="preserve"> </w:t>
            </w:r>
          </w:p>
        </w:tc>
      </w:tr>
    </w:tbl>
    <w:p>
      <w:pPr>
        <w:pStyle w:val="Normal"/>
        <w:spacing w:lineRule="auto" w:line="259" w:before="0" w:after="98"/>
        <w:ind w:lef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spacing w:lineRule="auto" w:line="259" w:before="0" w:after="0"/>
        <w:ind w:left="-5" w:hanging="10"/>
        <w:jc w:val="left"/>
        <w:rPr/>
      </w:pPr>
      <w:r>
        <w:rPr>
          <w:b/>
        </w:rPr>
        <w:t>Vzorová tabuľka k čl. III ods. 14 písm. a) o  tvorbe a použití rezerv</w:t>
      </w:r>
      <w:r>
        <w:rPr/>
        <w:t xml:space="preserve"> </w:t>
      </w:r>
    </w:p>
    <w:tbl>
      <w:tblPr>
        <w:tblStyle w:val="TableGrid"/>
        <w:tblW w:w="10243" w:type="dxa"/>
        <w:jc w:val="left"/>
        <w:tblInd w:w="72" w:type="dxa"/>
        <w:tblCellMar>
          <w:top w:w="50" w:type="dxa"/>
          <w:left w:w="106" w:type="dxa"/>
          <w:bottom w:w="0" w:type="dxa"/>
          <w:right w:w="79" w:type="dxa"/>
        </w:tblCellMar>
        <w:tblLook w:firstRow="1" w:noVBand="1" w:lastRow="0" w:firstColumn="1" w:lastColumn="0" w:noHBand="0" w:val="04a0"/>
      </w:tblPr>
      <w:tblGrid>
        <w:gridCol w:w="2074"/>
        <w:gridCol w:w="1561"/>
        <w:gridCol w:w="1229"/>
        <w:gridCol w:w="1337"/>
        <w:gridCol w:w="1349"/>
        <w:gridCol w:w="2692"/>
      </w:tblGrid>
      <w:tr>
        <w:trPr>
          <w:trHeight w:val="1272" w:hRule="atLeast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right="27" w:hanging="0"/>
              <w:jc w:val="center"/>
              <w:rPr/>
            </w:pPr>
            <w:r>
              <w:rPr>
                <w:b/>
              </w:rPr>
              <w:t xml:space="preserve">Druh rezervy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7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Stav na začiatku </w:t>
            </w:r>
          </w:p>
          <w:p>
            <w:pPr>
              <w:pStyle w:val="Normal"/>
              <w:spacing w:lineRule="auto" w:line="259" w:before="0" w:after="0"/>
              <w:ind w:left="0" w:right="27" w:hanging="0"/>
              <w:jc w:val="center"/>
              <w:rPr/>
            </w:pPr>
            <w:r>
              <w:rPr>
                <w:b/>
              </w:rPr>
              <w:t xml:space="preserve">bežného </w:t>
            </w:r>
          </w:p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účtovného obdobia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right="29" w:hanging="0"/>
              <w:jc w:val="center"/>
              <w:rPr/>
            </w:pPr>
            <w:r>
              <w:rPr>
                <w:b/>
              </w:rPr>
              <w:t xml:space="preserve">Tvorba </w:t>
            </w:r>
          </w:p>
          <w:p>
            <w:pPr>
              <w:pStyle w:val="Normal"/>
              <w:spacing w:lineRule="auto" w:line="259" w:before="0" w:after="0"/>
              <w:ind w:left="0" w:right="27" w:hanging="0"/>
              <w:jc w:val="center"/>
              <w:rPr/>
            </w:pPr>
            <w:r>
              <w:rPr>
                <w:b/>
              </w:rPr>
              <w:t xml:space="preserve">rezerv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Použitie rezerv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Zrušenie alebo </w:t>
            </w:r>
          </w:p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zníženie rezerv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Stav na konci bežného účtovného obdobia </w:t>
            </w:r>
          </w:p>
        </w:tc>
      </w:tr>
      <w:tr>
        <w:trPr>
          <w:trHeight w:val="766" w:hRule="atLeast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Jednotlivé druhy krátkodobých zákonných rezerv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768" w:hRule="atLeast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Jednotlivé druhy dlhodobých zákonných rezerv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516" w:hRule="atLeast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Zákonné rezervy spolu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</w:tr>
      <w:tr>
        <w:trPr>
          <w:trHeight w:val="766" w:hRule="atLeast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Jednotlivé druhy krátkodobých ostatných rezerv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768" w:hRule="atLeast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Jednotlivé druhy dlhodobých ostatných rezerv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516" w:hRule="atLeast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Ostatné rezervy spolu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495" w:hRule="atLeast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Rezervy spolu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494" w:hRule="atLeast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</w:tbl>
    <w:p>
      <w:pPr>
        <w:pStyle w:val="Normal"/>
        <w:spacing w:lineRule="auto" w:line="259" w:before="0" w:after="100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9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9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left="-5" w:hanging="10"/>
        <w:jc w:val="left"/>
        <w:rPr/>
      </w:pPr>
      <w:r>
        <w:rPr>
          <w:b/>
        </w:rPr>
        <w:t>Vzorová tabuľka k čl. III ods. 14 písm. c) a d) o záväzkoch</w:t>
      </w:r>
      <w:r>
        <w:rPr/>
        <w:t xml:space="preserve"> </w:t>
      </w:r>
    </w:p>
    <w:tbl>
      <w:tblPr>
        <w:tblStyle w:val="TableGrid"/>
        <w:tblW w:w="9804" w:type="dxa"/>
        <w:jc w:val="left"/>
        <w:tblInd w:w="72" w:type="dxa"/>
        <w:tblCellMar>
          <w:top w:w="110" w:type="dxa"/>
          <w:left w:w="106" w:type="dxa"/>
          <w:bottom w:w="0" w:type="dxa"/>
          <w:right w:w="182" w:type="dxa"/>
        </w:tblCellMar>
        <w:tblLook w:firstRow="1" w:noVBand="1" w:lastRow="0" w:firstColumn="1" w:lastColumn="0" w:noHBand="0" w:val="04a0"/>
      </w:tblPr>
      <w:tblGrid>
        <w:gridCol w:w="4151"/>
        <w:gridCol w:w="2645"/>
        <w:gridCol w:w="3008"/>
      </w:tblGrid>
      <w:tr>
        <w:trPr>
          <w:trHeight w:val="689" w:hRule="atLeast"/>
        </w:trPr>
        <w:tc>
          <w:tcPr>
            <w:tcW w:w="4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Druh záväzkov </w:t>
            </w:r>
          </w:p>
        </w:tc>
        <w:tc>
          <w:tcPr>
            <w:tcW w:w="5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74" w:hanging="0"/>
              <w:jc w:val="center"/>
              <w:rPr/>
            </w:pPr>
            <w:r>
              <w:rPr>
                <w:b/>
              </w:rPr>
              <w:t xml:space="preserve">Stav na konci </w:t>
            </w:r>
          </w:p>
        </w:tc>
      </w:tr>
      <w:tr>
        <w:trPr>
          <w:trHeight w:val="888" w:hRule="atLeast"/>
        </w:trPr>
        <w:tc>
          <w:tcPr>
            <w:tcW w:w="41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16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13" w:hanging="0"/>
              <w:jc w:val="center"/>
              <w:rPr/>
            </w:pPr>
            <w:r>
              <w:rPr>
                <w:b/>
              </w:rPr>
              <w:t xml:space="preserve">bežného účtovného obdobia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7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bezprostredne predchádzajúceho účtovného </w:t>
            </w:r>
          </w:p>
          <w:p>
            <w:pPr>
              <w:pStyle w:val="Normal"/>
              <w:spacing w:lineRule="auto" w:line="259" w:before="0" w:after="0"/>
              <w:ind w:left="72" w:hanging="0"/>
              <w:jc w:val="center"/>
              <w:rPr/>
            </w:pPr>
            <w:r>
              <w:rPr>
                <w:b/>
              </w:rPr>
              <w:t xml:space="preserve">obdobia </w:t>
            </w:r>
          </w:p>
        </w:tc>
      </w:tr>
      <w:tr>
        <w:trPr>
          <w:trHeight w:val="677" w:hRule="atLeast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Záväzky po lehote splatnosti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679" w:hRule="atLeast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Záväzky do lehoty splatnosti so zostatkovou dobou splatnosti do jedného  roka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773" w:hRule="atLeast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Krátkodobé záväzky spolu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</w:tr>
      <w:tr>
        <w:trPr>
          <w:trHeight w:val="855" w:hRule="atLeast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rPr/>
            </w:pPr>
            <w:r>
              <w:rPr/>
              <w:t xml:space="preserve">Záväzky so zostatkovou dobou splatnosti od  jedného  do piatich  rokov  vrátane 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826" w:hRule="atLeast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Záväzky so zostatkovou dobou splatnosti viac ako päť rokov 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708" w:hRule="atLeast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Dlhodobé záväzky spolu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</w:tr>
      <w:tr>
        <w:trPr>
          <w:trHeight w:val="710" w:hRule="atLeast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Krátkodobé a dlhodobé záväzky spolu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</w:tr>
    </w:tbl>
    <w:p>
      <w:pPr>
        <w:pStyle w:val="Normal"/>
        <w:spacing w:lineRule="auto" w:line="259" w:before="0" w:after="98"/>
        <w:ind w:lef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spacing w:lineRule="auto" w:line="259" w:before="0" w:after="0"/>
        <w:ind w:left="-5" w:hanging="10"/>
        <w:jc w:val="left"/>
        <w:rPr/>
      </w:pPr>
      <w:r>
        <w:rPr>
          <w:b/>
        </w:rPr>
        <w:t>Vzorová tabuľka k čl. III ods. 14 písm. e) o vývoji sociálneho fondu</w:t>
      </w:r>
      <w:r>
        <w:rPr/>
        <w:t xml:space="preserve"> </w:t>
      </w:r>
    </w:p>
    <w:tbl>
      <w:tblPr>
        <w:tblStyle w:val="TableGrid"/>
        <w:tblW w:w="10243" w:type="dxa"/>
        <w:jc w:val="left"/>
        <w:tblInd w:w="72" w:type="dxa"/>
        <w:tblCellMar>
          <w:top w:w="50" w:type="dxa"/>
          <w:left w:w="106" w:type="dxa"/>
          <w:bottom w:w="0" w:type="dxa"/>
          <w:right w:w="217" w:type="dxa"/>
        </w:tblCellMar>
        <w:tblLook w:firstRow="1" w:noVBand="1" w:lastRow="0" w:firstColumn="1" w:lastColumn="0" w:noHBand="0" w:val="04a0"/>
      </w:tblPr>
      <w:tblGrid>
        <w:gridCol w:w="3826"/>
        <w:gridCol w:w="3209"/>
        <w:gridCol w:w="3208"/>
      </w:tblGrid>
      <w:tr>
        <w:trPr>
          <w:trHeight w:val="516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Sociálny fond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109" w:hanging="0"/>
              <w:jc w:val="center"/>
              <w:rPr/>
            </w:pPr>
            <w:r>
              <w:rPr>
                <w:b/>
              </w:rPr>
              <w:t xml:space="preserve">Bežné  účtovné obdobie 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749" w:hanging="593"/>
              <w:rPr/>
            </w:pPr>
            <w:r>
              <w:rPr>
                <w:b/>
              </w:rPr>
              <w:t xml:space="preserve">Bezprostredne predchádzajúce účtovné  obdobie </w:t>
            </w:r>
          </w:p>
        </w:tc>
      </w:tr>
      <w:tr>
        <w:trPr>
          <w:trHeight w:val="619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Stav k prvému dňu účtovného obdobia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</w:tr>
      <w:tr>
        <w:trPr>
          <w:trHeight w:val="384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Tvorba na ťarchu nákladov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29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Tvorba zo zisku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42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Čerpanie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569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Stav k poslednému dňu účtovného obdobia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</w:tr>
    </w:tbl>
    <w:p>
      <w:pPr>
        <w:pStyle w:val="Normal"/>
        <w:spacing w:lineRule="auto" w:line="259" w:before="0" w:after="0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left="-5" w:hanging="10"/>
        <w:jc w:val="left"/>
        <w:rPr/>
      </w:pPr>
      <w:r>
        <w:rPr>
          <w:b/>
        </w:rPr>
        <w:t>Vzorová tabuľka k čl. III ods. 14 písm. f) o bankových úveroch, pôžičkách a návratných finančných výpomociach</w:t>
      </w:r>
      <w:r>
        <w:rPr/>
        <w:t xml:space="preserve"> </w:t>
      </w:r>
    </w:p>
    <w:tbl>
      <w:tblPr>
        <w:tblStyle w:val="TableGrid"/>
        <w:tblW w:w="10243" w:type="dxa"/>
        <w:jc w:val="left"/>
        <w:tblInd w:w="72" w:type="dxa"/>
        <w:tblCellMar>
          <w:top w:w="0" w:type="dxa"/>
          <w:left w:w="106" w:type="dxa"/>
          <w:bottom w:w="0" w:type="dxa"/>
          <w:right w:w="91" w:type="dxa"/>
        </w:tblCellMar>
        <w:tblLook w:firstRow="1" w:noVBand="1" w:lastRow="0" w:firstColumn="1" w:lastColumn="0" w:noHBand="0" w:val="04a0"/>
      </w:tblPr>
      <w:tblGrid>
        <w:gridCol w:w="1322"/>
        <w:gridCol w:w="830"/>
        <w:gridCol w:w="1203"/>
        <w:gridCol w:w="1231"/>
        <w:gridCol w:w="1617"/>
        <w:gridCol w:w="1781"/>
        <w:gridCol w:w="2258"/>
      </w:tblGrid>
      <w:tr>
        <w:trPr>
          <w:trHeight w:val="1510" w:hRule="atLeast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Druh cudzieho zdroja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14" w:hanging="0"/>
              <w:jc w:val="left"/>
              <w:rPr/>
            </w:pPr>
            <w:r>
              <w:rPr>
                <w:b/>
              </w:rPr>
              <w:t xml:space="preserve">Mena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Výška úroku v %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Splatnosť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Forma zabezpečenia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Suma istiny na konci bežného účtovného obdobia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37" w:before="0" w:after="2"/>
              <w:ind w:left="0" w:hanging="0"/>
              <w:jc w:val="center"/>
              <w:rPr/>
            </w:pPr>
            <w:r>
              <w:rPr>
                <w:b/>
              </w:rPr>
              <w:t xml:space="preserve">Suma istiny na konci bezprostredne </w:t>
            </w:r>
          </w:p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predchádzajúceho účtovného obdobia </w:t>
            </w:r>
          </w:p>
        </w:tc>
      </w:tr>
      <w:tr>
        <w:trPr>
          <w:trHeight w:val="979" w:hRule="atLeast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Krátkodobý bankový úver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776" w:hRule="atLeast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Pôžička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982" w:hRule="atLeast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Návratná finančná výpomoc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979" w:hRule="atLeast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Dlhodobý bankový úver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746" w:hRule="atLeast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Spolu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</w:tr>
    </w:tbl>
    <w:p>
      <w:pPr>
        <w:pStyle w:val="Normal"/>
        <w:spacing w:lineRule="auto" w:line="259" w:before="0" w:after="98"/>
        <w:ind w:lef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spacing w:lineRule="auto" w:line="259" w:before="0" w:after="0"/>
        <w:ind w:left="-5" w:hanging="10"/>
        <w:jc w:val="left"/>
        <w:rPr/>
      </w:pPr>
      <w:r>
        <w:rPr>
          <w:b/>
        </w:rPr>
        <w:t>Vzorová tabuľka k čl. III ods. 15 o významných položkách výnosov budúcich období</w:t>
      </w:r>
      <w:r>
        <w:rPr/>
        <w:t xml:space="preserve"> </w:t>
      </w:r>
    </w:p>
    <w:tbl>
      <w:tblPr>
        <w:tblStyle w:val="TableGrid"/>
        <w:tblW w:w="10384" w:type="dxa"/>
        <w:jc w:val="left"/>
        <w:tblInd w:w="-70" w:type="dxa"/>
        <w:tblCellMar>
          <w:top w:w="50" w:type="dxa"/>
          <w:left w:w="106" w:type="dxa"/>
          <w:bottom w:w="0" w:type="dxa"/>
          <w:right w:w="90" w:type="dxa"/>
        </w:tblCellMar>
        <w:tblLook w:firstRow="1" w:noVBand="1" w:lastRow="0" w:firstColumn="1" w:lastColumn="0" w:noHBand="0" w:val="04a0"/>
      </w:tblPr>
      <w:tblGrid>
        <w:gridCol w:w="2152"/>
        <w:gridCol w:w="2583"/>
        <w:gridCol w:w="1486"/>
        <w:gridCol w:w="1533"/>
        <w:gridCol w:w="2630"/>
      </w:tblGrid>
      <w:tr>
        <w:trPr>
          <w:trHeight w:val="1140" w:hRule="atLeast"/>
        </w:trPr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Položky výnosov budúcich období z dôvodu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7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Stav na konci bezprostredne </w:t>
            </w:r>
          </w:p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predchádzajúceho účtovného obdobia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right="24" w:hanging="0"/>
              <w:jc w:val="center"/>
              <w:rPr/>
            </w:pPr>
            <w:r>
              <w:rPr>
                <w:b/>
              </w:rPr>
              <w:t xml:space="preserve">Prírastky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right="20" w:hanging="0"/>
              <w:jc w:val="center"/>
              <w:rPr/>
            </w:pPr>
            <w:r>
              <w:rPr>
                <w:b/>
              </w:rPr>
              <w:t xml:space="preserve">Úbytky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Stav na konci bežného účtovného obdobia </w:t>
            </w:r>
          </w:p>
        </w:tc>
      </w:tr>
      <w:tr>
        <w:trPr>
          <w:trHeight w:val="991" w:hRule="atLeast"/>
        </w:trPr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bezodplatne nadobudnutého dlhodobého majetku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991" w:hRule="atLeast"/>
        </w:trPr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rPr/>
            </w:pPr>
            <w:r>
              <w:rPr/>
              <w:t xml:space="preserve">dlhodobého majetku obstaraného z dotácie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1016" w:hRule="atLeast"/>
        </w:trPr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331" w:hanging="0"/>
              <w:rPr/>
            </w:pPr>
            <w:r>
              <w:rPr/>
              <w:t xml:space="preserve">dlhodobého majetku  obstaraného z finančného daru 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1140" w:hRule="atLeast"/>
        </w:trPr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121" w:hanging="0"/>
              <w:rPr/>
            </w:pPr>
            <w:r>
              <w:rPr/>
              <w:t xml:space="preserve">dotácie zo štátneho rozpočtu alebo  z prostriedkov Európskej únie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1140" w:hRule="atLeast"/>
        </w:trPr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dotácie z rozpočtu obce alebo z rozpočtu vyššieho územného celku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583" w:hRule="atLeast"/>
        </w:trPr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grantu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610" w:hRule="atLeast"/>
        </w:trPr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podielu zaplatenej dane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1015" w:hRule="atLeast"/>
        </w:trPr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right="180" w:hanging="0"/>
              <w:rPr/>
            </w:pPr>
            <w:r>
              <w:rPr/>
              <w:t xml:space="preserve">dlhodobého  majetku  obstaraného z podielu zaplatenej dane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</w:tbl>
    <w:p>
      <w:pPr>
        <w:pStyle w:val="Normal"/>
        <w:spacing w:lineRule="auto" w:line="259" w:before="0" w:after="0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98"/>
        <w:ind w:lef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spacing w:lineRule="auto" w:line="259" w:before="0" w:after="98"/>
        <w:ind w:lef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spacing w:lineRule="auto" w:line="259" w:before="0" w:after="0"/>
        <w:ind w:left="-5" w:hanging="10"/>
        <w:jc w:val="left"/>
        <w:rPr/>
      </w:pPr>
      <w:r>
        <w:rPr>
          <w:b/>
        </w:rPr>
        <w:t>Vzorová tabuľka k čl. III ods. 16 o majetku prenajatom formou finančného prenájmu</w:t>
      </w:r>
      <w:r>
        <w:rPr/>
        <w:t xml:space="preserve"> </w:t>
      </w:r>
    </w:p>
    <w:tbl>
      <w:tblPr>
        <w:tblStyle w:val="TableGrid"/>
        <w:tblW w:w="10384" w:type="dxa"/>
        <w:jc w:val="left"/>
        <w:tblInd w:w="-70" w:type="dxa"/>
        <w:tblCellMar>
          <w:top w:w="50" w:type="dxa"/>
          <w:left w:w="106" w:type="dxa"/>
          <w:bottom w:w="0" w:type="dxa"/>
          <w:right w:w="59" w:type="dxa"/>
        </w:tblCellMar>
        <w:tblLook w:firstRow="1" w:noVBand="1" w:lastRow="0" w:firstColumn="1" w:lastColumn="0" w:noHBand="0" w:val="04a0"/>
      </w:tblPr>
      <w:tblGrid>
        <w:gridCol w:w="2202"/>
        <w:gridCol w:w="2500"/>
        <w:gridCol w:w="1524"/>
        <w:gridCol w:w="1898"/>
        <w:gridCol w:w="2260"/>
      </w:tblGrid>
      <w:tr>
        <w:trPr>
          <w:trHeight w:val="1140" w:hRule="atLeast"/>
        </w:trPr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right="48" w:hanging="0"/>
              <w:jc w:val="center"/>
              <w:rPr/>
            </w:pPr>
            <w:r>
              <w:rPr>
                <w:b/>
              </w:rPr>
              <w:t xml:space="preserve">Záväzok 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7" w:before="0" w:after="2"/>
              <w:ind w:left="0" w:hanging="0"/>
              <w:jc w:val="center"/>
              <w:rPr/>
            </w:pPr>
            <w:r>
              <w:rPr>
                <w:b/>
              </w:rPr>
              <w:t xml:space="preserve">Stav na konci bezprostredne </w:t>
            </w:r>
          </w:p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predchádzajúceho účtovného obdobia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right="51" w:hanging="0"/>
              <w:jc w:val="center"/>
              <w:rPr/>
            </w:pPr>
            <w:r>
              <w:rPr>
                <w:b/>
              </w:rPr>
              <w:t xml:space="preserve">Istina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right="49" w:hanging="0"/>
              <w:jc w:val="center"/>
              <w:rPr/>
            </w:pPr>
            <w:r>
              <w:rPr>
                <w:b/>
              </w:rPr>
              <w:t xml:space="preserve">Finančný náklad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Stav na konci bežného účtovného obdobia </w:t>
            </w:r>
          </w:p>
        </w:tc>
      </w:tr>
      <w:tr>
        <w:trPr>
          <w:trHeight w:val="636" w:hRule="atLeast"/>
        </w:trPr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2036" w:leader="none"/>
              </w:tabs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Celková </w:t>
              <w:tab/>
              <w:t xml:space="preserve">suma </w:t>
            </w:r>
          </w:p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dohodnutých platieb 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382" w:hRule="atLeast"/>
        </w:trPr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do jedného roka vrátane 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634" w:hRule="atLeast"/>
        </w:trPr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rPr/>
            </w:pPr>
            <w:r>
              <w:rPr/>
              <w:t xml:space="preserve">od jedného roka do piatich  rokov vrátane 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384" w:hRule="atLeast"/>
        </w:trPr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viac ako päť rokov 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</w:tbl>
    <w:p>
      <w:pPr>
        <w:pStyle w:val="Normal"/>
        <w:spacing w:lineRule="auto" w:line="259" w:before="0" w:after="9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left="-5" w:hanging="10"/>
        <w:jc w:val="left"/>
        <w:rPr/>
      </w:pPr>
      <w:r>
        <w:rPr>
          <w:b/>
        </w:rPr>
        <w:t xml:space="preserve">Vzorová tabuľka k čl. IV  ods. 6 o účele a výške použitia podielu zaplatenej dane     </w:t>
      </w:r>
    </w:p>
    <w:tbl>
      <w:tblPr>
        <w:tblStyle w:val="TableGrid"/>
        <w:tblW w:w="10188" w:type="dxa"/>
        <w:jc w:val="left"/>
        <w:tblInd w:w="-70" w:type="dxa"/>
        <w:tblCellMar>
          <w:top w:w="53" w:type="dxa"/>
          <w:left w:w="106" w:type="dxa"/>
          <w:bottom w:w="0" w:type="dxa"/>
          <w:right w:w="82" w:type="dxa"/>
        </w:tblCellMar>
        <w:tblLook w:firstRow="1" w:noVBand="1" w:lastRow="0" w:firstColumn="1" w:lastColumn="0" w:noHBand="0" w:val="04a0"/>
      </w:tblPr>
      <w:tblGrid>
        <w:gridCol w:w="4966"/>
        <w:gridCol w:w="2940"/>
        <w:gridCol w:w="2282"/>
      </w:tblGrid>
      <w:tr>
        <w:trPr>
          <w:trHeight w:val="1020" w:hRule="atLeast"/>
        </w:trPr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right="29" w:hanging="0"/>
              <w:jc w:val="center"/>
              <w:rPr/>
            </w:pPr>
            <w:r>
              <w:rPr>
                <w:b/>
              </w:rPr>
              <w:t xml:space="preserve">Účel použitia podielu zaplatenej dane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7" w:before="0" w:after="0"/>
              <w:ind w:left="605" w:right="631" w:hanging="0"/>
              <w:jc w:val="center"/>
              <w:rPr/>
            </w:pPr>
            <w:r>
              <w:rPr>
                <w:b/>
              </w:rPr>
              <w:t xml:space="preserve">Použitá suma z bezprostredne </w:t>
            </w:r>
          </w:p>
          <w:p>
            <w:pPr>
              <w:pStyle w:val="Normal"/>
              <w:spacing w:lineRule="auto" w:line="259" w:before="0" w:after="0"/>
              <w:ind w:left="24" w:hanging="0"/>
              <w:jc w:val="left"/>
              <w:rPr/>
            </w:pPr>
            <w:r>
              <w:rPr>
                <w:b/>
              </w:rPr>
              <w:t xml:space="preserve">predchádzajúceho účtovného </w:t>
            </w:r>
          </w:p>
          <w:p>
            <w:pPr>
              <w:pStyle w:val="Normal"/>
              <w:spacing w:lineRule="auto" w:line="259" w:before="0" w:after="0"/>
              <w:ind w:left="0" w:right="26" w:hanging="0"/>
              <w:jc w:val="center"/>
              <w:rPr/>
            </w:pPr>
            <w:r>
              <w:rPr>
                <w:b/>
              </w:rPr>
              <w:t xml:space="preserve">obdobia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</w:rPr>
              <w:t xml:space="preserve">Použitá suma bežného účtovného obdobia </w:t>
            </w:r>
          </w:p>
        </w:tc>
      </w:tr>
      <w:tr>
        <w:trPr>
          <w:trHeight w:val="396" w:hRule="atLeast"/>
        </w:trPr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394" w:hRule="atLeast"/>
        </w:trPr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396" w:hRule="atLeast"/>
        </w:trPr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396" w:hRule="atLeast"/>
        </w:trPr>
        <w:tc>
          <w:tcPr>
            <w:tcW w:w="7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Zostatok podielu zaplatenej dane bežného účtovného obdobia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</w:tr>
    </w:tbl>
    <w:p>
      <w:pPr>
        <w:pStyle w:val="Normal"/>
        <w:spacing w:lineRule="auto" w:line="259" w:before="0" w:after="9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left="-5" w:hanging="10"/>
        <w:jc w:val="left"/>
        <w:rPr/>
      </w:pPr>
      <w:r>
        <w:rPr>
          <w:b/>
        </w:rPr>
        <w:t xml:space="preserve">Vzorová tabuľka k čl. IV  ods. 8 o nákladoch vynaložených v súvislosti s auditom účtovnej závierky </w:t>
      </w:r>
    </w:p>
    <w:tbl>
      <w:tblPr>
        <w:tblStyle w:val="TableGrid"/>
        <w:tblW w:w="9285" w:type="dxa"/>
        <w:jc w:val="left"/>
        <w:tblInd w:w="-70" w:type="dxa"/>
        <w:tblCellMar>
          <w:top w:w="50" w:type="dxa"/>
          <w:left w:w="106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6308"/>
        <w:gridCol w:w="2976"/>
      </w:tblGrid>
      <w:tr>
        <w:trPr>
          <w:trHeight w:val="382" w:hRule="atLeast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Jednotlivé druhy nákladov za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2" w:hanging="0"/>
              <w:jc w:val="center"/>
              <w:rPr/>
            </w:pPr>
            <w:r>
              <w:rPr>
                <w:b/>
              </w:rPr>
              <w:t xml:space="preserve">Suma </w:t>
            </w:r>
          </w:p>
        </w:tc>
      </w:tr>
      <w:tr>
        <w:trPr>
          <w:trHeight w:val="384" w:hRule="atLeast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overenie účtovnej závierky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382" w:hRule="atLeast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uisťovacie audítorské služby okrem overenia účtovnej závierky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384" w:hRule="atLeast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súvisiace audítorské služby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382" w:hRule="atLeast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daňové poradenstvo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382" w:hRule="atLeast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ostatné neaudítorské služby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384" w:hRule="atLeast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Spolu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>
                <w:b/>
              </w:rPr>
              <w:t xml:space="preserve"> </w:t>
            </w:r>
          </w:p>
        </w:tc>
      </w:tr>
    </w:tbl>
    <w:p>
      <w:pPr>
        <w:pStyle w:val="Normal"/>
        <w:spacing w:lineRule="auto" w:line="259" w:before="0" w:after="0"/>
        <w:ind w:left="0" w:hanging="0"/>
        <w:jc w:val="left"/>
        <w:rPr/>
      </w:pPr>
      <w:r>
        <w:rPr/>
        <w:t xml:space="preserve"> </w:t>
      </w:r>
    </w:p>
    <w:sectPr>
      <w:footerReference w:type="default" r:id="rId3"/>
      <w:type w:val="nextPage"/>
      <w:pgSz w:w="11906" w:h="16838"/>
      <w:pgMar w:left="852" w:right="802" w:header="0" w:top="857" w:footer="943" w:bottom="1769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59" w:before="0" w:after="216"/>
      <w:ind w:left="0" w:right="5" w:hanging="0"/>
      <w:jc w:val="right"/>
      <w:rPr/>
    </w:pPr>
    <w:r>
      <w:rPr>
        <w:sz w:val="20"/>
      </w:rPr>
      <w:t xml:space="preserve">Strana </w:t>
    </w:r>
    <w:r>
      <w:rPr>
        <w:sz w:val="20"/>
      </w:rPr>
      <w:fldChar w:fldCharType="begin"/>
    </w:r>
    <w:r>
      <w:rPr>
        <w:sz w:val="20"/>
      </w:rPr>
      <w:instrText> PAGE </w:instrText>
    </w:r>
    <w:r>
      <w:rPr>
        <w:sz w:val="20"/>
      </w:rP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>
    <w:pPr>
      <w:pStyle w:val="Normal"/>
      <w:spacing w:lineRule="auto" w:line="259" w:before="0" w:after="0"/>
      <w:ind w:left="0" w:hanging="0"/>
      <w:jc w:val="left"/>
      <w:rPr/>
    </w:pPr>
    <w:r>
      <w:rPr>
        <w:sz w:val="20"/>
      </w:rPr>
      <w:t xml:space="preserve"> 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59" w:before="0" w:after="216"/>
      <w:ind w:left="0" w:right="46" w:hanging="0"/>
      <w:jc w:val="right"/>
      <w:rPr/>
    </w:pPr>
    <w:r>
      <w:rPr>
        <w:sz w:val="20"/>
      </w:rPr>
      <w:t xml:space="preserve">Strana </w:t>
    </w:r>
    <w:r>
      <w:rPr>
        <w:sz w:val="20"/>
      </w:rPr>
      <w:fldChar w:fldCharType="begin"/>
    </w:r>
    <w:r>
      <w:rPr>
        <w:sz w:val="20"/>
      </w:rPr>
      <w:instrText> PAGE </w:instrText>
    </w:r>
    <w:r>
      <w:rPr>
        <w:sz w:val="20"/>
      </w:rPr>
      <w:fldChar w:fldCharType="separate"/>
    </w:r>
    <w:r>
      <w:rPr>
        <w:sz w:val="20"/>
      </w:rPr>
      <w:t>25</w:t>
    </w:r>
    <w:r>
      <w:rPr>
        <w:sz w:val="20"/>
      </w:rPr>
      <w:fldChar w:fldCharType="end"/>
    </w:r>
    <w:r>
      <w:rPr>
        <w:sz w:val="20"/>
      </w:rPr>
      <w:t xml:space="preserve"> </w:t>
    </w:r>
  </w:p>
  <w:p>
    <w:pPr>
      <w:pStyle w:val="Normal"/>
      <w:spacing w:lineRule="auto" w:line="259" w:before="0" w:after="0"/>
      <w:ind w:left="0" w:hanging="0"/>
      <w:jc w:val="left"/>
      <w:rPr/>
    </w:pPr>
    <w:r>
      <w:rPr>
        <w:sz w:val="20"/>
      </w:rPr>
      <w:t xml:space="preserve"> 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2"/>
      <w:numFmt w:val="decimal"/>
      <w:lvlText w:val="(%1)"/>
      <w:lvlJc w:val="left"/>
      <w:pPr>
        <w:tabs>
          <w:tab w:val="num" w:pos="0"/>
        </w:tabs>
        <w:ind w:left="1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10" w:hanging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Arial" w:hAnsi="Arial" w:cs="Aria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Arial" w:hAnsi="Arial" w:cs="Aria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Arial" w:hAnsi="Arial" w:cs="Aria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Arial" w:hAnsi="Arial" w:cs="Arial" w:hint="default"/>
      </w:rPr>
    </w:lvl>
  </w:abstractNum>
  <w:abstractNum w:abstractNumId="4">
    <w:lvl w:ilvl="0">
      <w:start w:val="4"/>
      <w:numFmt w:val="decimal"/>
      <w:lvlText w:val="(%1)"/>
      <w:lvlJc w:val="left"/>
      <w:pPr>
        <w:tabs>
          <w:tab w:val="num" w:pos="0"/>
        </w:tabs>
        <w:ind w:left="271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1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211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7">
    <w:lvl w:ilvl="0">
      <w:start w:val="8"/>
      <w:numFmt w:val="lowerLetter"/>
      <w:lvlText w:val="%1)"/>
      <w:lvlJc w:val="left"/>
      <w:pPr>
        <w:tabs>
          <w:tab w:val="num" w:pos="0"/>
        </w:tabs>
        <w:ind w:left="261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8">
    <w:lvl w:ilvl="0">
      <w:start w:val="4"/>
      <w:numFmt w:val="decimal"/>
      <w:lvlText w:val="(%1)"/>
      <w:lvlJc w:val="left"/>
      <w:pPr>
        <w:tabs>
          <w:tab w:val="num" w:pos="0"/>
        </w:tabs>
        <w:ind w:left="1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3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5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7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9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1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3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5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7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1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10">
    <w:lvl w:ilvl="0">
      <w:start w:val="3"/>
      <w:numFmt w:val="decimal"/>
      <w:lvlText w:val="(%1)"/>
      <w:lvlJc w:val="left"/>
      <w:pPr>
        <w:tabs>
          <w:tab w:val="num" w:pos="0"/>
        </w:tabs>
        <w:ind w:left="271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11">
    <w:lvl w:ilvl="0">
      <w:start w:val="6"/>
      <w:numFmt w:val="decimal"/>
      <w:lvlText w:val="(%1)"/>
      <w:lvlJc w:val="left"/>
      <w:pPr>
        <w:tabs>
          <w:tab w:val="num" w:pos="0"/>
        </w:tabs>
        <w:ind w:left="1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12">
    <w:lvl w:ilvl="0">
      <w:start w:val="8"/>
      <w:numFmt w:val="decimal"/>
      <w:lvlText w:val="(%1)"/>
      <w:lvlJc w:val="left"/>
      <w:pPr>
        <w:tabs>
          <w:tab w:val="num" w:pos="0"/>
        </w:tabs>
        <w:ind w:left="1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0"/>
        </w:tabs>
        <w:ind w:left="1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14">
    <w:lvl w:ilvl="0">
      <w:start w:val="13"/>
      <w:numFmt w:val="decimal"/>
      <w:lvlText w:val="(%1)"/>
      <w:lvlJc w:val="left"/>
      <w:pPr>
        <w:tabs>
          <w:tab w:val="num" w:pos="0"/>
        </w:tabs>
        <w:ind w:left="372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15">
    <w:lvl w:ilvl="0">
      <w:start w:val="3"/>
      <w:numFmt w:val="lowerLetter"/>
      <w:lvlText w:val="%1)"/>
      <w:lvlJc w:val="left"/>
      <w:pPr>
        <w:tabs>
          <w:tab w:val="num" w:pos="0"/>
        </w:tabs>
        <w:ind w:left="211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201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2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7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4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1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3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17">
    <w:lvl w:ilvl="0">
      <w:start w:val="6"/>
      <w:numFmt w:val="lowerLetter"/>
      <w:lvlText w:val="%1)"/>
      <w:lvlJc w:val="left"/>
      <w:pPr>
        <w:tabs>
          <w:tab w:val="num" w:pos="0"/>
        </w:tabs>
        <w:ind w:left="211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211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19">
    <w:lvl w:ilvl="0">
      <w:start w:val="1"/>
      <w:numFmt w:val="lowerLetter"/>
      <w:lvlText w:val="%1)"/>
      <w:lvlJc w:val="left"/>
      <w:pPr>
        <w:tabs>
          <w:tab w:val="num" w:pos="0"/>
        </w:tabs>
        <w:ind w:left="21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21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24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044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764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484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204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924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644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20">
    <w:lvl w:ilvl="0">
      <w:start w:val="1"/>
      <w:numFmt w:val="decimal"/>
      <w:lvlText w:val="(%1)"/>
      <w:lvlJc w:val="left"/>
      <w:pPr>
        <w:tabs>
          <w:tab w:val="num" w:pos="0"/>
        </w:tabs>
        <w:ind w:left="272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21">
    <w:lvl w:ilvl="0">
      <w:start w:val="2"/>
      <w:numFmt w:val="lowerLetter"/>
      <w:lvlText w:val="%1)"/>
      <w:lvlJc w:val="left"/>
      <w:pPr>
        <w:tabs>
          <w:tab w:val="num" w:pos="0"/>
        </w:tabs>
        <w:ind w:left="211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22">
    <w:lvl w:ilvl="0">
      <w:start w:val="1"/>
      <w:numFmt w:val="decimal"/>
      <w:lvlText w:val="(%1)"/>
      <w:lvlJc w:val="left"/>
      <w:pPr>
        <w:tabs>
          <w:tab w:val="num" w:pos="0"/>
        </w:tabs>
        <w:ind w:left="1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23">
    <w:lvl w:ilvl="0">
      <w:start w:val="1"/>
      <w:numFmt w:val="lowerLetter"/>
      <w:lvlText w:val="%1)"/>
      <w:lvlJc w:val="left"/>
      <w:pPr>
        <w:tabs>
          <w:tab w:val="num" w:pos="0"/>
        </w:tabs>
        <w:ind w:left="1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24">
    <w:lvl w:ilvl="0">
      <w:start w:val="2"/>
      <w:numFmt w:val="lowerLetter"/>
      <w:lvlText w:val="%1)"/>
      <w:lvlJc w:val="left"/>
      <w:pPr>
        <w:tabs>
          <w:tab w:val="num" w:pos="0"/>
        </w:tabs>
        <w:ind w:left="211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25">
    <w:lvl w:ilvl="0">
      <w:start w:val="4"/>
      <w:numFmt w:val="decimal"/>
      <w:lvlText w:val="(%1)"/>
      <w:lvlJc w:val="left"/>
      <w:pPr>
        <w:tabs>
          <w:tab w:val="num" w:pos="0"/>
        </w:tabs>
        <w:ind w:left="271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2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47" w:before="0" w:after="108"/>
      <w:ind w:left="10" w:hanging="10"/>
      <w:jc w:val="both"/>
    </w:pPr>
    <w:rPr>
      <w:rFonts w:ascii="Arial" w:hAnsi="Arial" w:eastAsia="Arial" w:cs="Arial"/>
      <w:color w:val="000000"/>
      <w:kern w:val="0"/>
      <w:sz w:val="22"/>
      <w:szCs w:val="22"/>
      <w:lang w:val="sk-SK" w:eastAsia="sk-SK" w:bidi="ar-SA"/>
    </w:rPr>
  </w:style>
  <w:style w:type="paragraph" w:styleId="Nadpis1">
    <w:name w:val="Heading 1"/>
    <w:next w:val="Normal"/>
    <w:link w:val="Nadpis1Char"/>
    <w:uiPriority w:val="9"/>
    <w:unhideWhenUsed/>
    <w:qFormat/>
    <w:pPr>
      <w:keepNext w:val="true"/>
      <w:keepLines/>
      <w:widowControl/>
      <w:bidi w:val="0"/>
      <w:spacing w:lineRule="auto" w:line="259" w:before="0" w:after="99"/>
      <w:ind w:left="10" w:hanging="10"/>
      <w:jc w:val="left"/>
      <w:outlineLvl w:val="0"/>
    </w:pPr>
    <w:rPr>
      <w:rFonts w:ascii="Arial" w:hAnsi="Arial" w:eastAsia="Arial" w:cs="Arial"/>
      <w:color w:val="000000"/>
      <w:kern w:val="0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link w:val="Nadpis1"/>
    <w:qFormat/>
    <w:rPr>
      <w:rFonts w:ascii="Arial" w:hAnsi="Arial" w:eastAsia="Arial" w:cs="Arial"/>
      <w:color w:val="000000"/>
      <w:sz w:val="22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azpat">
    <w:name w:val="Záhlaví a zápatí"/>
    <w:basedOn w:val="Normal"/>
    <w:qFormat/>
    <w:pPr/>
    <w:rPr/>
  </w:style>
  <w:style w:type="paragraph" w:styleId="Zpat">
    <w:name w:val="Footer"/>
    <w:basedOn w:val="Zhlavazpat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LibreOffice/6.4.7.2$Windows_X86_64 LibreOffice_project/639b8ac485750d5696d7590a72ef1b496725cfb5</Application>
  <Pages>22</Pages>
  <Words>3335</Words>
  <Characters>20163</Characters>
  <CharactersWithSpaces>24328</CharactersWithSpaces>
  <Paragraphs>1320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2021-04-07T09:58:00Z</dcterms:created>
  <dc:creator>jvrskova</dc:creator>
  <dc:description/>
  <dc:language>cs-CZ</dc:language>
  <cp:lastModifiedBy>Andrej Kukla</cp:lastModifiedBy>
  <dcterms:modified xsi:type="dcterms:W3CDTF">2021-04-07T09:58:00Z</dcterms:modified>
  <cp:revision>2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