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leGrid"/>
        <w:tblW w:w="10375" w:type="dxa"/>
        <w:jc w:val="left"/>
        <w:tblInd w:w="-70" w:type="dxa"/>
        <w:tblCellMar>
          <w:top w:w="50" w:type="dxa"/>
          <w:left w:w="106" w:type="dxa"/>
          <w:bottom w:w="0" w:type="dxa"/>
          <w:right w:w="10" w:type="dxa"/>
        </w:tblCellMar>
        <w:tblLook w:firstRow="1" w:noVBand="1" w:lastRow="0" w:firstColumn="1" w:lastColumn="0" w:noHBand="0" w:val="04a0"/>
      </w:tblPr>
      <w:tblGrid>
        <w:gridCol w:w="3060"/>
        <w:gridCol w:w="2668"/>
        <w:gridCol w:w="339"/>
        <w:gridCol w:w="341"/>
        <w:gridCol w:w="340"/>
        <w:gridCol w:w="339"/>
        <w:gridCol w:w="340"/>
        <w:gridCol w:w="341"/>
        <w:gridCol w:w="339"/>
        <w:gridCol w:w="340"/>
        <w:gridCol w:w="567"/>
        <w:gridCol w:w="341"/>
        <w:gridCol w:w="341"/>
        <w:gridCol w:w="338"/>
        <w:gridCol w:w="341"/>
      </w:tblGrid>
      <w:tr>
        <w:trPr>
          <w:trHeight w:val="382" w:hRule="atLeast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>Poznámky (Úč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101" w:hanging="0"/>
              <w:jc w:val="right"/>
              <w:rPr/>
            </w:pPr>
            <w:r>
              <w:rPr>
                <w:b/>
              </w:rPr>
              <w:t xml:space="preserve">IČO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0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0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0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0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1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7 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9"/>
        <w:ind w:left="10" w:right="4" w:hanging="10"/>
        <w:jc w:val="center"/>
        <w:rPr/>
      </w:pPr>
      <w:r>
        <w:rPr>
          <w:b/>
        </w:rPr>
        <w:t xml:space="preserve">Čl. I </w:t>
      </w:r>
    </w:p>
    <w:p>
      <w:pPr>
        <w:pStyle w:val="Normal"/>
        <w:spacing w:lineRule="auto" w:line="259" w:before="0" w:after="99"/>
        <w:ind w:left="10" w:right="2" w:hanging="10"/>
        <w:jc w:val="center"/>
        <w:rPr/>
      </w:pPr>
      <w:r>
        <w:rPr>
          <w:b/>
        </w:rPr>
        <w:t xml:space="preserve">Všeobecné údaje </w:t>
      </w:r>
    </w:p>
    <w:p>
      <w:pPr>
        <w:pStyle w:val="Normal"/>
        <w:ind w:left="-5" w:hanging="10"/>
        <w:rPr/>
      </w:pPr>
      <w:r>
        <w:rPr/>
        <w:t xml:space="preserve">(1) Meno a priezvisko fyzickej osoby alebo názov právnickej osoby, ktorá je zakladateľom alebo zriaďovateľom účtovnej jednotky, dátum založenia alebo zriadenia účtovnej jednotky. </w:t>
      </w:r>
    </w:p>
    <w:p>
      <w:pPr>
        <w:pStyle w:val="Normal"/>
        <w:ind w:left="-5" w:hanging="10"/>
        <w:rPr/>
      </w:pPr>
      <w:r>
        <w:rPr/>
        <w:t xml:space="preserve">PhDr. Pavol Šmýkala, MBA, Lipová 66/37, 921 01 Piešťany </w:t>
      </w:r>
    </w:p>
    <w:p>
      <w:pPr>
        <w:pStyle w:val="Normal"/>
        <w:ind w:left="-5" w:hanging="10"/>
        <w:rPr/>
      </w:pPr>
      <w:r>
        <w:rPr/>
        <w:t xml:space="preserve">Ľuboš Kubišta, Dvorníky 520, 920 56 Dvorníky </w:t>
      </w:r>
    </w:p>
    <w:p>
      <w:pPr>
        <w:pStyle w:val="Normal"/>
        <w:ind w:left="-5" w:hanging="10"/>
        <w:rPr/>
      </w:pPr>
      <w:r>
        <w:rPr/>
        <w:t xml:space="preserve">Ing. Andrej Kukla, Dvorníky 5520, 920 56 Dvorníky </w:t>
      </w:r>
    </w:p>
    <w:p>
      <w:pPr>
        <w:pStyle w:val="Nadpis1"/>
        <w:ind w:left="-5" w:hanging="10"/>
        <w:rPr/>
      </w:pPr>
      <w:r>
        <w:rPr/>
        <w:t xml:space="preserve">09.10. 2015 </w:t>
      </w:r>
    </w:p>
    <w:p>
      <w:pPr>
        <w:pStyle w:val="Normal"/>
        <w:numPr>
          <w:ilvl w:val="0"/>
          <w:numId w:val="1"/>
        </w:numPr>
        <w:rPr/>
      </w:pPr>
      <w:r>
        <w:rPr/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p>
      <w:pPr>
        <w:pStyle w:val="Normal"/>
        <w:ind w:left="-5" w:hanging="10"/>
        <w:rPr/>
      </w:pPr>
      <w:r>
        <w:rPr/>
        <w:t xml:space="preserve">Peter Ondrašovič - riaditeľ </w:t>
      </w:r>
    </w:p>
    <w:p>
      <w:pPr>
        <w:pStyle w:val="Normal"/>
        <w:numPr>
          <w:ilvl w:val="0"/>
          <w:numId w:val="1"/>
        </w:numPr>
        <w:rPr/>
      </w:pPr>
      <w:r>
        <w:rPr/>
        <w:t xml:space="preserve">Opis činnosti, na účel ktorej bola účtovná jednotka zriadená a opis druhu podnikateľskej činnosti, ak ju účtovná jednotka vykonáva. </w:t>
      </w:r>
    </w:p>
    <w:p>
      <w:pPr>
        <w:pStyle w:val="Normal"/>
        <w:numPr>
          <w:ilvl w:val="0"/>
          <w:numId w:val="2"/>
        </w:numPr>
        <w:spacing w:before="0" w:after="0"/>
        <w:rPr/>
      </w:pPr>
      <w:r>
        <w:rPr/>
        <w:t xml:space="preserve">Poskytovanie zdravotnej starostlivosti v zmysle zákona č. 576/2004 Z.z. o zdravotnej starostlivosti, službách súvisiacich s poskytovaním zdravotnej starostlivosti a o zmene a doplnení niektorých zákonov a to: </w:t>
      </w:r>
    </w:p>
    <w:p>
      <w:pPr>
        <w:pStyle w:val="Normal"/>
        <w:spacing w:before="0" w:after="0"/>
        <w:ind w:left="-5" w:hanging="10"/>
        <w:rPr/>
      </w:pPr>
      <w:r>
        <w:rPr/>
        <w:t xml:space="preserve">-ošetrovateľská  starostlivosť v zariadeniach sociálnych služieb a v zariadeniach sociálnoprávnej ochrany detí a sociálnej kurately.  </w:t>
      </w:r>
    </w:p>
    <w:p>
      <w:pPr>
        <w:pStyle w:val="Normal"/>
        <w:numPr>
          <w:ilvl w:val="0"/>
          <w:numId w:val="2"/>
        </w:numPr>
        <w:spacing w:before="0" w:after="0"/>
        <w:rPr/>
      </w:pPr>
      <w:r>
        <w:rPr/>
        <w:t xml:space="preserve">Poskytovanie sociálnych služieb v zmysle zákona č. 448/2008 Z.z. o sociálnych službách a o zmene a doplnení zákona č. 455/1991 Zb. o živnostenskom podnikaní živnostenský zákon) v znení neskorších predpisov, a to: </w:t>
      </w:r>
    </w:p>
    <w:p>
      <w:pPr>
        <w:pStyle w:val="Normal"/>
        <w:numPr>
          <w:ilvl w:val="0"/>
          <w:numId w:val="3"/>
        </w:numPr>
        <w:spacing w:before="0" w:after="0"/>
        <w:rPr/>
      </w:pPr>
      <w:r>
        <w:rPr/>
        <w:t xml:space="preserve">sociálne služby na reišenie nerpiaznivej sociálnej situácie z dôvodu ťažkého zdravotného postihnutia, nepriaznivého zdravotného stavu alebo z dôvodu dovŕšenia dôchodkového veku, ktorými sú: </w:t>
      </w:r>
    </w:p>
    <w:p>
      <w:pPr>
        <w:pStyle w:val="Normal"/>
        <w:numPr>
          <w:ilvl w:val="0"/>
          <w:numId w:val="3"/>
        </w:numPr>
        <w:spacing w:before="0" w:after="0"/>
        <w:rPr/>
      </w:pPr>
      <w:r>
        <w:rPr/>
        <w:t xml:space="preserve">poskytovanie sociálnej služby v zariadení pre fyzického osoby, ktoré sú odkázané na pomoc inej fyzickej osoby a pre fyzické osoby, ktoré dovŕšili dôchodkový vek – v zariadení pre seniorov.  </w:t>
      </w:r>
    </w:p>
    <w:p>
      <w:pPr>
        <w:pStyle w:val="Normal"/>
        <w:spacing w:before="0" w:after="0"/>
        <w:ind w:left="-5" w:right="3326" w:hanging="10"/>
        <w:rPr/>
      </w:pPr>
      <w:r>
        <w:rPr/>
        <w:t xml:space="preserve">3) Tvorba, rozvoj, ochrana, obnova a prezentácia duchovných a kultúrnych hodnôt,  4) Vzdelávanie, výchova a rozvoj telesnej kultúry. </w:t>
      </w:r>
    </w:p>
    <w:p>
      <w:pPr>
        <w:pStyle w:val="Normal"/>
        <w:spacing w:lineRule="auto" w:line="259" w:before="0" w:after="0"/>
        <w:ind w:left="0" w:hanging="0"/>
        <w:jc w:val="left"/>
        <w:rPr/>
      </w:pPr>
      <w:r>
        <w:rPr/>
        <w:t xml:space="preserve"> </w:t>
      </w:r>
    </w:p>
    <w:p>
      <w:pPr>
        <w:pStyle w:val="Normal"/>
        <w:numPr>
          <w:ilvl w:val="0"/>
          <w:numId w:val="4"/>
        </w:numPr>
        <w:ind w:left="271" w:hanging="271"/>
        <w:rPr/>
      </w:pPr>
      <w:r>
        <w:rPr/>
        <w:t xml:space="preserve"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  </w:t>
      </w:r>
    </w:p>
    <w:p>
      <w:pPr>
        <w:pStyle w:val="Normal"/>
        <w:numPr>
          <w:ilvl w:val="0"/>
          <w:numId w:val="4"/>
        </w:numPr>
        <w:ind w:left="271" w:hanging="271"/>
        <w:rPr/>
      </w:pPr>
      <w:r>
        <w:rPr/>
        <w:t xml:space="preserve">Informácia o organizáciách v zriaďovateľskej pôsobnosti účtovnej jednotky. </w:t>
      </w:r>
    </w:p>
    <w:p>
      <w:pPr>
        <w:pStyle w:val="Normal"/>
        <w:numPr>
          <w:ilvl w:val="0"/>
          <w:numId w:val="4"/>
        </w:numPr>
        <w:ind w:left="271" w:hanging="271"/>
        <w:rPr/>
      </w:pPr>
      <w:r>
        <w:rPr/>
        <w:t xml:space="preserve">Údaje podľa odseku  4 a čl. III a IV  sa uvádzajú v textovej podobe a tabuľkovej podobe. 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9"/>
        <w:ind w:left="10" w:right="7" w:hanging="10"/>
        <w:jc w:val="center"/>
        <w:rPr/>
      </w:pPr>
      <w:r>
        <w:rPr>
          <w:b/>
        </w:rPr>
        <w:t xml:space="preserve">Čl. II </w:t>
      </w:r>
    </w:p>
    <w:p>
      <w:pPr>
        <w:pStyle w:val="Normal"/>
        <w:spacing w:lineRule="auto" w:line="259" w:before="0" w:after="99"/>
        <w:ind w:left="10" w:right="7" w:hanging="10"/>
        <w:jc w:val="center"/>
        <w:rPr/>
      </w:pPr>
      <w:r>
        <w:rPr>
          <w:b/>
        </w:rPr>
        <w:t xml:space="preserve">Informácie o účtovných zásadách a účtovných metódach </w:t>
      </w:r>
    </w:p>
    <w:p>
      <w:pPr>
        <w:pStyle w:val="Normal"/>
        <w:numPr>
          <w:ilvl w:val="0"/>
          <w:numId w:val="5"/>
        </w:numPr>
        <w:rPr/>
      </w:pPr>
      <w:r>
        <w:rPr/>
        <w:t xml:space="preserve">Informácia, či je účtovná závierka zostavená za splnenia predpokladu, že účtovná jednotka bude nepretržite pokračovať vo svojej činnosti. NIE </w:t>
      </w:r>
    </w:p>
    <w:p>
      <w:pPr>
        <w:pStyle w:val="Normal"/>
        <w:numPr>
          <w:ilvl w:val="0"/>
          <w:numId w:val="5"/>
        </w:numPr>
        <w:rPr/>
      </w:pPr>
      <w:r>
        <w:rPr/>
        <w:t xml:space="preserve">Zmeny účtovných zásad a zmeny účtovných metód s uvedením dôvodu týchto zmien a vyčíslením ich vplyvu na finančnú hodnotu majetku, záväzkov, základného imania a výsledku hospodárenia účtovnej jednotky. NIE (3) Spôsob oceňovania jednotlivých položiek majetku a záväzkov v členení na </w:t>
      </w:r>
    </w:p>
    <w:p>
      <w:pPr>
        <w:pStyle w:val="Normal"/>
        <w:numPr>
          <w:ilvl w:val="0"/>
          <w:numId w:val="6"/>
        </w:numPr>
        <w:ind w:left="211" w:hanging="211"/>
        <w:rPr/>
      </w:pPr>
      <w:r>
        <w:rPr/>
        <w:t xml:space="preserve">dlhodobý nehmotný majetok obstaraný kúpou, </w:t>
      </w:r>
    </w:p>
    <w:p>
      <w:pPr>
        <w:pStyle w:val="Normal"/>
        <w:numPr>
          <w:ilvl w:val="0"/>
          <w:numId w:val="6"/>
        </w:numPr>
        <w:ind w:left="211" w:hanging="211"/>
        <w:rPr/>
      </w:pPr>
      <w:r>
        <w:rPr/>
        <w:t xml:space="preserve">dlhodobý nehmotný majetok obstaraný vlastnou činnosťou, </w:t>
      </w:r>
    </w:p>
    <w:p>
      <w:pPr>
        <w:pStyle w:val="Normal"/>
        <w:numPr>
          <w:ilvl w:val="0"/>
          <w:numId w:val="6"/>
        </w:numPr>
        <w:ind w:left="211" w:hanging="211"/>
        <w:rPr/>
      </w:pPr>
      <w:r>
        <w:rPr/>
        <w:t xml:space="preserve">dlhodobý nehmotný majetok obstaraný iným spôsobom,  </w:t>
      </w:r>
    </w:p>
    <w:p>
      <w:pPr>
        <w:pStyle w:val="Normal"/>
        <w:numPr>
          <w:ilvl w:val="0"/>
          <w:numId w:val="6"/>
        </w:numPr>
        <w:ind w:left="211" w:hanging="211"/>
        <w:rPr/>
      </w:pPr>
      <w:r>
        <w:rPr/>
        <w:t xml:space="preserve">dlhodobý hmotný majetok obstaraný kúpou, </w:t>
      </w:r>
    </w:p>
    <w:p>
      <w:pPr>
        <w:pStyle w:val="Normal"/>
        <w:numPr>
          <w:ilvl w:val="0"/>
          <w:numId w:val="6"/>
        </w:numPr>
        <w:ind w:left="211" w:hanging="211"/>
        <w:rPr/>
      </w:pPr>
      <w:r>
        <w:rPr/>
        <w:t xml:space="preserve">dlhodobý hmotný majetok obstaraný vlastnou činnosťou, </w:t>
      </w:r>
    </w:p>
    <w:p>
      <w:pPr>
        <w:pStyle w:val="Normal"/>
        <w:numPr>
          <w:ilvl w:val="0"/>
          <w:numId w:val="6"/>
        </w:numPr>
        <w:ind w:left="211" w:hanging="211"/>
        <w:rPr/>
      </w:pPr>
      <w:r>
        <w:rPr/>
        <w:t xml:space="preserve">dlhodobý hmotný majetok obstaraný iným spôsobom, </w:t>
      </w:r>
    </w:p>
    <w:p>
      <w:pPr>
        <w:pStyle w:val="Nadpis1"/>
        <w:ind w:left="-5" w:hanging="10"/>
        <w:rPr/>
      </w:pPr>
      <w:r>
        <w:rPr/>
        <w:t xml:space="preserve">g) dlhodobý finančný majetok,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zásoby obstarané kúpou,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zásoby vytvorené vlastnou činnosťou,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zásoby obstarané iným spôsobom,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pohľadávky,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krátkodobý finančný majetok,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časové rozlíšenie na strane aktív,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záväzky vrátane rezerv, dlhopisov, pôžičiek a úverov,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časové rozlíšenie na strane pasív, </w:t>
      </w:r>
    </w:p>
    <w:p>
      <w:pPr>
        <w:pStyle w:val="Normal"/>
        <w:numPr>
          <w:ilvl w:val="0"/>
          <w:numId w:val="7"/>
        </w:numPr>
        <w:ind w:left="261" w:hanging="261"/>
        <w:rPr/>
      </w:pPr>
      <w:r>
        <w:rPr/>
        <w:t xml:space="preserve">deriváty, </w:t>
      </w:r>
    </w:p>
    <w:p>
      <w:pPr>
        <w:pStyle w:val="Normal"/>
        <w:ind w:left="-5" w:hanging="10"/>
        <w:rPr/>
      </w:pPr>
      <w:r>
        <w:rPr/>
        <w:t xml:space="preserve">r) majetok a záväzky zabezpečené derivátmi. </w:t>
      </w:r>
    </w:p>
    <w:p>
      <w:pPr>
        <w:pStyle w:val="Normal"/>
        <w:numPr>
          <w:ilvl w:val="0"/>
          <w:numId w:val="8"/>
        </w:numPr>
        <w:spacing w:lineRule="auto" w:line="237" w:before="0" w:after="119"/>
        <w:jc w:val="left"/>
        <w:rPr/>
      </w:pPr>
      <w:r>
        <w:rPr/>
        <w:t xml:space="preserve">Spôsob zostavenia odpisového plánu pre jednotlivé druhy dlhodobého hmotného majetku  a dlhodobého nehmotného majetku, pričom sa uvádza doba odpisovania, použité sadzby odpisov a odpisové metódy pri určení odpisov.: neodpisuje majetok </w:t>
      </w:r>
    </w:p>
    <w:p>
      <w:pPr>
        <w:pStyle w:val="Normal"/>
        <w:numPr>
          <w:ilvl w:val="0"/>
          <w:numId w:val="8"/>
        </w:numPr>
        <w:jc w:val="left"/>
        <w:rPr/>
      </w:pPr>
      <w:r>
        <w:rPr/>
        <w:t xml:space="preserve">Zásady pre zohľadnenie zníženia hodnoty majetku. Uvádza sa, či účtovná jednotka uplatňuje opravné položky (NIE) a rezervy (NIE).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9"/>
        <w:ind w:left="10" w:right="4" w:hanging="10"/>
        <w:jc w:val="center"/>
        <w:rPr/>
      </w:pPr>
      <w:r>
        <w:rPr>
          <w:b/>
        </w:rPr>
        <w:t xml:space="preserve">Čl. III </w:t>
      </w:r>
    </w:p>
    <w:p>
      <w:pPr>
        <w:pStyle w:val="Normal"/>
        <w:spacing w:lineRule="auto" w:line="259" w:before="0" w:after="99"/>
        <w:ind w:left="10" w:right="2" w:hanging="10"/>
        <w:jc w:val="center"/>
        <w:rPr/>
      </w:pPr>
      <w:r>
        <w:rPr>
          <w:b/>
        </w:rPr>
        <w:t xml:space="preserve">Informácie, ktoré dopĺňajú a vysvetľujú údaje v súvahe </w:t>
      </w:r>
    </w:p>
    <w:p>
      <w:pPr>
        <w:pStyle w:val="Nadpis1"/>
        <w:ind w:left="-5" w:hanging="10"/>
        <w:rPr/>
      </w:pPr>
      <w:r>
        <w:rPr/>
        <w:t xml:space="preserve">(1) Údaje o dlhodobom nehmotnom majetku a dlhodobom hmotnom majetku za bežné účtovné obdobie, a to </w:t>
      </w:r>
    </w:p>
    <w:p>
      <w:pPr>
        <w:pStyle w:val="Normal"/>
        <w:numPr>
          <w:ilvl w:val="0"/>
          <w:numId w:val="9"/>
        </w:numPr>
        <w:rPr/>
      </w:pPr>
      <w:r>
        <w:rPr/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>
      <w:pPr>
        <w:pStyle w:val="Normal"/>
        <w:numPr>
          <w:ilvl w:val="0"/>
          <w:numId w:val="9"/>
        </w:numPr>
        <w:rPr/>
      </w:pPr>
      <w:r>
        <w:rPr/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>
      <w:pPr>
        <w:pStyle w:val="Nadpis1"/>
        <w:ind w:left="-5" w:hanging="10"/>
        <w:rPr/>
      </w:pPr>
      <w:r>
        <w:rPr/>
        <w:t xml:space="preserve">- netvorili sa </w:t>
      </w:r>
    </w:p>
    <w:p>
      <w:pPr>
        <w:pStyle w:val="Normal"/>
        <w:ind w:left="-5" w:hanging="10"/>
        <w:rPr/>
      </w:pPr>
      <w:r>
        <w:rPr/>
        <w:t xml:space="preserve">c) prehľad o zostatkových cenách dlhodobého majetku na začiatku bežného účtovného obdobia a na konci bežného účtovného obdobia. </w:t>
      </w:r>
    </w:p>
    <w:p>
      <w:pPr>
        <w:pStyle w:val="Normal"/>
        <w:ind w:left="-5" w:hanging="10"/>
        <w:rPr/>
      </w:pPr>
      <w:r>
        <w:rPr/>
        <w:t xml:space="preserve">(2) Prehľad dlhodobého majetku, na ktorý je zriadené záložné právo a dlhodobého majetku, pri ktorom má účtovná jednotka obmedzené právo s ním nakladať. </w:t>
      </w:r>
    </w:p>
    <w:p>
      <w:pPr>
        <w:pStyle w:val="Nadpis1"/>
        <w:ind w:left="-5" w:hanging="10"/>
        <w:rPr/>
      </w:pPr>
      <w:r>
        <w:rPr/>
        <w:t xml:space="preserve">– </w:t>
      </w:r>
      <w:r>
        <w:rPr/>
        <w:t xml:space="preserve">nie je  </w:t>
      </w:r>
    </w:p>
    <w:p>
      <w:pPr>
        <w:pStyle w:val="Normal"/>
        <w:numPr>
          <w:ilvl w:val="0"/>
          <w:numId w:val="10"/>
        </w:numPr>
        <w:ind w:left="271" w:hanging="271"/>
        <w:rPr/>
      </w:pPr>
      <w:r>
        <w:rPr/>
        <w:t xml:space="preserve">Údaje o spôsobe a výške poistenia dlhodobého nehmotného majetku a dlhodobého hmotného majetku. </w:t>
      </w:r>
    </w:p>
    <w:p>
      <w:pPr>
        <w:pStyle w:val="Normal"/>
        <w:numPr>
          <w:ilvl w:val="0"/>
          <w:numId w:val="10"/>
        </w:numPr>
        <w:ind w:left="271" w:hanging="271"/>
        <w:rPr/>
      </w:pPr>
      <w:r>
        <w:rPr/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>
      <w:pPr>
        <w:pStyle w:val="Normal"/>
        <w:numPr>
          <w:ilvl w:val="0"/>
          <w:numId w:val="10"/>
        </w:numPr>
        <w:ind w:left="271" w:hanging="271"/>
        <w:rPr/>
      </w:pPr>
      <w:r>
        <w:rPr/>
        <w:t xml:space="preserve">Informácia o výške tvorby, zníženia a zúčtovania opravných položiek k dlhodobému finančnému majetku a opis dôvodu ich tvorby, zníženia a zúčtovania. </w:t>
      </w:r>
    </w:p>
    <w:p>
      <w:pPr>
        <w:pStyle w:val="Nadpis1"/>
        <w:ind w:left="-5" w:hanging="10"/>
        <w:rPr/>
      </w:pPr>
      <w:r>
        <w:rPr/>
        <w:t xml:space="preserve">- netvorili sa </w:t>
      </w:r>
    </w:p>
    <w:p>
      <w:pPr>
        <w:pStyle w:val="Normal"/>
        <w:numPr>
          <w:ilvl w:val="0"/>
          <w:numId w:val="11"/>
        </w:numPr>
        <w:spacing w:before="0" w:after="10"/>
        <w:rPr/>
      </w:pPr>
      <w:r>
        <w:rPr/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</w:t>
      </w:r>
    </w:p>
    <w:tbl>
      <w:tblPr>
        <w:tblStyle w:val="TableGrid"/>
        <w:tblW w:w="9926" w:type="dxa"/>
        <w:jc w:val="left"/>
        <w:tblInd w:w="139" w:type="dxa"/>
        <w:tblCellMar>
          <w:top w:w="51" w:type="dxa"/>
          <w:left w:w="106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962"/>
        <w:gridCol w:w="2412"/>
        <w:gridCol w:w="2552"/>
      </w:tblGrid>
      <w:tr>
        <w:trPr>
          <w:trHeight w:val="768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7" w:hanging="0"/>
              <w:jc w:val="center"/>
              <w:rPr/>
            </w:pPr>
            <w:r>
              <w:rPr/>
              <w:t xml:space="preserve"> </w:t>
            </w:r>
          </w:p>
          <w:p>
            <w:pPr>
              <w:pStyle w:val="Normal"/>
              <w:spacing w:lineRule="auto" w:line="259" w:before="0" w:after="0"/>
              <w:ind w:left="9" w:hanging="0"/>
              <w:jc w:val="center"/>
              <w:rPr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60" w:hanging="0"/>
              <w:jc w:val="left"/>
              <w:rPr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2"/>
              <w:ind w:left="0" w:hanging="0"/>
              <w:jc w:val="center"/>
              <w:rPr/>
            </w:pPr>
            <w:r>
              <w:rPr>
                <w:b/>
              </w:rPr>
              <w:t xml:space="preserve">Bezprostredne predchádzajúce účtovné </w:t>
            </w:r>
          </w:p>
          <w:p>
            <w:pPr>
              <w:pStyle w:val="Normal"/>
              <w:spacing w:lineRule="auto" w:line="259" w:before="0" w:after="0"/>
              <w:ind w:left="4" w:hanging="0"/>
              <w:jc w:val="center"/>
              <w:rPr/>
            </w:pPr>
            <w:r>
              <w:rPr>
                <w:b/>
              </w:rPr>
              <w:t xml:space="preserve">obdobie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Pokladnica, ceniny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Bežné bankové účty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>49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Bankové účty termínované 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Peniaze na ceste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SPOLU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>49</w:t>
            </w:r>
          </w:p>
        </w:tc>
      </w:tr>
    </w:tbl>
    <w:p>
      <w:pPr>
        <w:pStyle w:val="Normal"/>
        <w:spacing w:lineRule="auto" w:line="259" w:before="0" w:after="100"/>
        <w:ind w:left="0" w:hanging="0"/>
        <w:jc w:val="left"/>
        <w:rPr/>
      </w:pPr>
      <w:r>
        <w:rPr/>
        <w:t xml:space="preserve"> </w:t>
      </w:r>
    </w:p>
    <w:p>
      <w:pPr>
        <w:pStyle w:val="Normal"/>
        <w:numPr>
          <w:ilvl w:val="0"/>
          <w:numId w:val="11"/>
        </w:numPr>
        <w:rPr/>
      </w:pPr>
      <w:r>
        <w:rPr/>
        <w:t xml:space="preserve">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>
      <w:pPr>
        <w:pStyle w:val="Nadpis1"/>
        <w:ind w:left="-5" w:hanging="10"/>
        <w:rPr/>
      </w:pPr>
      <w:r>
        <w:rPr/>
        <w:t xml:space="preserve">-netvorili sa </w:t>
      </w:r>
    </w:p>
    <w:p>
      <w:pPr>
        <w:pStyle w:val="Normal"/>
        <w:numPr>
          <w:ilvl w:val="0"/>
          <w:numId w:val="12"/>
        </w:numPr>
        <w:rPr/>
      </w:pPr>
      <w:r>
        <w:rPr/>
        <w:t xml:space="preserve">Opis významných pohľadávok v nadväznosti na položky súvahy a v členení na pohľadávky za hlavnú nezdaňovanú  činnosť,  zdaňovanú činnosť a podnikateľskú činnosť. </w:t>
      </w:r>
    </w:p>
    <w:p>
      <w:pPr>
        <w:pStyle w:val="Normal"/>
        <w:numPr>
          <w:ilvl w:val="0"/>
          <w:numId w:val="12"/>
        </w:numPr>
        <w:rPr/>
      </w:pPr>
      <w:r>
        <w:rPr/>
        <w:t xml:space="preserve"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>
      <w:pPr>
        <w:pStyle w:val="Nadpis1"/>
        <w:ind w:left="-5" w:hanging="10"/>
        <w:rPr/>
      </w:pPr>
      <w:r>
        <w:rPr/>
        <w:t xml:space="preserve">- netvorili sa </w:t>
      </w:r>
    </w:p>
    <w:p>
      <w:pPr>
        <w:pStyle w:val="Normal"/>
        <w:spacing w:lineRule="auto" w:line="259" w:before="0" w:after="99"/>
        <w:ind w:left="-5" w:hanging="10"/>
        <w:jc w:val="left"/>
        <w:rPr/>
      </w:pPr>
      <w:r>
        <w:rPr/>
        <w:t xml:space="preserve">(10) Prehľad  pohľadávok do lehoty splatnosti a po lehote splatnosti. </w:t>
      </w:r>
    </w:p>
    <w:p>
      <w:pPr>
        <w:pStyle w:val="Normal"/>
        <w:ind w:left="-5" w:hanging="10"/>
        <w:rPr/>
      </w:pPr>
      <w:r>
        <w:rPr/>
        <w:t xml:space="preserve">(11)Prehľad významných položiek časového rozlíšenia nákladov budúcich období a príjmov budúcich období. </w:t>
      </w:r>
    </w:p>
    <w:p>
      <w:pPr>
        <w:pStyle w:val="Normal"/>
        <w:ind w:left="-5" w:hanging="10"/>
        <w:rPr/>
      </w:pPr>
      <w:r>
        <w:rPr/>
        <w:t xml:space="preserve">(12)Opis a výška zmien vlastných zdrojov krytia neobežného majetku a obežného majetku podľa položiek súvahy za bežné účtovné obdobie, a to  </w:t>
      </w:r>
    </w:p>
    <w:p>
      <w:pPr>
        <w:pStyle w:val="Normal"/>
        <w:numPr>
          <w:ilvl w:val="0"/>
          <w:numId w:val="13"/>
        </w:numPr>
        <w:ind w:left="180" w:hanging="180"/>
        <w:rPr/>
      </w:pPr>
      <w:r>
        <w:rPr/>
        <w:t xml:space="preserve"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 </w:t>
      </w:r>
    </w:p>
    <w:p>
      <w:pPr>
        <w:pStyle w:val="Normal"/>
        <w:numPr>
          <w:ilvl w:val="0"/>
          <w:numId w:val="13"/>
        </w:numPr>
        <w:ind w:left="180" w:hanging="180"/>
        <w:rPr/>
      </w:pPr>
      <w:r>
        <w:rPr/>
        <w:t xml:space="preserve">opis jednotlivých druhov fondov, ktoré tvorí účtovná jednotka, stav na začiatku bežného účtovného obdobia, prírastky, úbytky, presuny a zostatok na konci bežného účtovného obdobia.  </w:t>
      </w:r>
    </w:p>
    <w:p>
      <w:pPr>
        <w:pStyle w:val="Normal"/>
        <w:numPr>
          <w:ilvl w:val="0"/>
          <w:numId w:val="14"/>
        </w:numPr>
        <w:ind w:left="372" w:hanging="372"/>
        <w:rPr/>
      </w:pPr>
      <w:r>
        <w:rPr/>
        <w:t xml:space="preserve">Informácia o rozdelení účtovného zisku alebo vysporiadaní účtovnej straty vykázanej v minulých účtovných obdobiach. </w:t>
      </w:r>
    </w:p>
    <w:p>
      <w:pPr>
        <w:pStyle w:val="Normal"/>
        <w:numPr>
          <w:ilvl w:val="0"/>
          <w:numId w:val="14"/>
        </w:numPr>
        <w:ind w:left="372" w:hanging="372"/>
        <w:rPr/>
      </w:pPr>
      <w:r>
        <w:rPr/>
        <w:t xml:space="preserve">Opis a výška cudzích zdrojov, a to </w:t>
      </w:r>
    </w:p>
    <w:p>
      <w:pPr>
        <w:pStyle w:val="Normal"/>
        <w:ind w:left="165" w:hanging="180"/>
        <w:rPr/>
      </w:pPr>
      <w:r>
        <w:rPr/>
        <w:t xml:space="preserve"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 </w:t>
      </w:r>
    </w:p>
    <w:p>
      <w:pPr>
        <w:pStyle w:val="Nadpis1"/>
        <w:ind w:left="-5" w:hanging="10"/>
        <w:rPr/>
      </w:pPr>
      <w:r>
        <w:rPr/>
        <w:t xml:space="preserve">- neboli tvorené </w:t>
      </w:r>
    </w:p>
    <w:p>
      <w:pPr>
        <w:pStyle w:val="Normal"/>
        <w:ind w:left="225" w:hanging="240"/>
        <w:rPr/>
      </w:pPr>
      <w:r>
        <w:rPr/>
        <w:t xml:space="preserve">b) údaje o významných položkách na účtoch 325 -  Ostatné záväzky a 379 – Iné záväzky; uvádza sa začiatočný stav, prírastky, úbytky a konečný zostatok podľa jednotlivých druhov  záväzkov, </w:t>
      </w:r>
    </w:p>
    <w:p>
      <w:pPr>
        <w:pStyle w:val="Normal"/>
        <w:ind w:left="-5" w:hanging="10"/>
        <w:rPr/>
      </w:pPr>
      <w:r>
        <w:rPr/>
        <w:t xml:space="preserve">- nie sú </w:t>
      </w:r>
    </w:p>
    <w:p>
      <w:pPr>
        <w:pStyle w:val="Normal"/>
        <w:numPr>
          <w:ilvl w:val="0"/>
          <w:numId w:val="15"/>
        </w:numPr>
        <w:ind w:left="211" w:hanging="211"/>
        <w:rPr/>
      </w:pPr>
      <w:r>
        <w:rPr/>
        <w:t xml:space="preserve">prehľad  o výške záväzkov do lehoty splatnosti a po lehote splatnosti, </w:t>
      </w:r>
    </w:p>
    <w:p>
      <w:pPr>
        <w:pStyle w:val="Normal"/>
        <w:numPr>
          <w:ilvl w:val="0"/>
          <w:numId w:val="15"/>
        </w:numPr>
        <w:ind w:left="211" w:hanging="211"/>
        <w:rPr/>
      </w:pPr>
      <w:r>
        <w:rPr/>
        <w:t xml:space="preserve">prehľad o výške záväzkov podľa zostatkovej doby splatnosti v členení podľa položiek súvahy  </w:t>
      </w:r>
    </w:p>
    <w:p>
      <w:pPr>
        <w:sectPr>
          <w:footerReference w:type="default" r:id="rId2"/>
          <w:type w:val="nextPage"/>
          <w:pgSz w:w="11906" w:h="16838"/>
          <w:pgMar w:left="852" w:right="843" w:header="0" w:top="857" w:footer="943" w:bottom="1845" w:gutter="0"/>
          <w:pgNumType w:start="7" w:fmt="decimal"/>
          <w:formProt w:val="false"/>
          <w:textDirection w:val="lrTb"/>
          <w:docGrid w:type="default" w:linePitch="100" w:charSpace="4096"/>
        </w:sectPr>
        <w:pStyle w:val="Normal"/>
        <w:rPr/>
      </w:pPr>
      <w:r>
        <w:rPr/>
      </w:r>
    </w:p>
    <w:p>
      <w:pPr>
        <w:pStyle w:val="Normal"/>
        <w:numPr>
          <w:ilvl w:val="0"/>
          <w:numId w:val="16"/>
        </w:numPr>
        <w:ind w:left="201" w:hanging="201"/>
        <w:rPr/>
      </w:pPr>
      <w:r>
        <w:rPr/>
        <w:t xml:space="preserve">do jedného roka vrátane, </w:t>
      </w:r>
    </w:p>
    <w:p>
      <w:pPr>
        <w:pStyle w:val="Normal"/>
        <w:numPr>
          <w:ilvl w:val="0"/>
          <w:numId w:val="16"/>
        </w:numPr>
        <w:ind w:left="201" w:hanging="201"/>
        <w:rPr/>
      </w:pPr>
      <w:r>
        <w:rPr/>
        <w:t xml:space="preserve">od jedného roka do piatich rokov vrátane, </w:t>
      </w:r>
    </w:p>
    <w:p>
      <w:pPr>
        <w:pStyle w:val="Normal"/>
        <w:numPr>
          <w:ilvl w:val="0"/>
          <w:numId w:val="16"/>
        </w:numPr>
        <w:ind w:left="201" w:hanging="201"/>
        <w:rPr/>
      </w:pPr>
      <w:r>
        <w:rPr/>
        <w:t xml:space="preserve">viac ako päť rokov, </w:t>
      </w:r>
    </w:p>
    <w:p>
      <w:pPr>
        <w:pStyle w:val="Normal"/>
        <w:ind w:left="165" w:hanging="180"/>
        <w:rPr/>
      </w:pPr>
      <w:r>
        <w:rPr/>
        <w:t xml:space="preserve">e) prehľad o záväzkoch zo sociálneho fondu; uvádza sa začiatočný stav, tvorba a čerpanie sociálneho fondu počas účtovného obdobia a zostatok na konci účtovného obdobia, </w:t>
      </w:r>
    </w:p>
    <w:p>
      <w:pPr>
        <w:pStyle w:val="Nadpis1"/>
        <w:ind w:left="-5" w:hanging="10"/>
        <w:rPr/>
      </w:pPr>
      <w:r>
        <w:rPr/>
        <w:t xml:space="preserve">- nie je  </w:t>
      </w:r>
    </w:p>
    <w:p>
      <w:pPr>
        <w:pStyle w:val="Normal"/>
        <w:numPr>
          <w:ilvl w:val="0"/>
          <w:numId w:val="17"/>
        </w:numPr>
        <w:ind w:left="211" w:hanging="211"/>
        <w:rPr/>
      </w:pPr>
      <w:r>
        <w:rPr/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>
      <w:pPr>
        <w:pStyle w:val="Normal"/>
        <w:numPr>
          <w:ilvl w:val="0"/>
          <w:numId w:val="17"/>
        </w:numPr>
        <w:spacing w:before="0" w:after="227"/>
        <w:ind w:left="211" w:hanging="211"/>
        <w:rPr/>
      </w:pPr>
      <w:r>
        <w:rPr/>
        <w:t xml:space="preserve">prehľad o významných položkách časového rozlíšenia výdavkov budúcich období. </w:t>
      </w:r>
    </w:p>
    <w:p>
      <w:pPr>
        <w:pStyle w:val="Normal"/>
        <w:spacing w:before="0" w:after="230"/>
        <w:ind w:left="-5" w:hanging="10"/>
        <w:rPr/>
      </w:pPr>
      <w:r>
        <w:rPr/>
        <w:t xml:space="preserve">- nie sú </w:t>
      </w:r>
    </w:p>
    <w:p>
      <w:pPr>
        <w:pStyle w:val="Normal"/>
        <w:ind w:left="-5" w:hanging="10"/>
        <w:rPr/>
      </w:pPr>
      <w:r>
        <w:rPr/>
        <w:t xml:space="preserve">(15) Prehľad o významných položkách výnosov budúcich období v členení najmä na </w:t>
      </w:r>
    </w:p>
    <w:p>
      <w:pPr>
        <w:pStyle w:val="Normal"/>
        <w:numPr>
          <w:ilvl w:val="0"/>
          <w:numId w:val="18"/>
        </w:numPr>
        <w:ind w:left="211" w:hanging="211"/>
        <w:rPr/>
      </w:pPr>
      <w:r>
        <w:rPr/>
        <w:t xml:space="preserve">zostatkovú hodnotu bezodplatne nadobudnutého dlhodobého majetku, </w:t>
      </w:r>
    </w:p>
    <w:p>
      <w:pPr>
        <w:pStyle w:val="Normal"/>
        <w:numPr>
          <w:ilvl w:val="0"/>
          <w:numId w:val="18"/>
        </w:numPr>
        <w:ind w:left="211" w:hanging="211"/>
        <w:rPr/>
      </w:pPr>
      <w:r>
        <w:rPr/>
        <w:t xml:space="preserve">zostatkovú hodnotu dlhodobého majetku obstaraného z dotácie, </w:t>
      </w:r>
    </w:p>
    <w:p>
      <w:pPr>
        <w:pStyle w:val="Normal"/>
        <w:numPr>
          <w:ilvl w:val="0"/>
          <w:numId w:val="18"/>
        </w:numPr>
        <w:ind w:left="211" w:hanging="211"/>
        <w:rPr/>
      </w:pPr>
      <w:r>
        <w:rPr/>
        <w:t xml:space="preserve">zostatok nepoužitej dotácie alebo grantu, </w:t>
      </w:r>
    </w:p>
    <w:p>
      <w:pPr>
        <w:pStyle w:val="Normal"/>
        <w:numPr>
          <w:ilvl w:val="0"/>
          <w:numId w:val="18"/>
        </w:numPr>
        <w:ind w:left="211" w:hanging="211"/>
        <w:rPr/>
      </w:pPr>
      <w:r>
        <w:rPr/>
        <w:t xml:space="preserve">zostatok nepoužitej časti podielu zaplatenej dane, </w:t>
      </w:r>
    </w:p>
    <w:p>
      <w:pPr>
        <w:pStyle w:val="Normal"/>
        <w:numPr>
          <w:ilvl w:val="0"/>
          <w:numId w:val="18"/>
        </w:numPr>
        <w:spacing w:before="0" w:after="227"/>
        <w:ind w:left="211" w:hanging="211"/>
        <w:rPr/>
      </w:pPr>
      <w:r>
        <w:rPr/>
        <w:t xml:space="preserve">zostatkovú hodnotu dlhodobého majetku obstaraného z podielu zaplatenej dane. – nie je  </w:t>
      </w:r>
    </w:p>
    <w:p>
      <w:pPr>
        <w:pStyle w:val="Normal"/>
        <w:ind w:left="-5" w:hanging="10"/>
        <w:rPr/>
      </w:pPr>
      <w:r>
        <w:rPr/>
        <w:t xml:space="preserve">(16) Údaje o majetku prenajatom formou finančného prenájmu, a to </w:t>
      </w:r>
    </w:p>
    <w:p>
      <w:pPr>
        <w:pStyle w:val="Normal"/>
        <w:numPr>
          <w:ilvl w:val="0"/>
          <w:numId w:val="19"/>
        </w:numPr>
        <w:ind w:left="213" w:hanging="213"/>
        <w:rPr/>
      </w:pPr>
      <w:r>
        <w:rPr/>
        <w:t xml:space="preserve">celková suma dohodnutých platieb ku dňu, ku ktorému sa zostavuje účtovná závierka, v členení na istinu a finančný náklad, - nie je  </w:t>
      </w:r>
    </w:p>
    <w:p>
      <w:pPr>
        <w:pStyle w:val="Normal"/>
        <w:numPr>
          <w:ilvl w:val="0"/>
          <w:numId w:val="19"/>
        </w:numPr>
        <w:ind w:left="213" w:hanging="213"/>
        <w:rPr/>
      </w:pPr>
      <w:r>
        <w:rPr/>
        <w:t xml:space="preserve">suma istiny a finančného nákladu podľa doby splatnosti  </w:t>
      </w:r>
    </w:p>
    <w:p>
      <w:pPr>
        <w:pStyle w:val="Normal"/>
        <w:numPr>
          <w:ilvl w:val="1"/>
          <w:numId w:val="19"/>
        </w:numPr>
        <w:spacing w:before="0" w:after="136"/>
        <w:ind w:left="921" w:hanging="201"/>
        <w:rPr/>
      </w:pPr>
      <w:r>
        <w:rPr/>
        <w:t xml:space="preserve">do jedného roka vrátane, </w:t>
      </w:r>
    </w:p>
    <w:p>
      <w:pPr>
        <w:pStyle w:val="Normal"/>
        <w:numPr>
          <w:ilvl w:val="1"/>
          <w:numId w:val="19"/>
        </w:numPr>
        <w:ind w:left="921" w:hanging="201"/>
        <w:rPr/>
      </w:pPr>
      <w:r>
        <w:rPr/>
        <w:t xml:space="preserve">od jedného roka do piatich rokov vrátane, </w:t>
      </w:r>
    </w:p>
    <w:p>
      <w:pPr>
        <w:pStyle w:val="Normal"/>
        <w:numPr>
          <w:ilvl w:val="1"/>
          <w:numId w:val="19"/>
        </w:numPr>
        <w:ind w:left="921" w:hanging="201"/>
        <w:rPr/>
      </w:pPr>
      <w:r>
        <w:rPr/>
        <w:t xml:space="preserve">viac ako päť rokov.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9"/>
        <w:ind w:left="10" w:right="45" w:hanging="10"/>
        <w:jc w:val="center"/>
        <w:rPr/>
      </w:pPr>
      <w:r>
        <w:rPr>
          <w:b/>
        </w:rPr>
        <w:t xml:space="preserve">Čl. IV </w:t>
      </w:r>
    </w:p>
    <w:p>
      <w:pPr>
        <w:pStyle w:val="Normal"/>
        <w:spacing w:lineRule="auto" w:line="259" w:before="0" w:after="99"/>
        <w:ind w:left="10" w:right="43" w:hanging="10"/>
        <w:jc w:val="center"/>
        <w:rPr/>
      </w:pPr>
      <w:r>
        <w:rPr>
          <w:b/>
        </w:rPr>
        <w:t xml:space="preserve">Informácie, ktoré dopĺňajú a vysvetľujú údaje vo výkaze ziskov a strát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Opis a vyčíslenie hodnoty významných položiek prijatých darov, osobitných výnosov, zákonných poplatkov a iných ostatných výnosov. 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Prehľad  dotácií a grantov, ktoré účtovná jednotka prijala v priebehu bežného účtovného obdobia.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Opis a vyčíslenie hodnoty významných položiek nákladov, nákladov na ostatné služby, osobitných nákladov a iných ostatných nákladov. 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100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0" w:hanging="0"/>
        <w:jc w:val="left"/>
        <w:rPr/>
      </w:pPr>
      <w:r>
        <w:rPr/>
        <w:t xml:space="preserve"> </w:t>
      </w:r>
    </w:p>
    <w:tbl>
      <w:tblPr>
        <w:tblStyle w:val="TableGrid"/>
        <w:tblW w:w="9926" w:type="dxa"/>
        <w:jc w:val="left"/>
        <w:tblInd w:w="142" w:type="dxa"/>
        <w:tblCellMar>
          <w:top w:w="50" w:type="dxa"/>
          <w:left w:w="10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962"/>
        <w:gridCol w:w="2410"/>
        <w:gridCol w:w="2554"/>
      </w:tblGrid>
      <w:tr>
        <w:trPr>
          <w:trHeight w:val="766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5" w:hanging="0"/>
              <w:jc w:val="center"/>
              <w:rPr/>
            </w:pPr>
            <w:r>
              <w:rPr/>
              <w:t xml:space="preserve"> </w:t>
            </w:r>
          </w:p>
          <w:p>
            <w:pPr>
              <w:pStyle w:val="Normal"/>
              <w:spacing w:lineRule="auto" w:line="259" w:before="0" w:after="0"/>
              <w:ind w:left="7" w:hanging="0"/>
              <w:jc w:val="center"/>
              <w:rPr/>
            </w:pPr>
            <w:r>
              <w:rPr>
                <w:b/>
              </w:rPr>
              <w:t xml:space="preserve">Náklady </w:t>
            </w:r>
          </w:p>
          <w:p>
            <w:pPr>
              <w:pStyle w:val="Normal"/>
              <w:spacing w:lineRule="auto" w:line="259" w:before="0" w:after="0"/>
              <w:ind w:left="55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58" w:hanging="0"/>
              <w:jc w:val="left"/>
              <w:rPr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Bezprostredne predchádzajúce účtovné </w:t>
            </w:r>
          </w:p>
          <w:p>
            <w:pPr>
              <w:pStyle w:val="Normal"/>
              <w:spacing w:lineRule="auto" w:line="259" w:before="0" w:after="0"/>
              <w:ind w:left="4" w:hanging="0"/>
              <w:jc w:val="center"/>
              <w:rPr/>
            </w:pPr>
            <w:r>
              <w:rPr>
                <w:b/>
              </w:rPr>
              <w:t xml:space="preserve">obdobie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Ostatné služby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Ostatné náklady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>88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>110</w:t>
            </w:r>
          </w:p>
        </w:tc>
      </w:tr>
      <w:tr>
        <w:trPr>
          <w:trHeight w:val="403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Spolu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>88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>110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Prehľad o účele a výške použitia podielu zaplatenej dane za bežné účtovné obdobie.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p>
      <w:pPr>
        <w:pStyle w:val="Normal"/>
        <w:numPr>
          <w:ilvl w:val="0"/>
          <w:numId w:val="20"/>
        </w:numPr>
        <w:ind w:left="272" w:hanging="272"/>
        <w:rPr/>
      </w:pPr>
      <w:r>
        <w:rPr/>
        <w:t xml:space="preserve">V účtovnej jednotke, ktorá má povinnosť overenia účtovnej závierky audítorom, sa uvedie vymedzenie a suma nákladov za účtovné obdobie v členení na náklady za: nemá a) overenie účtovnej závierky, </w:t>
      </w:r>
    </w:p>
    <w:p>
      <w:pPr>
        <w:pStyle w:val="Normal"/>
        <w:numPr>
          <w:ilvl w:val="0"/>
          <w:numId w:val="21"/>
        </w:numPr>
        <w:ind w:left="211" w:hanging="211"/>
        <w:rPr/>
      </w:pPr>
      <w:r>
        <w:rPr/>
        <w:t xml:space="preserve">uisťovacie audítorské služby okrem  overenia účtovnej závierky, </w:t>
      </w:r>
    </w:p>
    <w:p>
      <w:pPr>
        <w:pStyle w:val="Normal"/>
        <w:numPr>
          <w:ilvl w:val="0"/>
          <w:numId w:val="21"/>
        </w:numPr>
        <w:ind w:left="211" w:hanging="211"/>
        <w:rPr/>
      </w:pPr>
      <w:r>
        <w:rPr/>
        <w:t xml:space="preserve">súvisiace audítorské služby, </w:t>
      </w:r>
    </w:p>
    <w:p>
      <w:pPr>
        <w:pStyle w:val="Normal"/>
        <w:numPr>
          <w:ilvl w:val="0"/>
          <w:numId w:val="21"/>
        </w:numPr>
        <w:ind w:left="211" w:hanging="211"/>
        <w:rPr/>
      </w:pPr>
      <w:r>
        <w:rPr/>
        <w:t xml:space="preserve">daňové poradenstvo, </w:t>
      </w:r>
    </w:p>
    <w:p>
      <w:pPr>
        <w:pStyle w:val="Normal"/>
        <w:numPr>
          <w:ilvl w:val="0"/>
          <w:numId w:val="21"/>
        </w:numPr>
        <w:ind w:left="211" w:hanging="211"/>
        <w:rPr/>
      </w:pPr>
      <w:r>
        <w:rPr/>
        <w:t xml:space="preserve">ostatné neaudítorské služby. </w:t>
      </w:r>
    </w:p>
    <w:p>
      <w:pPr>
        <w:pStyle w:val="Normal"/>
        <w:spacing w:lineRule="auto" w:line="259" w:before="0" w:after="99"/>
        <w:ind w:left="10" w:right="47" w:hanging="10"/>
        <w:jc w:val="center"/>
        <w:rPr/>
      </w:pPr>
      <w:r>
        <w:rPr>
          <w:b/>
        </w:rPr>
        <w:t xml:space="preserve">Čl. V </w:t>
      </w:r>
    </w:p>
    <w:p>
      <w:pPr>
        <w:pStyle w:val="Normal"/>
        <w:spacing w:lineRule="auto" w:line="259" w:before="0" w:after="99"/>
        <w:ind w:left="10" w:right="43" w:hanging="10"/>
        <w:jc w:val="center"/>
        <w:rPr/>
      </w:pPr>
      <w:r>
        <w:rPr>
          <w:b/>
        </w:rPr>
        <w:t xml:space="preserve">Opis údajov na podsúvahových účtoch </w:t>
      </w:r>
    </w:p>
    <w:p>
      <w:pPr>
        <w:pStyle w:val="Normal"/>
        <w:spacing w:lineRule="auto" w:line="350" w:before="0" w:after="0"/>
        <w:ind w:left="-5" w:right="477" w:hanging="10"/>
        <w:rPr/>
      </w:pPr>
      <w:r>
        <w:rPr/>
        <w:t xml:space="preserve">Významné položky prenajatého majetku, majetku prijatého do úschovy,  odpísané pohľadávky a prípadné ďalšie položky. - Nie sú </w:t>
      </w:r>
    </w:p>
    <w:p>
      <w:pPr>
        <w:pStyle w:val="Normal"/>
        <w:spacing w:lineRule="auto" w:line="259" w:before="0" w:after="99"/>
        <w:ind w:left="10" w:right="45" w:hanging="10"/>
        <w:jc w:val="center"/>
        <w:rPr/>
      </w:pPr>
      <w:r>
        <w:rPr>
          <w:b/>
        </w:rPr>
        <w:t xml:space="preserve">Čl. VI </w:t>
      </w:r>
    </w:p>
    <w:p>
      <w:pPr>
        <w:pStyle w:val="Normal"/>
        <w:spacing w:lineRule="auto" w:line="259" w:before="0" w:after="99"/>
        <w:ind w:left="10" w:right="46" w:hanging="10"/>
        <w:jc w:val="center"/>
        <w:rPr/>
      </w:pPr>
      <w:r>
        <w:rPr>
          <w:b/>
        </w:rPr>
        <w:t xml:space="preserve">Ďalšie informácie </w:t>
      </w:r>
    </w:p>
    <w:p>
      <w:pPr>
        <w:pStyle w:val="Normal"/>
        <w:numPr>
          <w:ilvl w:val="0"/>
          <w:numId w:val="22"/>
        </w:numPr>
        <w:rPr/>
      </w:pPr>
      <w:r>
        <w:rPr/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>
      <w:pPr>
        <w:pStyle w:val="Normal"/>
        <w:numPr>
          <w:ilvl w:val="0"/>
          <w:numId w:val="22"/>
        </w:numPr>
        <w:rPr/>
      </w:pPr>
      <w:r>
        <w:rPr/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>
      <w:pPr>
        <w:pStyle w:val="Normal"/>
        <w:numPr>
          <w:ilvl w:val="0"/>
          <w:numId w:val="23"/>
        </w:numPr>
        <w:rPr/>
      </w:pPr>
      <w:r>
        <w:rPr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Normal"/>
        <w:numPr>
          <w:ilvl w:val="0"/>
          <w:numId w:val="23"/>
        </w:numPr>
        <w:rPr/>
      </w:pPr>
      <w:r>
        <w:rPr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>
      <w:pPr>
        <w:pStyle w:val="Normal"/>
        <w:ind w:left="-5" w:hanging="10"/>
        <w:rPr/>
      </w:pPr>
      <w:r>
        <w:rPr/>
        <w:t xml:space="preserve">(3) Opis významných položiek ostatných finančných povinností, ktoré sa nesledujú v účtovníctve a neuvádzajú sa v súvahe; pri každej položke sa uvádza jej opis, výška a údaj, či sa týka spriaznených osôb, a to a) povinnosť z devízových termínovaných obchodov a iných finančných derivátov, </w:t>
      </w:r>
    </w:p>
    <w:p>
      <w:pPr>
        <w:pStyle w:val="Normal"/>
        <w:numPr>
          <w:ilvl w:val="0"/>
          <w:numId w:val="24"/>
        </w:numPr>
        <w:ind w:left="211" w:hanging="211"/>
        <w:rPr/>
      </w:pPr>
      <w:r>
        <w:rPr/>
        <w:t xml:space="preserve">povinnosť z opčných obchodov, </w:t>
      </w:r>
    </w:p>
    <w:p>
      <w:pPr>
        <w:pStyle w:val="Normal"/>
        <w:numPr>
          <w:ilvl w:val="0"/>
          <w:numId w:val="24"/>
        </w:numPr>
        <w:ind w:left="211" w:hanging="211"/>
        <w:rPr/>
      </w:pPr>
      <w:r>
        <w:rPr/>
        <w:t xml:space="preserve">zákonná povinnosť alebo zmluvná povinnosť odobrať určité produkty alebo služby, napríklad z dodávateľských alebo odberateľských zmlúv, </w:t>
      </w:r>
    </w:p>
    <w:p>
      <w:pPr>
        <w:pStyle w:val="Normal"/>
        <w:numPr>
          <w:ilvl w:val="0"/>
          <w:numId w:val="24"/>
        </w:numPr>
        <w:spacing w:lineRule="auto" w:line="350"/>
        <w:ind w:left="211" w:hanging="211"/>
        <w:rPr/>
      </w:pPr>
      <w:r>
        <w:rPr/>
        <w:t xml:space="preserve">povinnosť z leasingových, nájomných, servisných, poistných, koncesionárskych, licenčných zmlúv a podobných zmlúv, e) iné povinnosti.  </w:t>
      </w:r>
    </w:p>
    <w:p>
      <w:pPr>
        <w:pStyle w:val="Normal"/>
        <w:numPr>
          <w:ilvl w:val="0"/>
          <w:numId w:val="25"/>
        </w:numPr>
        <w:ind w:left="271" w:hanging="271"/>
        <w:rPr/>
      </w:pPr>
      <w:r>
        <w:rPr/>
        <w:t xml:space="preserve">Prehľad nehnuteľných kultúrnych pamiatok, ktoré sú v správe alebo vo vlastníctve účtovnej jednotky. </w:t>
      </w:r>
    </w:p>
    <w:p>
      <w:pPr>
        <w:pStyle w:val="Normal"/>
        <w:numPr>
          <w:ilvl w:val="0"/>
          <w:numId w:val="25"/>
        </w:numPr>
        <w:ind w:left="271" w:hanging="271"/>
        <w:rPr/>
      </w:pPr>
      <w:r>
        <w:rPr/>
        <w:t xml:space="preserve">Informácie o významných skutočnostiach, ktoré nastali medzi dňom, ku ktorému sa zostavuje účtovná závierka a dňom jej zostavenia.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k čl. I ods.  4 o počte zamestnancov a dobrovoľníkov </w:t>
      </w:r>
    </w:p>
    <w:tbl>
      <w:tblPr>
        <w:tblStyle w:val="TableGrid"/>
        <w:tblW w:w="9926" w:type="dxa"/>
        <w:jc w:val="left"/>
        <w:tblInd w:w="142" w:type="dxa"/>
        <w:tblCellMar>
          <w:top w:w="50" w:type="dxa"/>
          <w:left w:w="10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962"/>
        <w:gridCol w:w="2410"/>
        <w:gridCol w:w="2554"/>
      </w:tblGrid>
      <w:tr>
        <w:trPr>
          <w:trHeight w:val="766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58" w:hanging="0"/>
              <w:jc w:val="left"/>
              <w:rPr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Bezprostredne predchádzajúce účtovné </w:t>
            </w:r>
          </w:p>
          <w:p>
            <w:pPr>
              <w:pStyle w:val="Normal"/>
              <w:spacing w:lineRule="auto" w:line="259" w:before="0" w:after="0"/>
              <w:ind w:left="4" w:hanging="0"/>
              <w:jc w:val="center"/>
              <w:rPr/>
            </w:pPr>
            <w:r>
              <w:rPr>
                <w:b/>
              </w:rPr>
              <w:t xml:space="preserve">obdobie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</w:tr>
      <w:tr>
        <w:trPr>
          <w:trHeight w:val="401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</w:tr>
      <w:tr>
        <w:trPr>
          <w:trHeight w:val="516" w:hRule="atLeast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0 </w:t>
            </w:r>
          </w:p>
        </w:tc>
      </w:tr>
    </w:tbl>
    <w:p>
      <w:pPr>
        <w:pStyle w:val="Normal"/>
        <w:rPr/>
      </w:pPr>
      <w:r>
        <w:rPr/>
      </w:r>
      <w:r>
        <w:br w:type="page"/>
      </w:r>
    </w:p>
    <w:p>
      <w:pPr>
        <w:pStyle w:val="Normal"/>
        <w:spacing w:lineRule="auto" w:line="259" w:before="0" w:after="218"/>
        <w:ind w:left="0" w:hanging="0"/>
        <w:jc w:val="right"/>
        <w:rPr/>
      </w:pPr>
      <w:r>
        <w:rPr>
          <w:sz w:val="20"/>
        </w:rPr>
        <w:t xml:space="preserve"> </w:t>
      </w:r>
    </w:p>
    <w:p>
      <w:pPr>
        <w:pStyle w:val="Normal"/>
        <w:spacing w:lineRule="auto" w:line="259" w:before="0" w:after="235"/>
        <w:ind w:left="0" w:hanging="0"/>
        <w:jc w:val="left"/>
        <w:rPr/>
      </w:pPr>
      <w:r>
        <w:rPr>
          <w:sz w:val="20"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 k čl. III ods. 1 o stave a pohybe dlhodobého nehmotného majetku a dlhodobého hmotného majetku Tabuľka č. 1 </w:t>
      </w:r>
    </w:p>
    <w:tbl>
      <w:tblPr>
        <w:tblStyle w:val="TableGrid"/>
        <w:tblW w:w="10658" w:type="dxa"/>
        <w:jc w:val="left"/>
        <w:tblInd w:w="-70" w:type="dxa"/>
        <w:tblCellMar>
          <w:top w:w="50" w:type="dxa"/>
          <w:left w:w="106" w:type="dxa"/>
          <w:bottom w:w="0" w:type="dxa"/>
          <w:right w:w="58" w:type="dxa"/>
        </w:tblCellMar>
        <w:tblLook w:firstRow="1" w:noVBand="1" w:lastRow="0" w:firstColumn="1" w:lastColumn="0" w:noHBand="0" w:val="04a0"/>
      </w:tblPr>
      <w:tblGrid>
        <w:gridCol w:w="1901"/>
        <w:gridCol w:w="1239"/>
        <w:gridCol w:w="922"/>
        <w:gridCol w:w="1313"/>
        <w:gridCol w:w="1216"/>
        <w:gridCol w:w="1485"/>
        <w:gridCol w:w="1429"/>
        <w:gridCol w:w="1151"/>
      </w:tblGrid>
      <w:tr>
        <w:trPr>
          <w:trHeight w:val="1272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Nehmotné výsledky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z vývojovej a obdobnej činnosti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Softvér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Ostatný dlhodobý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70" w:hanging="0"/>
              <w:jc w:val="left"/>
              <w:rPr/>
            </w:pPr>
            <w:r>
              <w:rPr>
                <w:b/>
              </w:rPr>
              <w:t xml:space="preserve">Obstaranie </w:t>
            </w:r>
          </w:p>
          <w:p>
            <w:pPr>
              <w:pStyle w:val="Normal"/>
              <w:spacing w:lineRule="auto" w:line="259" w:before="0" w:after="0"/>
              <w:ind w:left="26" w:hanging="0"/>
              <w:jc w:val="left"/>
              <w:rPr/>
            </w:pPr>
            <w:r>
              <w:rPr>
                <w:b/>
              </w:rPr>
              <w:t xml:space="preserve">dlhodobého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nehmotného majetku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Poskytnuté preddavky na dlhodobý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52" w:hanging="0"/>
              <w:jc w:val="center"/>
              <w:rPr/>
            </w:pPr>
            <w:r>
              <w:rPr>
                <w:b/>
              </w:rPr>
              <w:t xml:space="preserve">Spolu </w:t>
            </w:r>
          </w:p>
        </w:tc>
      </w:tr>
      <w:tr>
        <w:trPr>
          <w:trHeight w:val="782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>Prvotné ocenenie</w:t>
            </w:r>
            <w:r>
              <w:rPr/>
              <w:t xml:space="preserve"> - stav na začiatku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420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 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420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421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presuny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768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Oprávky – </w:t>
            </w:r>
            <w:r>
              <w:rPr/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420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 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420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33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766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>Opravné položky</w:t>
            </w:r>
            <w:r>
              <w:rPr/>
              <w:t xml:space="preserve"> – stav na začiatku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24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 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53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50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Zostatková hodnota 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3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1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768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19" w:hanging="0"/>
              <w:jc w:val="left"/>
              <w:rPr/>
            </w:pPr>
            <w:r>
              <w:rPr/>
              <w:t xml:space="preserve">Stav na začiatku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" w:hanging="0"/>
              <w:jc w:val="center"/>
              <w:rPr/>
            </w:pPr>
            <w:r>
              <w:rPr/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100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Tabuľka č. 2 </w:t>
      </w:r>
    </w:p>
    <w:tbl>
      <w:tblPr>
        <w:tblStyle w:val="TableGrid"/>
        <w:tblW w:w="10989" w:type="dxa"/>
        <w:jc w:val="left"/>
        <w:tblInd w:w="-283" w:type="dxa"/>
        <w:tblCellMar>
          <w:top w:w="50" w:type="dxa"/>
          <w:left w:w="106" w:type="dxa"/>
          <w:bottom w:w="0" w:type="dxa"/>
          <w:right w:w="60" w:type="dxa"/>
        </w:tblCellMar>
        <w:tblLook w:firstRow="1" w:noVBand="1" w:lastRow="0" w:firstColumn="1" w:lastColumn="0" w:noHBand="0" w:val="04a0"/>
      </w:tblPr>
      <w:tblGrid>
        <w:gridCol w:w="1129"/>
        <w:gridCol w:w="644"/>
        <w:gridCol w:w="690"/>
        <w:gridCol w:w="899"/>
        <w:gridCol w:w="970"/>
        <w:gridCol w:w="1027"/>
        <w:gridCol w:w="34"/>
        <w:gridCol w:w="1005"/>
        <w:gridCol w:w="62"/>
        <w:gridCol w:w="926"/>
        <w:gridCol w:w="1096"/>
        <w:gridCol w:w="854"/>
        <w:gridCol w:w="854"/>
        <w:gridCol w:w="798"/>
      </w:tblGrid>
      <w:tr>
        <w:trPr>
          <w:trHeight w:val="2535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Poze mky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4" w:hanging="0"/>
              <w:jc w:val="left"/>
              <w:rPr/>
            </w:pPr>
            <w:r>
              <w:rPr>
                <w:b/>
              </w:rPr>
              <w:t>Umel</w:t>
            </w:r>
          </w:p>
          <w:p>
            <w:pPr>
              <w:pStyle w:val="Normal"/>
              <w:spacing w:lineRule="auto" w:line="259" w:before="0" w:after="0"/>
              <w:ind w:left="43" w:hanging="0"/>
              <w:jc w:val="left"/>
              <w:rPr/>
            </w:pPr>
            <w:r>
              <w:rPr>
                <w:b/>
              </w:rPr>
              <w:t xml:space="preserve">ecké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diela a zbi erky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60" w:hanging="0"/>
              <w:jc w:val="left"/>
              <w:rPr/>
            </w:pPr>
            <w:r>
              <w:rPr>
                <w:b/>
              </w:rPr>
              <w:t xml:space="preserve">Stavby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Samost atné </w:t>
            </w:r>
          </w:p>
          <w:p>
            <w:pPr>
              <w:pStyle w:val="Normal"/>
              <w:spacing w:lineRule="auto" w:line="237" w:before="0" w:after="0"/>
              <w:ind w:left="0" w:right="14" w:hanging="0"/>
              <w:jc w:val="center"/>
              <w:rPr/>
            </w:pPr>
            <w:r>
              <w:rPr>
                <w:b/>
              </w:rPr>
              <w:t xml:space="preserve">hnuteľn é veci </w:t>
            </w:r>
          </w:p>
          <w:p>
            <w:pPr>
              <w:pStyle w:val="Normal"/>
              <w:spacing w:lineRule="auto" w:line="237" w:before="0" w:after="2"/>
              <w:ind w:left="0" w:right="25" w:hanging="0"/>
              <w:jc w:val="center"/>
              <w:rPr/>
            </w:pPr>
            <w:r>
              <w:rPr>
                <w:b/>
              </w:rPr>
              <w:t xml:space="preserve">a súbor y </w:t>
            </w:r>
          </w:p>
          <w:p>
            <w:pPr>
              <w:pStyle w:val="Normal"/>
              <w:spacing w:lineRule="auto" w:line="259" w:before="0" w:after="0"/>
              <w:ind w:left="35" w:right="20" w:hanging="15"/>
              <w:jc w:val="center"/>
              <w:rPr/>
            </w:pPr>
            <w:r>
              <w:rPr>
                <w:b/>
              </w:rPr>
              <w:t xml:space="preserve">hnuteľn ých vecí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4" w:hanging="0"/>
              <w:jc w:val="left"/>
              <w:rPr/>
            </w:pPr>
            <w:r>
              <w:rPr>
                <w:b/>
              </w:rPr>
              <w:t>Dopravn</w:t>
            </w:r>
          </w:p>
          <w:p>
            <w:pPr>
              <w:pStyle w:val="Normal"/>
              <w:spacing w:lineRule="auto" w:line="259" w:before="0" w:after="0"/>
              <w:ind w:left="0" w:right="50" w:hanging="0"/>
              <w:jc w:val="center"/>
              <w:rPr/>
            </w:pPr>
            <w:r>
              <w:rPr>
                <w:b/>
              </w:rPr>
              <w:t xml:space="preserve">é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prostrie dky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13" w:hanging="13"/>
              <w:jc w:val="center"/>
              <w:rPr/>
            </w:pPr>
            <w:r>
              <w:rPr>
                <w:b/>
              </w:rPr>
              <w:t xml:space="preserve">Pestovat eľské celky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trvalých porastov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" w:right="45" w:hanging="1"/>
              <w:jc w:val="center"/>
              <w:rPr/>
            </w:pPr>
            <w:r>
              <w:rPr>
                <w:b/>
              </w:rPr>
              <w:t xml:space="preserve">Základn é stádo a ťažné zvieratá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62" w:right="94" w:hanging="0"/>
              <w:jc w:val="center"/>
              <w:rPr/>
            </w:pPr>
            <w:r>
              <w:rPr>
                <w:b/>
              </w:rPr>
              <w:t xml:space="preserve">Drobný a ostatný </w:t>
            </w:r>
          </w:p>
          <w:p>
            <w:pPr>
              <w:pStyle w:val="Normal"/>
              <w:spacing w:lineRule="auto" w:line="259" w:before="0" w:after="0"/>
              <w:ind w:left="6" w:hanging="6"/>
              <w:jc w:val="center"/>
              <w:rPr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Obstar anie </w:t>
            </w:r>
          </w:p>
          <w:p>
            <w:pPr>
              <w:pStyle w:val="Normal"/>
              <w:spacing w:lineRule="auto" w:line="240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dlhodo bého </w:t>
            </w:r>
          </w:p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hmotn ého </w:t>
            </w:r>
          </w:p>
          <w:p>
            <w:pPr>
              <w:pStyle w:val="Normal"/>
              <w:spacing w:lineRule="auto" w:line="259" w:before="0" w:after="0"/>
              <w:ind w:left="0" w:right="24" w:hanging="0"/>
              <w:jc w:val="center"/>
              <w:rPr/>
            </w:pPr>
            <w:r>
              <w:rPr>
                <w:b/>
              </w:rPr>
              <w:t xml:space="preserve">majetk u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Poskyt nuté </w:t>
            </w:r>
          </w:p>
          <w:p>
            <w:pPr>
              <w:pStyle w:val="Normal"/>
              <w:spacing w:lineRule="auto" w:line="237" w:before="0" w:after="2"/>
              <w:ind w:left="0" w:hanging="0"/>
              <w:jc w:val="center"/>
              <w:rPr/>
            </w:pPr>
            <w:r>
              <w:rPr>
                <w:b/>
              </w:rPr>
              <w:t xml:space="preserve">predda vky na </w:t>
            </w:r>
          </w:p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dlhodo bý </w:t>
            </w:r>
          </w:p>
          <w:p>
            <w:pPr>
              <w:pStyle w:val="Normal"/>
              <w:spacing w:lineRule="auto" w:line="237" w:before="0" w:after="0"/>
              <w:ind w:left="0" w:right="41" w:hanging="0"/>
              <w:jc w:val="center"/>
              <w:rPr/>
            </w:pPr>
            <w:r>
              <w:rPr>
                <w:b/>
              </w:rPr>
              <w:t xml:space="preserve">hmotn ý </w:t>
            </w:r>
          </w:p>
          <w:p>
            <w:pPr>
              <w:pStyle w:val="Normal"/>
              <w:spacing w:lineRule="auto" w:line="259" w:before="0" w:after="0"/>
              <w:ind w:left="0" w:right="24" w:hanging="0"/>
              <w:jc w:val="center"/>
              <w:rPr/>
            </w:pPr>
            <w:r>
              <w:rPr>
                <w:b/>
              </w:rPr>
              <w:t xml:space="preserve">majeto k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65" w:hanging="0"/>
              <w:jc w:val="left"/>
              <w:rPr/>
            </w:pPr>
            <w:r>
              <w:rPr>
                <w:b/>
              </w:rPr>
              <w:t xml:space="preserve">Spolu </w:t>
            </w:r>
          </w:p>
        </w:tc>
      </w:tr>
      <w:tr>
        <w:trPr>
          <w:trHeight w:val="1776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left"/>
              <w:rPr/>
            </w:pPr>
            <w:r>
              <w:rPr>
                <w:b/>
              </w:rPr>
              <w:t>Prvotné ocenenie</w:t>
            </w:r>
            <w:r>
              <w:rPr/>
              <w:t xml:space="preserve"> </w:t>
            </w:r>
          </w:p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- stav na začiatku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629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 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660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660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presuny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1272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1527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9" w:hanging="0"/>
              <w:jc w:val="left"/>
              <w:rPr/>
            </w:pPr>
            <w:r>
              <w:rPr>
                <w:b/>
              </w:rPr>
              <w:t xml:space="preserve">Oprávky – </w:t>
            </w:r>
            <w:r>
              <w:rPr/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667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 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686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1272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1779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left"/>
              <w:rPr/>
            </w:pPr>
            <w:r>
              <w:rPr>
                <w:b/>
              </w:rPr>
              <w:t>Opravné položky</w:t>
            </w:r>
            <w:r>
              <w:rPr/>
              <w:t xml:space="preserve"> – stav na </w:t>
            </w:r>
          </w:p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začiatku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485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 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6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30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6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1272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4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6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69" w:hRule="atLeast"/>
        </w:trPr>
        <w:tc>
          <w:tcPr>
            <w:tcW w:w="1098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Zostatková hodnota </w:t>
            </w:r>
          </w:p>
        </w:tc>
      </w:tr>
      <w:tr>
        <w:trPr>
          <w:trHeight w:val="1272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začiatku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38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38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1273" w:hRule="atLeast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38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38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1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/>
              <w:t xml:space="preserve"> 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/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k čl. III ods. 4 a 5  o štruktúre a o zmenách jednotlivých položiek dlhodobého finančného majetku </w:t>
      </w:r>
    </w:p>
    <w:tbl>
      <w:tblPr>
        <w:tblStyle w:val="TableGrid"/>
        <w:tblW w:w="10192" w:type="dxa"/>
        <w:jc w:val="left"/>
        <w:tblInd w:w="7" w:type="dxa"/>
        <w:tblCellMar>
          <w:top w:w="10" w:type="dxa"/>
          <w:left w:w="2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47"/>
        <w:gridCol w:w="1264"/>
        <w:gridCol w:w="1267"/>
        <w:gridCol w:w="668"/>
        <w:gridCol w:w="1081"/>
        <w:gridCol w:w="1028"/>
        <w:gridCol w:w="1373"/>
        <w:gridCol w:w="1049"/>
        <w:gridCol w:w="714"/>
      </w:tblGrid>
      <w:tr>
        <w:trPr>
          <w:trHeight w:val="2402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0" w:hanging="0"/>
              <w:jc w:val="center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Podielové cenné </w:t>
            </w:r>
          </w:p>
          <w:p>
            <w:pPr>
              <w:pStyle w:val="Normal"/>
              <w:spacing w:lineRule="auto" w:line="259" w:before="0" w:after="0"/>
              <w:ind w:left="0" w:right="34" w:hanging="0"/>
              <w:jc w:val="center"/>
              <w:rPr/>
            </w:pPr>
            <w:r>
              <w:rPr>
                <w:b/>
              </w:rPr>
              <w:t xml:space="preserve">papiere </w:t>
            </w:r>
          </w:p>
          <w:p>
            <w:pPr>
              <w:pStyle w:val="Normal"/>
              <w:spacing w:lineRule="auto" w:line="259" w:before="0" w:after="0"/>
              <w:ind w:left="0" w:right="32" w:hanging="0"/>
              <w:jc w:val="center"/>
              <w:rPr/>
            </w:pPr>
            <w:r>
              <w:rPr>
                <w:b/>
              </w:rPr>
              <w:t xml:space="preserve">a podiely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v ovládanej obchodnej spoločnosti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2"/>
              <w:ind w:left="0" w:hanging="0"/>
              <w:jc w:val="center"/>
              <w:rPr/>
            </w:pPr>
            <w:r>
              <w:rPr>
                <w:b/>
              </w:rPr>
              <w:t xml:space="preserve">Podielové cenné </w:t>
            </w:r>
          </w:p>
          <w:p>
            <w:pPr>
              <w:pStyle w:val="Normal"/>
              <w:spacing w:lineRule="auto" w:line="259" w:before="0" w:after="0"/>
              <w:ind w:left="0" w:right="34" w:hanging="0"/>
              <w:jc w:val="center"/>
              <w:rPr/>
            </w:pPr>
            <w:r>
              <w:rPr>
                <w:b/>
              </w:rPr>
              <w:t xml:space="preserve">papiere </w:t>
            </w:r>
          </w:p>
          <w:p>
            <w:pPr>
              <w:pStyle w:val="Normal"/>
              <w:spacing w:lineRule="auto" w:line="259" w:before="0" w:after="0"/>
              <w:ind w:left="0" w:right="32" w:hanging="0"/>
              <w:jc w:val="center"/>
              <w:rPr/>
            </w:pPr>
            <w:r>
              <w:rPr>
                <w:b/>
              </w:rPr>
              <w:t xml:space="preserve">a podiely </w:t>
            </w:r>
          </w:p>
          <w:p>
            <w:pPr>
              <w:pStyle w:val="Normal"/>
              <w:spacing w:lineRule="auto" w:line="259" w:before="0" w:after="0"/>
              <w:ind w:left="3" w:hanging="3"/>
              <w:jc w:val="center"/>
              <w:rPr/>
            </w:pPr>
            <w:r>
              <w:rPr>
                <w:b/>
              </w:rPr>
              <w:t xml:space="preserve">v obchodnej spoločnosti s podstatný m vplyvom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213" w:hanging="199"/>
              <w:jc w:val="left"/>
              <w:rPr/>
            </w:pPr>
            <w:r>
              <w:rPr>
                <w:b/>
              </w:rPr>
              <w:t xml:space="preserve">Dlhov é </w:t>
            </w:r>
          </w:p>
          <w:p>
            <w:pPr>
              <w:pStyle w:val="Normal"/>
              <w:spacing w:lineRule="auto" w:line="259" w:before="0" w:after="0"/>
              <w:ind w:left="2" w:hanging="0"/>
              <w:rPr/>
            </w:pPr>
            <w:r>
              <w:rPr>
                <w:b/>
              </w:rPr>
              <w:t xml:space="preserve">cenné </w:t>
            </w:r>
          </w:p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papie re </w:t>
            </w:r>
          </w:p>
          <w:p>
            <w:pPr>
              <w:pStyle w:val="Normal"/>
              <w:spacing w:lineRule="auto" w:line="240" w:before="0" w:after="0"/>
              <w:ind w:left="0" w:right="5" w:hanging="0"/>
              <w:jc w:val="center"/>
              <w:rPr/>
            </w:pPr>
            <w:r>
              <w:rPr>
                <w:b/>
              </w:rPr>
              <w:t xml:space="preserve">držan é do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splat nosti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Pôžičky podnikom v skupine a ostatné pôžičky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Ostatný dlhodobý finančný majetok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27" w:hanging="0"/>
              <w:jc w:val="left"/>
              <w:rPr/>
            </w:pPr>
            <w:r>
              <w:rPr>
                <w:b/>
              </w:rPr>
              <w:t xml:space="preserve">Obstaranie </w:t>
            </w:r>
          </w:p>
          <w:p>
            <w:pPr>
              <w:pStyle w:val="Normal"/>
              <w:spacing w:lineRule="auto" w:line="259" w:before="0" w:after="0"/>
              <w:ind w:left="84" w:hanging="0"/>
              <w:jc w:val="left"/>
              <w:rPr/>
            </w:pPr>
            <w:r>
              <w:rPr>
                <w:b/>
              </w:rPr>
              <w:t xml:space="preserve">dlhodobého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finančného majetku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9" w:hanging="0"/>
              <w:rPr/>
            </w:pPr>
            <w:r>
              <w:rPr>
                <w:b/>
              </w:rPr>
              <w:t>Poskytnu</w:t>
            </w:r>
          </w:p>
          <w:p>
            <w:pPr>
              <w:pStyle w:val="Normal"/>
              <w:spacing w:lineRule="auto" w:line="259" w:before="0" w:after="0"/>
              <w:ind w:left="0" w:right="29" w:hanging="0"/>
              <w:jc w:val="center"/>
              <w:rPr/>
            </w:pPr>
            <w:r>
              <w:rPr>
                <w:b/>
              </w:rPr>
              <w:t xml:space="preserve">té </w:t>
            </w:r>
          </w:p>
          <w:p>
            <w:pPr>
              <w:pStyle w:val="Normal"/>
              <w:spacing w:lineRule="auto" w:line="237" w:before="0" w:after="0"/>
              <w:ind w:left="0" w:right="12" w:hanging="0"/>
              <w:jc w:val="center"/>
              <w:rPr/>
            </w:pPr>
            <w:r>
              <w:rPr>
                <w:b/>
              </w:rPr>
              <w:t xml:space="preserve">preddavk y na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dlhodobý finančný  majetok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74" w:hanging="0"/>
              <w:jc w:val="left"/>
              <w:rPr/>
            </w:pPr>
            <w:r>
              <w:rPr>
                <w:b/>
              </w:rPr>
              <w:t xml:space="preserve">Spolu </w:t>
            </w:r>
          </w:p>
        </w:tc>
      </w:tr>
      <w:tr>
        <w:trPr>
          <w:trHeight w:val="300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Prvotné ocenenie 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4044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7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516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/>
              <w:t xml:space="preserve">Stav  na začiatku bežného účtovného obdobia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14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12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14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Presuny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516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00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Opravné položky 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4044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7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514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začiatku bežného účtovného obdobia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14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Prírastky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14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Úbytky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514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00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Zostatková hodnota  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4044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7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516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začiatku bežného účtovného obdobia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516" w:hRule="atLeast"/>
        </w:trPr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Stav na konci bežného účtovného obdobia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30"/>
        <w:ind w:left="-5" w:hanging="10"/>
        <w:jc w:val="left"/>
        <w:rPr/>
      </w:pPr>
      <w:r>
        <w:rPr>
          <w:b/>
        </w:rPr>
        <w:t xml:space="preserve">Vzorová tabuľka k čl. III ods. 4 o štruktúre dlhodobého finančného majetku  </w:t>
      </w:r>
    </w:p>
    <w:tbl>
      <w:tblPr>
        <w:tblStyle w:val="TableGrid"/>
        <w:tblW w:w="10147" w:type="dxa"/>
        <w:jc w:val="left"/>
        <w:tblInd w:w="-108" w:type="dxa"/>
        <w:tblCellMar>
          <w:top w:w="8" w:type="dxa"/>
          <w:left w:w="106" w:type="dxa"/>
          <w:bottom w:w="0" w:type="dxa"/>
          <w:right w:w="63" w:type="dxa"/>
        </w:tblCellMar>
        <w:tblLook w:firstRow="1" w:noVBand="1" w:lastRow="0" w:firstColumn="1" w:lastColumn="0" w:noHBand="0" w:val="04a0"/>
      </w:tblPr>
      <w:tblGrid>
        <w:gridCol w:w="877"/>
        <w:gridCol w:w="976"/>
        <w:gridCol w:w="1296"/>
        <w:gridCol w:w="1418"/>
        <w:gridCol w:w="2008"/>
        <w:gridCol w:w="1189"/>
        <w:gridCol w:w="2382"/>
      </w:tblGrid>
      <w:tr>
        <w:trPr>
          <w:trHeight w:val="495" w:hRule="atLeast"/>
        </w:trPr>
        <w:tc>
          <w:tcPr>
            <w:tcW w:w="8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Názov spoloč nosti </w:t>
            </w:r>
          </w:p>
        </w:tc>
        <w:tc>
          <w:tcPr>
            <w:tcW w:w="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Podiel na </w:t>
            </w:r>
          </w:p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základn om </w:t>
            </w:r>
          </w:p>
          <w:p>
            <w:pPr>
              <w:pStyle w:val="Normal"/>
              <w:spacing w:lineRule="auto" w:line="259" w:before="0" w:after="0"/>
              <w:ind w:left="0" w:right="43" w:hanging="0"/>
              <w:jc w:val="center"/>
              <w:rPr/>
            </w:pPr>
            <w:r>
              <w:rPr>
                <w:b/>
              </w:rPr>
              <w:t xml:space="preserve">imaní </w:t>
            </w:r>
          </w:p>
          <w:p>
            <w:pPr>
              <w:pStyle w:val="Normal"/>
              <w:spacing w:lineRule="auto" w:line="259" w:before="0" w:after="0"/>
              <w:ind w:left="0" w:right="45" w:hanging="0"/>
              <w:jc w:val="center"/>
              <w:rPr/>
            </w:pPr>
            <w:r>
              <w:rPr>
                <w:b/>
              </w:rPr>
              <w:t xml:space="preserve">(v %) </w:t>
            </w:r>
          </w:p>
        </w:tc>
        <w:tc>
          <w:tcPr>
            <w:tcW w:w="12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Podiel účtovnej </w:t>
            </w:r>
          </w:p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>jednotky na hlasovacíc</w:t>
            </w:r>
          </w:p>
          <w:p>
            <w:pPr>
              <w:pStyle w:val="Normal"/>
              <w:spacing w:lineRule="auto" w:line="259" w:before="0" w:after="98"/>
              <w:ind w:left="0" w:right="41" w:hanging="0"/>
              <w:jc w:val="center"/>
              <w:rPr/>
            </w:pPr>
            <w:r>
              <w:rPr>
                <w:b/>
              </w:rPr>
              <w:t xml:space="preserve">h právach </w:t>
            </w:r>
          </w:p>
          <w:p>
            <w:pPr>
              <w:pStyle w:val="Normal"/>
              <w:spacing w:lineRule="auto" w:line="259" w:before="0" w:after="0"/>
              <w:ind w:left="0" w:right="45" w:hanging="0"/>
              <w:jc w:val="center"/>
              <w:rPr/>
            </w:pPr>
            <w:r>
              <w:rPr>
                <w:b/>
              </w:rPr>
              <w:t xml:space="preserve">(v %) </w:t>
            </w:r>
          </w:p>
        </w:tc>
        <w:tc>
          <w:tcPr>
            <w:tcW w:w="3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34" w:hanging="0"/>
              <w:jc w:val="left"/>
              <w:rPr/>
            </w:pPr>
            <w:r>
              <w:rPr>
                <w:b/>
              </w:rPr>
              <w:t xml:space="preserve">Hodnota vlastného imania ku koncu </w:t>
            </w:r>
          </w:p>
        </w:tc>
        <w:tc>
          <w:tcPr>
            <w:tcW w:w="3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6" w:hanging="0"/>
              <w:jc w:val="center"/>
              <w:rPr/>
            </w:pPr>
            <w:r>
              <w:rPr>
                <w:b/>
              </w:rPr>
              <w:t xml:space="preserve">Účtovná hodnota ku koncu </w:t>
            </w:r>
          </w:p>
        </w:tc>
      </w:tr>
      <w:tr>
        <w:trPr>
          <w:trHeight w:val="1310" w:hRule="atLeast"/>
        </w:trPr>
        <w:tc>
          <w:tcPr>
            <w:tcW w:w="877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976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296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2" w:hanging="0"/>
              <w:jc w:val="center"/>
              <w:rPr/>
            </w:pPr>
            <w:r>
              <w:rPr>
                <w:b/>
              </w:rPr>
              <w:t xml:space="preserve">bežného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6" w:hanging="0"/>
              <w:jc w:val="center"/>
              <w:rPr/>
            </w:pPr>
            <w:r>
              <w:rPr>
                <w:b/>
              </w:rPr>
              <w:t xml:space="preserve">bezprostredne </w:t>
            </w:r>
          </w:p>
          <w:p>
            <w:pPr>
              <w:pStyle w:val="Normal"/>
              <w:spacing w:lineRule="auto" w:line="259" w:before="0" w:after="0"/>
              <w:ind w:left="2" w:right="41" w:hanging="2"/>
              <w:jc w:val="center"/>
              <w:rPr/>
            </w:pPr>
            <w:r>
              <w:rPr>
                <w:b/>
              </w:rPr>
              <w:t xml:space="preserve">predchádzajúceh o účtovného obdobia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84" w:hanging="0"/>
              <w:jc w:val="left"/>
              <w:rPr/>
            </w:pPr>
            <w:r>
              <w:rPr>
                <w:b/>
              </w:rPr>
              <w:t xml:space="preserve">bežného </w:t>
            </w:r>
          </w:p>
          <w:p>
            <w:pPr>
              <w:pStyle w:val="Normal"/>
              <w:spacing w:lineRule="auto" w:line="259" w:before="0" w:after="0"/>
              <w:ind w:left="0" w:right="43" w:hanging="0"/>
              <w:jc w:val="center"/>
              <w:rPr/>
            </w:pPr>
            <w:r>
              <w:rPr>
                <w:b/>
              </w:rPr>
              <w:t xml:space="preserve">účtovnéh o obdobia 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6" w:hanging="0"/>
              <w:jc w:val="center"/>
              <w:rPr/>
            </w:pPr>
            <w:r>
              <w:rPr>
                <w:b/>
              </w:rPr>
              <w:t xml:space="preserve">bezprostredne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predchádzajúceho účtovného obdobia </w:t>
            </w:r>
          </w:p>
        </w:tc>
      </w:tr>
      <w:tr>
        <w:trPr>
          <w:trHeight w:val="350" w:hRule="atLeast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53" w:hRule="atLeast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53" w:hRule="atLeast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101"/>
        <w:ind w:left="-5" w:hanging="10"/>
        <w:jc w:val="left"/>
        <w:rPr/>
      </w:pPr>
      <w:r>
        <w:rPr>
          <w:b/>
        </w:rPr>
        <w:t xml:space="preserve">Vzorová tabuľka k čl. III ods. 6 o položkách krátkodobého finančného majetku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Tabuľka č. 1  </w:t>
      </w:r>
    </w:p>
    <w:tbl>
      <w:tblPr>
        <w:tblStyle w:val="TableGrid"/>
        <w:tblW w:w="10384" w:type="dxa"/>
        <w:jc w:val="left"/>
        <w:tblInd w:w="-70" w:type="dxa"/>
        <w:tblCellMar>
          <w:top w:w="50" w:type="dxa"/>
          <w:left w:w="106" w:type="dxa"/>
          <w:bottom w:w="0" w:type="dxa"/>
          <w:right w:w="57" w:type="dxa"/>
        </w:tblCellMar>
        <w:tblLook w:firstRow="1" w:noVBand="1" w:lastRow="0" w:firstColumn="1" w:lastColumn="0" w:noHBand="0" w:val="04a0"/>
      </w:tblPr>
      <w:tblGrid>
        <w:gridCol w:w="2307"/>
        <w:gridCol w:w="2403"/>
        <w:gridCol w:w="1551"/>
        <w:gridCol w:w="1633"/>
        <w:gridCol w:w="2490"/>
      </w:tblGrid>
      <w:tr>
        <w:trPr>
          <w:trHeight w:val="634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9" w:hanging="0"/>
              <w:jc w:val="center"/>
              <w:rPr/>
            </w:pPr>
            <w:r>
              <w:rPr>
                <w:b/>
              </w:rPr>
              <w:t xml:space="preserve">Prírastky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8" w:hanging="0"/>
              <w:jc w:val="center"/>
              <w:rPr/>
            </w:pPr>
            <w:r>
              <w:rPr>
                <w:b/>
              </w:rPr>
              <w:t xml:space="preserve">Úbytky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bežného účtovného obdobia </w:t>
            </w:r>
          </w:p>
        </w:tc>
      </w:tr>
      <w:tr>
        <w:trPr>
          <w:trHeight w:val="636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/>
              <w:t xml:space="preserve">Majetkové cenné papiere na obchodovanie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634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Dlhové cenné papiere na obchodovanie 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888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51" w:hanging="0"/>
              <w:rPr/>
            </w:pPr>
            <w:r>
              <w:rPr/>
              <w:t xml:space="preserve">Dlhové cenné papiere so splatnosťou do jedného roka držané do splatnosti 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636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/>
              <w:t xml:space="preserve">Ostatné realizovateľné cenné papiere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886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Obstarávanie </w:t>
            </w:r>
          </w:p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krátkodobého finančného majetku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636" w:hRule="atLeast"/>
        </w:trPr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109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0" w:hanging="0"/>
        <w:jc w:val="left"/>
        <w:rPr/>
      </w:pPr>
      <w:r>
        <w:rPr>
          <w:b/>
          <w:sz w:val="20"/>
        </w:rPr>
        <w:t xml:space="preserve">Tabuľka č. 2 </w:t>
      </w:r>
    </w:p>
    <w:tbl>
      <w:tblPr>
        <w:tblStyle w:val="TableGrid"/>
        <w:tblW w:w="10384" w:type="dxa"/>
        <w:jc w:val="left"/>
        <w:tblInd w:w="-70" w:type="dxa"/>
        <w:tblCellMar>
          <w:top w:w="10" w:type="dxa"/>
          <w:left w:w="106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2791"/>
        <w:gridCol w:w="2005"/>
        <w:gridCol w:w="3195"/>
        <w:gridCol w:w="2392"/>
      </w:tblGrid>
      <w:tr>
        <w:trPr>
          <w:trHeight w:val="802" w:hRule="atLeast"/>
        </w:trPr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43" w:hanging="0"/>
              <w:jc w:val="center"/>
              <w:rPr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120"/>
              <w:ind w:left="0" w:hanging="0"/>
              <w:jc w:val="center"/>
              <w:rPr/>
            </w:pPr>
            <w:r>
              <w:rPr>
                <w:b/>
                <w:sz w:val="16"/>
              </w:rPr>
              <w:t xml:space="preserve">Zvýšenie/ zníženie hodnoty </w:t>
            </w:r>
          </w:p>
          <w:p>
            <w:pPr>
              <w:pStyle w:val="Normal"/>
              <w:spacing w:lineRule="auto" w:line="259" w:before="0" w:after="0"/>
              <w:ind w:left="45" w:hanging="0"/>
              <w:jc w:val="center"/>
              <w:rPr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76" w:before="0" w:after="0"/>
              <w:ind w:left="0" w:hanging="0"/>
              <w:jc w:val="center"/>
              <w:rPr/>
            </w:pPr>
            <w:r>
              <w:rPr>
                <w:b/>
                <w:sz w:val="16"/>
              </w:rPr>
              <w:t xml:space="preserve">Vplyv ocenenia na výsledok hospodárenia bežného účtovného </w:t>
            </w:r>
          </w:p>
          <w:p>
            <w:pPr>
              <w:pStyle w:val="Normal"/>
              <w:spacing w:lineRule="auto" w:line="259" w:before="0" w:after="0"/>
              <w:ind w:left="50" w:hanging="0"/>
              <w:jc w:val="center"/>
              <w:rPr/>
            </w:pPr>
            <w:r>
              <w:rPr>
                <w:b/>
                <w:sz w:val="16"/>
              </w:rPr>
              <w:t xml:space="preserve">obdobia 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>
        <w:trPr>
          <w:trHeight w:val="637" w:hRule="atLeast"/>
        </w:trPr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60" w:hanging="0"/>
              <w:jc w:val="left"/>
              <w:rPr/>
            </w:pPr>
            <w:r>
              <w:rPr/>
              <w:t xml:space="preserve">Majetkové cenné papiere na obchodovanie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634" w:hRule="atLeast"/>
        </w:trPr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522" w:hanging="0"/>
              <w:rPr/>
            </w:pPr>
            <w:r>
              <w:rPr/>
              <w:t xml:space="preserve">Dlhové cenné papiere na obchodovanie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636" w:hRule="atLeast"/>
        </w:trPr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Ostatné realizovateľné cenné papiere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262" w:hRule="atLeast"/>
        </w:trPr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Krátkodobý finančný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sz w:val="16"/>
              </w:rPr>
              <w:t xml:space="preserve"> </w:t>
            </w:r>
          </w:p>
        </w:tc>
      </w:tr>
      <w:tr>
        <w:trPr>
          <w:trHeight w:val="382" w:hRule="atLeast"/>
        </w:trPr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majetok spolu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k čl. III ods. 7 o vývoji opravných položiek k zásobám  </w:t>
      </w:r>
    </w:p>
    <w:tbl>
      <w:tblPr>
        <w:tblStyle w:val="TableGrid"/>
        <w:tblW w:w="10394" w:type="dxa"/>
        <w:jc w:val="left"/>
        <w:tblInd w:w="-70" w:type="dxa"/>
        <w:tblCellMar>
          <w:top w:w="50" w:type="dxa"/>
          <w:left w:w="106" w:type="dxa"/>
          <w:bottom w:w="0" w:type="dxa"/>
          <w:right w:w="84" w:type="dxa"/>
        </w:tblCellMar>
        <w:tblLook w:firstRow="1" w:noVBand="1" w:lastRow="0" w:firstColumn="1" w:lastColumn="0" w:noHBand="0" w:val="04a0"/>
      </w:tblPr>
      <w:tblGrid>
        <w:gridCol w:w="1769"/>
        <w:gridCol w:w="1823"/>
        <w:gridCol w:w="1725"/>
        <w:gridCol w:w="1522"/>
        <w:gridCol w:w="1636"/>
        <w:gridCol w:w="1918"/>
      </w:tblGrid>
      <w:tr>
        <w:trPr>
          <w:trHeight w:val="1020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7" w:hanging="0"/>
              <w:jc w:val="center"/>
              <w:rPr/>
            </w:pPr>
            <w:r>
              <w:rPr>
                <w:b/>
              </w:rPr>
              <w:t xml:space="preserve">Druh zásob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začiatku bežného </w:t>
            </w:r>
          </w:p>
          <w:p>
            <w:pPr>
              <w:pStyle w:val="Normal"/>
              <w:spacing w:lineRule="auto" w:line="259" w:before="0" w:after="0"/>
              <w:ind w:left="13" w:hanging="0"/>
              <w:jc w:val="center"/>
              <w:rPr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Tvorba opravnej položky </w:t>
            </w:r>
          </w:p>
          <w:p>
            <w:pPr>
              <w:pStyle w:val="Normal"/>
              <w:spacing w:lineRule="auto" w:line="259" w:before="0" w:after="0"/>
              <w:ind w:left="0" w:right="24" w:hanging="0"/>
              <w:jc w:val="center"/>
              <w:rPr/>
            </w:pPr>
            <w:r>
              <w:rPr>
                <w:b/>
              </w:rPr>
              <w:t xml:space="preserve">(zvýšenie)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4" w:hanging="8"/>
              <w:jc w:val="center"/>
              <w:rPr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bežného účtovného obdobia </w:t>
            </w:r>
          </w:p>
        </w:tc>
      </w:tr>
      <w:tr>
        <w:trPr>
          <w:trHeight w:val="533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Materiál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1020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21" w:hanging="0"/>
              <w:jc w:val="left"/>
              <w:rPr/>
            </w:pPr>
            <w:r>
              <w:rPr/>
              <w:t xml:space="preserve">Nedokončená výroba  a polotovary vlastnej výroby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59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Výrobky 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60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Zvieratá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59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Tovar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6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Poskytnutý preddavok na zásoby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62" w:hRule="atLeast"/>
        </w:trPr>
        <w:tc>
          <w:tcPr>
            <w:tcW w:w="1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k čl. III ods. 9  o vývoji opravných položiek k pohľadávkam </w:t>
      </w:r>
    </w:p>
    <w:tbl>
      <w:tblPr>
        <w:tblStyle w:val="TableGrid"/>
        <w:tblW w:w="10428" w:type="dxa"/>
        <w:jc w:val="left"/>
        <w:tblInd w:w="-70" w:type="dxa"/>
        <w:tblCellMar>
          <w:top w:w="50" w:type="dxa"/>
          <w:left w:w="106" w:type="dxa"/>
          <w:bottom w:w="0" w:type="dxa"/>
          <w:right w:w="65" w:type="dxa"/>
        </w:tblCellMar>
        <w:tblLook w:firstRow="1" w:noVBand="1" w:lastRow="0" w:firstColumn="1" w:lastColumn="0" w:noHBand="0" w:val="04a0"/>
      </w:tblPr>
      <w:tblGrid>
        <w:gridCol w:w="1660"/>
        <w:gridCol w:w="1820"/>
        <w:gridCol w:w="1722"/>
        <w:gridCol w:w="1684"/>
        <w:gridCol w:w="1625"/>
        <w:gridCol w:w="1916"/>
      </w:tblGrid>
      <w:tr>
        <w:trPr>
          <w:trHeight w:val="1020" w:hRule="atLeast"/>
        </w:trPr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začiatku bežného </w:t>
            </w:r>
          </w:p>
          <w:p>
            <w:pPr>
              <w:pStyle w:val="Normal"/>
              <w:spacing w:lineRule="auto" w:line="259" w:before="0" w:after="0"/>
              <w:ind w:left="3" w:hanging="0"/>
              <w:jc w:val="center"/>
              <w:rPr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Tvorba opravnej položky </w:t>
            </w:r>
          </w:p>
          <w:p>
            <w:pPr>
              <w:pStyle w:val="Normal"/>
              <w:spacing w:lineRule="auto" w:line="259" w:before="0" w:after="0"/>
              <w:ind w:left="0" w:right="43" w:hanging="0"/>
              <w:jc w:val="center"/>
              <w:rPr/>
            </w:pPr>
            <w:r>
              <w:rPr>
                <w:b/>
              </w:rPr>
              <w:t xml:space="preserve">(zvýšenie) 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5" w:hanging="0"/>
              <w:jc w:val="center"/>
              <w:rPr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8" w:hanging="8"/>
              <w:jc w:val="center"/>
              <w:rPr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bežného účtovného obdobia </w:t>
            </w:r>
          </w:p>
        </w:tc>
      </w:tr>
      <w:tr>
        <w:trPr>
          <w:trHeight w:val="766" w:hRule="atLeast"/>
        </w:trPr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277" w:hanging="0"/>
              <w:jc w:val="left"/>
              <w:rPr/>
            </w:pPr>
            <w:r>
              <w:rPr/>
              <w:t xml:space="preserve">Pohľadávky z obchodného styku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50" w:hRule="atLeast"/>
        </w:trPr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Ostatné pohľadávky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8" w:hRule="atLeast"/>
        </w:trPr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Pohľadávky voči účastníkom združení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50" w:hRule="atLeast"/>
        </w:trPr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Iné pohľadávky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50" w:hRule="atLeast"/>
        </w:trPr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0" w:hanging="0"/>
        <w:jc w:val="left"/>
        <w:rPr/>
      </w:pPr>
      <w:r>
        <w:rPr>
          <w:b/>
        </w:rPr>
        <w:t xml:space="preserve">Vzorová tabuľka k čl. III ods. 10  o pohľadávkach do lehoty splatnosti a po lehote splatnosti </w:t>
      </w:r>
      <w:r>
        <w:rPr/>
        <w:t xml:space="preserve"> </w:t>
      </w:r>
    </w:p>
    <w:tbl>
      <w:tblPr>
        <w:tblStyle w:val="TableGrid"/>
        <w:tblW w:w="10384" w:type="dxa"/>
        <w:jc w:val="left"/>
        <w:tblInd w:w="-70" w:type="dxa"/>
        <w:tblCellMar>
          <w:top w:w="50" w:type="dxa"/>
          <w:left w:w="106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3525"/>
        <w:gridCol w:w="3133"/>
        <w:gridCol w:w="3726"/>
      </w:tblGrid>
      <w:tr>
        <w:trPr>
          <w:trHeight w:val="408" w:hRule="atLeast"/>
        </w:trPr>
        <w:tc>
          <w:tcPr>
            <w:tcW w:w="3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6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2" w:hanging="0"/>
              <w:jc w:val="center"/>
              <w:rPr/>
            </w:pPr>
            <w:r>
              <w:rPr>
                <w:b/>
              </w:rPr>
              <w:t xml:space="preserve">Stav na konci </w:t>
            </w:r>
          </w:p>
        </w:tc>
      </w:tr>
      <w:tr>
        <w:trPr>
          <w:trHeight w:val="634" w:hRule="atLeast"/>
        </w:trPr>
        <w:tc>
          <w:tcPr>
            <w:tcW w:w="3525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2" w:hanging="0"/>
              <w:jc w:val="center"/>
              <w:rPr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>
        <w:trPr>
          <w:trHeight w:val="382" w:hRule="atLeast"/>
        </w:trPr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Pohľadávky do lehoty splatnosti </w:t>
            </w:r>
          </w:p>
        </w:tc>
        <w:tc>
          <w:tcPr>
            <w:tcW w:w="3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2" w:hRule="atLeast"/>
        </w:trPr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Pohľadávky po lehote splatnosti </w:t>
            </w:r>
          </w:p>
        </w:tc>
        <w:tc>
          <w:tcPr>
            <w:tcW w:w="3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4" w:hRule="atLeast"/>
        </w:trPr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3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12 o zmenách vlastných zdrojov krytia neobežného majetku a obežného majetku</w:t>
      </w:r>
      <w:r>
        <w:rPr/>
        <w:t xml:space="preserve">     </w:t>
      </w:r>
    </w:p>
    <w:tbl>
      <w:tblPr>
        <w:tblStyle w:val="TableGrid"/>
        <w:tblW w:w="10384" w:type="dxa"/>
        <w:jc w:val="left"/>
        <w:tblInd w:w="-70" w:type="dxa"/>
        <w:tblCellMar>
          <w:top w:w="50" w:type="dxa"/>
          <w:left w:w="106" w:type="dxa"/>
          <w:bottom w:w="0" w:type="dxa"/>
          <w:right w:w="60" w:type="dxa"/>
        </w:tblCellMar>
        <w:tblLook w:firstRow="1" w:noVBand="1" w:lastRow="0" w:firstColumn="1" w:lastColumn="0" w:noHBand="0" w:val="04a0"/>
      </w:tblPr>
      <w:tblGrid>
        <w:gridCol w:w="2201"/>
        <w:gridCol w:w="2258"/>
        <w:gridCol w:w="1622"/>
        <w:gridCol w:w="1447"/>
        <w:gridCol w:w="1576"/>
        <w:gridCol w:w="1279"/>
      </w:tblGrid>
      <w:tr>
        <w:trPr>
          <w:trHeight w:val="1272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06" w:right="207" w:hanging="0"/>
              <w:jc w:val="center"/>
              <w:rPr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51" w:hanging="0"/>
              <w:jc w:val="center"/>
              <w:rPr/>
            </w:pPr>
            <w:r>
              <w:rPr>
                <w:b/>
              </w:rPr>
              <w:t xml:space="preserve">Úbytky </w:t>
            </w:r>
          </w:p>
          <w:p>
            <w:pPr>
              <w:pStyle w:val="Normal"/>
              <w:spacing w:lineRule="auto" w:line="259" w:before="0" w:after="0"/>
              <w:ind w:left="0" w:right="50" w:hanging="0"/>
              <w:jc w:val="center"/>
              <w:rPr/>
            </w:pPr>
            <w:r>
              <w:rPr>
                <w:b/>
              </w:rPr>
              <w:t xml:space="preserve">(-)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51" w:hanging="0"/>
              <w:jc w:val="center"/>
              <w:rPr/>
            </w:pPr>
            <w:r>
              <w:rPr>
                <w:b/>
              </w:rPr>
              <w:t xml:space="preserve">Presuny </w:t>
            </w:r>
          </w:p>
          <w:p>
            <w:pPr>
              <w:pStyle w:val="Normal"/>
              <w:spacing w:lineRule="auto" w:line="259" w:before="0" w:after="0"/>
              <w:ind w:left="0" w:right="50" w:hanging="0"/>
              <w:jc w:val="center"/>
              <w:rPr/>
            </w:pPr>
            <w:r>
              <w:rPr>
                <w:b/>
              </w:rPr>
              <w:t xml:space="preserve">(+, -)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</w:t>
            </w:r>
          </w:p>
          <w:p>
            <w:pPr>
              <w:pStyle w:val="Normal"/>
              <w:spacing w:lineRule="auto" w:line="259" w:before="0" w:after="0"/>
              <w:ind w:left="0" w:right="46" w:hanging="0"/>
              <w:jc w:val="center"/>
              <w:rPr/>
            </w:pPr>
            <w:r>
              <w:rPr>
                <w:b/>
              </w:rPr>
              <w:t xml:space="preserve">bežného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účtovného obdobia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>Imanie a fondy</w:t>
            </w:r>
            <w:r>
              <w:rPr/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Základné imanie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  <w:r>
              <w:rPr/>
              <w:t>102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102 </w:t>
            </w:r>
          </w:p>
        </w:tc>
      </w:tr>
      <w:tr>
        <w:trPr>
          <w:trHeight w:val="768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z toho:  </w:t>
            </w:r>
          </w:p>
          <w:p>
            <w:pPr>
              <w:pStyle w:val="Normal"/>
              <w:spacing w:lineRule="auto" w:line="259" w:before="0" w:after="0"/>
              <w:ind w:left="0" w:right="643" w:hanging="0"/>
              <w:jc w:val="left"/>
              <w:rPr/>
            </w:pPr>
            <w:r>
              <w:rPr/>
              <w:t xml:space="preserve">nadačné imanie v nadácii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vklady zakladateľov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  <w:r>
              <w:rPr/>
              <w:t>102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102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prioritný majetok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Fondy tvorené podľa osobitného predpisu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Fond reprodukcie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8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right="193" w:hanging="0"/>
              <w:jc w:val="left"/>
              <w:rPr/>
            </w:pPr>
            <w:r>
              <w:rPr/>
              <w:t xml:space="preserve">Oceňovacie rozdiely z precenenia majetku a </w:t>
            </w:r>
          </w:p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záväzkov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6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434" w:hanging="0"/>
              <w:rPr/>
            </w:pPr>
            <w:r>
              <w:rPr/>
              <w:t xml:space="preserve">Oceňovacie rozdiely z precenenia kapitálových účastín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>Fondy zo zisku</w:t>
            </w:r>
            <w:r>
              <w:rPr/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404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Rezervný fond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Fondy tvorené zo zisku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Ostatné fondy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6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10" w:hanging="0"/>
              <w:jc w:val="left"/>
              <w:rPr/>
            </w:pPr>
            <w:r>
              <w:rPr/>
              <w:t xml:space="preserve">Nevysporiadaný výsledok hospodárenia minulých rokov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Výsledok hospodárenia za účtovné obdobie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  <w:r>
              <w:rPr/>
              <w:t>88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-95 </w:t>
            </w:r>
          </w:p>
        </w:tc>
      </w:tr>
      <w:tr>
        <w:trPr>
          <w:trHeight w:val="401" w:hRule="atLeast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Spolu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14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7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13 o rozdelení účtovného zisku alebo vysporiadaní účtovnej straty</w:t>
      </w:r>
      <w:r>
        <w:rPr/>
        <w:t xml:space="preserve"> </w:t>
      </w:r>
    </w:p>
    <w:tbl>
      <w:tblPr>
        <w:tblStyle w:val="TableGrid"/>
        <w:tblW w:w="9081" w:type="dxa"/>
        <w:jc w:val="left"/>
        <w:tblInd w:w="-108" w:type="dxa"/>
        <w:tblCellMar>
          <w:top w:w="50" w:type="dxa"/>
          <w:left w:w="108" w:type="dxa"/>
          <w:bottom w:w="0" w:type="dxa"/>
          <w:right w:w="60" w:type="dxa"/>
        </w:tblCellMar>
        <w:tblLook w:firstRow="1" w:noVBand="1" w:lastRow="0" w:firstColumn="1" w:lastColumn="0" w:noHBand="0" w:val="04a0"/>
      </w:tblPr>
      <w:tblGrid>
        <w:gridCol w:w="3862"/>
        <w:gridCol w:w="1394"/>
        <w:gridCol w:w="3825"/>
      </w:tblGrid>
      <w:tr>
        <w:trPr>
          <w:trHeight w:val="761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7" w:hanging="0"/>
              <w:jc w:val="center"/>
              <w:rPr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7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>Rozdelenie účtovného zisku</w:t>
            </w:r>
            <w:r>
              <w:rPr/>
              <w:t xml:space="preserve"> </w:t>
            </w:r>
          </w:p>
        </w:tc>
        <w:tc>
          <w:tcPr>
            <w:tcW w:w="38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Prídel do základného imania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7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Prídel do fondu tvoreného podľa osobitného predpisu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57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Prídel do fondu reprodukcie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Prídel do rezervného fondu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Prídel do fondu tvoreného zo zisku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Prídel do ostatných fondov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Úhrada straty minulých období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6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Prevod do sociálneho fondu 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14" w:hRule="atLeast"/>
        </w:trPr>
        <w:tc>
          <w:tcPr>
            <w:tcW w:w="5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Prevod  do nevysporiadaného výsledku hospodárenia minulých rokov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Iné 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6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>
                <w:b/>
              </w:rPr>
              <w:t>Vysporiadanie účtovnej straty</w:t>
            </w:r>
            <w:r>
              <w:rPr/>
              <w:t xml:space="preserve"> </w:t>
            </w:r>
          </w:p>
        </w:tc>
        <w:tc>
          <w:tcPr>
            <w:tcW w:w="52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Zo základného imania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Z rezervného fondu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Z fondu tvoreného zo zisku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Z ostatných fondov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Z nerozdeleného zisku minulých rokov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Prevod </w:t>
              <w:tab/>
              <w:t xml:space="preserve">do </w:t>
              <w:tab/>
              <w:t xml:space="preserve">nevysporiadaného </w:t>
              <w:tab/>
              <w:t xml:space="preserve">výsledku minulých rokov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/>
              <w:t xml:space="preserve">hospodárenia 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  <w:tr>
        <w:trPr>
          <w:trHeight w:val="334" w:hRule="atLeast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08" w:hanging="0"/>
              <w:jc w:val="left"/>
              <w:rPr/>
            </w:pPr>
            <w:r>
              <w:rPr/>
              <w:t xml:space="preserve">Iné  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110" w:hanging="0"/>
              <w:jc w:val="center"/>
              <w:rPr/>
            </w:pPr>
            <w:r>
              <w:rPr/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14 písm. a) o  tvorbe a použití rezerv</w:t>
      </w:r>
      <w:r>
        <w:rPr/>
        <w:t xml:space="preserve"> </w:t>
      </w:r>
    </w:p>
    <w:tbl>
      <w:tblPr>
        <w:tblStyle w:val="TableGrid"/>
        <w:tblW w:w="10243" w:type="dxa"/>
        <w:jc w:val="left"/>
        <w:tblInd w:w="72" w:type="dxa"/>
        <w:tblCellMar>
          <w:top w:w="50" w:type="dxa"/>
          <w:left w:w="106" w:type="dxa"/>
          <w:bottom w:w="0" w:type="dxa"/>
          <w:right w:w="79" w:type="dxa"/>
        </w:tblCellMar>
        <w:tblLook w:firstRow="1" w:noVBand="1" w:lastRow="0" w:firstColumn="1" w:lastColumn="0" w:noHBand="0" w:val="04a0"/>
      </w:tblPr>
      <w:tblGrid>
        <w:gridCol w:w="2074"/>
        <w:gridCol w:w="1561"/>
        <w:gridCol w:w="1229"/>
        <w:gridCol w:w="1337"/>
        <w:gridCol w:w="1349"/>
        <w:gridCol w:w="2692"/>
      </w:tblGrid>
      <w:tr>
        <w:trPr>
          <w:trHeight w:val="1272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7" w:hanging="0"/>
              <w:jc w:val="center"/>
              <w:rPr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začiatku </w:t>
            </w:r>
          </w:p>
          <w:p>
            <w:pPr>
              <w:pStyle w:val="Normal"/>
              <w:spacing w:lineRule="auto" w:line="259" w:before="0" w:after="0"/>
              <w:ind w:left="0" w:right="27" w:hanging="0"/>
              <w:jc w:val="center"/>
              <w:rPr/>
            </w:pPr>
            <w:r>
              <w:rPr>
                <w:b/>
              </w:rPr>
              <w:t xml:space="preserve">bežného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9" w:hanging="0"/>
              <w:jc w:val="center"/>
              <w:rPr/>
            </w:pPr>
            <w:r>
              <w:rPr>
                <w:b/>
              </w:rPr>
              <w:t xml:space="preserve">Tvorba </w:t>
            </w:r>
          </w:p>
          <w:p>
            <w:pPr>
              <w:pStyle w:val="Normal"/>
              <w:spacing w:lineRule="auto" w:line="259" w:before="0" w:after="0"/>
              <w:ind w:left="0" w:right="27" w:hanging="0"/>
              <w:jc w:val="center"/>
              <w:rPr/>
            </w:pPr>
            <w:r>
              <w:rPr>
                <w:b/>
              </w:rPr>
              <w:t xml:space="preserve">rezerv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Zrušenie alebo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zníženie rezerv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bežného účtovného obdobia </w:t>
            </w:r>
          </w:p>
        </w:tc>
      </w:tr>
      <w:tr>
        <w:trPr>
          <w:trHeight w:val="766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Jednotlivé druhy krátkodobých zákonných rezerv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8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Jednotlivé druhy dlhodobých zákonných rezerv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  <w:tr>
        <w:trPr>
          <w:trHeight w:val="766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Jednotlivé druhy krátkodobých ostatných rezerv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68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Jednotlivé druhy dlhodobých ostatných rezerv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16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95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94" w:hRule="atLeast"/>
        </w:trPr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</w:tbl>
    <w:p>
      <w:pPr>
        <w:pStyle w:val="Normal"/>
        <w:spacing w:lineRule="auto" w:line="259" w:before="0" w:after="100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14 písm. c) a d) o záväzkoch</w:t>
      </w:r>
      <w:r>
        <w:rPr/>
        <w:t xml:space="preserve"> </w:t>
      </w:r>
    </w:p>
    <w:tbl>
      <w:tblPr>
        <w:tblStyle w:val="TableGrid"/>
        <w:tblW w:w="9804" w:type="dxa"/>
        <w:jc w:val="left"/>
        <w:tblInd w:w="72" w:type="dxa"/>
        <w:tblCellMar>
          <w:top w:w="110" w:type="dxa"/>
          <w:left w:w="106" w:type="dxa"/>
          <w:bottom w:w="0" w:type="dxa"/>
          <w:right w:w="182" w:type="dxa"/>
        </w:tblCellMar>
        <w:tblLook w:firstRow="1" w:noVBand="1" w:lastRow="0" w:firstColumn="1" w:lastColumn="0" w:noHBand="0" w:val="04a0"/>
      </w:tblPr>
      <w:tblGrid>
        <w:gridCol w:w="4151"/>
        <w:gridCol w:w="2645"/>
        <w:gridCol w:w="3008"/>
      </w:tblGrid>
      <w:tr>
        <w:trPr>
          <w:trHeight w:val="689" w:hRule="atLeast"/>
        </w:trPr>
        <w:tc>
          <w:tcPr>
            <w:tcW w:w="41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Druh záväzkov </w:t>
            </w:r>
          </w:p>
        </w:tc>
        <w:tc>
          <w:tcPr>
            <w:tcW w:w="56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74" w:hanging="0"/>
              <w:jc w:val="center"/>
              <w:rPr/>
            </w:pPr>
            <w:r>
              <w:rPr>
                <w:b/>
              </w:rPr>
              <w:t xml:space="preserve">Stav na konci </w:t>
            </w:r>
          </w:p>
        </w:tc>
      </w:tr>
      <w:tr>
        <w:trPr>
          <w:trHeight w:val="888" w:hRule="atLeast"/>
        </w:trPr>
        <w:tc>
          <w:tcPr>
            <w:tcW w:w="415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160"/>
              <w:ind w:left="0" w:hanging="0"/>
              <w:jc w:val="left"/>
              <w:rPr/>
            </w:pPr>
            <w:r>
              <w:rPr/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3" w:hanging="0"/>
              <w:jc w:val="center"/>
              <w:rPr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bezprostredne predchádzajúceho účtovného </w:t>
            </w:r>
          </w:p>
          <w:p>
            <w:pPr>
              <w:pStyle w:val="Normal"/>
              <w:spacing w:lineRule="auto" w:line="259" w:before="0" w:after="0"/>
              <w:ind w:left="72" w:hanging="0"/>
              <w:jc w:val="center"/>
              <w:rPr/>
            </w:pPr>
            <w:r>
              <w:rPr>
                <w:b/>
              </w:rPr>
              <w:t xml:space="preserve">obdobia </w:t>
            </w:r>
          </w:p>
        </w:tc>
      </w:tr>
      <w:tr>
        <w:trPr>
          <w:trHeight w:val="677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Záväzky po lehote splatnosti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679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Záväzky do lehoty splatnosti so zostatkovou dobou splatnosti do jedného  roka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73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  <w:tr>
        <w:trPr>
          <w:trHeight w:val="855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rPr/>
            </w:pPr>
            <w:r>
              <w:rPr/>
              <w:t xml:space="preserve">Záväzky so zostatkovou dobou splatnosti od  jedného  do piatich  rokov  vrátane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826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Záväzky so zostatkovou dobou splatnosti viac ako päť rokov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08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Dlhodobé záväzky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  <w:tr>
        <w:trPr>
          <w:trHeight w:val="710" w:hRule="atLeast"/>
        </w:trPr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Krátkodobé a dlhodobé záväzky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14 písm. e) o vývoji sociálneho fondu</w:t>
      </w:r>
      <w:r>
        <w:rPr/>
        <w:t xml:space="preserve"> </w:t>
      </w:r>
    </w:p>
    <w:tbl>
      <w:tblPr>
        <w:tblStyle w:val="TableGrid"/>
        <w:tblW w:w="10243" w:type="dxa"/>
        <w:jc w:val="left"/>
        <w:tblInd w:w="72" w:type="dxa"/>
        <w:tblCellMar>
          <w:top w:w="50" w:type="dxa"/>
          <w:left w:w="106" w:type="dxa"/>
          <w:bottom w:w="0" w:type="dxa"/>
          <w:right w:w="217" w:type="dxa"/>
        </w:tblCellMar>
        <w:tblLook w:firstRow="1" w:noVBand="1" w:lastRow="0" w:firstColumn="1" w:lastColumn="0" w:noHBand="0" w:val="04a0"/>
      </w:tblPr>
      <w:tblGrid>
        <w:gridCol w:w="3826"/>
        <w:gridCol w:w="3209"/>
        <w:gridCol w:w="3208"/>
      </w:tblGrid>
      <w:tr>
        <w:trPr>
          <w:trHeight w:val="516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09" w:hanging="0"/>
              <w:jc w:val="center"/>
              <w:rPr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749" w:hanging="593"/>
              <w:rPr/>
            </w:pPr>
            <w:r>
              <w:rPr>
                <w:b/>
              </w:rPr>
              <w:t xml:space="preserve">Bezprostredne predchádzajúce účtovné  obdobie </w:t>
            </w:r>
          </w:p>
        </w:tc>
      </w:tr>
      <w:tr>
        <w:trPr>
          <w:trHeight w:val="619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Stav k prvému dňu účtovného obdobia 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  <w:tr>
        <w:trPr>
          <w:trHeight w:val="384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Tvorba na ťarchu nákladov 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29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Tvorba zo zisku 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42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Čerpanie 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69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Stav k poslednému dňu účtovného obdobia 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0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14 písm. f) o bankových úveroch, pôžičkách a návratných finančných výpomociach</w:t>
      </w:r>
      <w:r>
        <w:rPr/>
        <w:t xml:space="preserve"> </w:t>
      </w:r>
    </w:p>
    <w:tbl>
      <w:tblPr>
        <w:tblStyle w:val="TableGrid"/>
        <w:tblW w:w="10243" w:type="dxa"/>
        <w:jc w:val="left"/>
        <w:tblInd w:w="72" w:type="dxa"/>
        <w:tblCellMar>
          <w:top w:w="0" w:type="dxa"/>
          <w:left w:w="106" w:type="dxa"/>
          <w:bottom w:w="0" w:type="dxa"/>
          <w:right w:w="91" w:type="dxa"/>
        </w:tblCellMar>
        <w:tblLook w:firstRow="1" w:noVBand="1" w:lastRow="0" w:firstColumn="1" w:lastColumn="0" w:noHBand="0" w:val="04a0"/>
      </w:tblPr>
      <w:tblGrid>
        <w:gridCol w:w="1322"/>
        <w:gridCol w:w="830"/>
        <w:gridCol w:w="1203"/>
        <w:gridCol w:w="1231"/>
        <w:gridCol w:w="1617"/>
        <w:gridCol w:w="1781"/>
        <w:gridCol w:w="2258"/>
      </w:tblGrid>
      <w:tr>
        <w:trPr>
          <w:trHeight w:val="1510" w:hRule="atLeast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14" w:hanging="0"/>
              <w:jc w:val="left"/>
              <w:rPr/>
            </w:pPr>
            <w:r>
              <w:rPr>
                <w:b/>
              </w:rPr>
              <w:t xml:space="preserve">Mena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Splatnosť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Suma istiny na konci bežného účtovného obdobia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37" w:before="0" w:after="2"/>
              <w:ind w:left="0" w:hanging="0"/>
              <w:jc w:val="center"/>
              <w:rPr/>
            </w:pPr>
            <w:r>
              <w:rPr>
                <w:b/>
              </w:rPr>
              <w:t xml:space="preserve">Suma istiny na konci bezprostredne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predchádzajúceho účtovného obdobia </w:t>
            </w:r>
          </w:p>
        </w:tc>
      </w:tr>
      <w:tr>
        <w:trPr>
          <w:trHeight w:val="979" w:hRule="atLeast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Krátkodobý bankový úver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76" w:hRule="atLeast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Pôžička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982" w:hRule="atLeast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Návratná finančná výpomoc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979" w:hRule="atLeast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Dlhodobý bankový úver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746" w:hRule="atLeast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Spolu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15 o významných položkách výnosov budúcich období</w:t>
      </w:r>
      <w:r>
        <w:rPr/>
        <w:t xml:space="preserve"> </w:t>
      </w:r>
    </w:p>
    <w:tbl>
      <w:tblPr>
        <w:tblStyle w:val="TableGrid"/>
        <w:tblW w:w="10384" w:type="dxa"/>
        <w:jc w:val="left"/>
        <w:tblInd w:w="-70" w:type="dxa"/>
        <w:tblCellMar>
          <w:top w:w="50" w:type="dxa"/>
          <w:left w:w="106" w:type="dxa"/>
          <w:bottom w:w="0" w:type="dxa"/>
          <w:right w:w="90" w:type="dxa"/>
        </w:tblCellMar>
        <w:tblLook w:firstRow="1" w:noVBand="1" w:lastRow="0" w:firstColumn="1" w:lastColumn="0" w:noHBand="0" w:val="04a0"/>
      </w:tblPr>
      <w:tblGrid>
        <w:gridCol w:w="2152"/>
        <w:gridCol w:w="2583"/>
        <w:gridCol w:w="1486"/>
        <w:gridCol w:w="1533"/>
        <w:gridCol w:w="2630"/>
      </w:tblGrid>
      <w:tr>
        <w:trPr>
          <w:trHeight w:val="1140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Položky výnosov budúcich období z dôvodu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bezprostredne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4" w:hanging="0"/>
              <w:jc w:val="center"/>
              <w:rPr/>
            </w:pPr>
            <w:r>
              <w:rPr>
                <w:b/>
              </w:rPr>
              <w:t xml:space="preserve">Prírastky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0" w:hanging="0"/>
              <w:jc w:val="center"/>
              <w:rPr/>
            </w:pPr>
            <w:r>
              <w:rPr>
                <w:b/>
              </w:rPr>
              <w:t xml:space="preserve">Úbytky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bežného účtovného obdobia </w:t>
            </w:r>
          </w:p>
        </w:tc>
      </w:tr>
      <w:tr>
        <w:trPr>
          <w:trHeight w:val="991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bezodplatne nadobudnutého dlhodobého majetku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991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/>
              <w:t xml:space="preserve">dlhodobého majetku obstaraného z dotácie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1016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331" w:hanging="0"/>
              <w:rPr/>
            </w:pPr>
            <w:r>
              <w:rPr/>
              <w:t xml:space="preserve">dlhodobého majetku  obstaraného z finančného daru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1140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121" w:hanging="0"/>
              <w:rPr/>
            </w:pPr>
            <w:r>
              <w:rPr/>
              <w:t xml:space="preserve">dotácie zo štátneho rozpočtu alebo  z prostriedkov Európskej únie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1140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dotácie z rozpočtu obce alebo z rozpočtu vyššieho územného celku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583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grantu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610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podielu zaplatenej dane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1015" w:hRule="atLeast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right="180" w:hanging="0"/>
              <w:rPr/>
            </w:pPr>
            <w:r>
              <w:rPr/>
              <w:t xml:space="preserve">dlhodobého  majetku  obstaraného z podielu zaplatenej dane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</w:tbl>
    <w:p>
      <w:pPr>
        <w:pStyle w:val="Normal"/>
        <w:spacing w:lineRule="auto" w:line="259" w:before="0" w:after="0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98"/>
        <w:ind w:left="0" w:hanging="0"/>
        <w:jc w:val="left"/>
        <w:rPr/>
      </w:pPr>
      <w:r>
        <w:rPr>
          <w:b/>
        </w:rPr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>Vzorová tabuľka k čl. III ods. 16 o majetku prenajatom formou finančného prenájmu</w:t>
      </w:r>
      <w:r>
        <w:rPr/>
        <w:t xml:space="preserve"> </w:t>
      </w:r>
    </w:p>
    <w:tbl>
      <w:tblPr>
        <w:tblStyle w:val="TableGrid"/>
        <w:tblW w:w="10384" w:type="dxa"/>
        <w:jc w:val="left"/>
        <w:tblInd w:w="-70" w:type="dxa"/>
        <w:tblCellMar>
          <w:top w:w="50" w:type="dxa"/>
          <w:left w:w="106" w:type="dxa"/>
          <w:bottom w:w="0" w:type="dxa"/>
          <w:right w:w="59" w:type="dxa"/>
        </w:tblCellMar>
        <w:tblLook w:firstRow="1" w:noVBand="1" w:lastRow="0" w:firstColumn="1" w:lastColumn="0" w:noHBand="0" w:val="04a0"/>
      </w:tblPr>
      <w:tblGrid>
        <w:gridCol w:w="2202"/>
        <w:gridCol w:w="2500"/>
        <w:gridCol w:w="1524"/>
        <w:gridCol w:w="1898"/>
        <w:gridCol w:w="2260"/>
      </w:tblGrid>
      <w:tr>
        <w:trPr>
          <w:trHeight w:val="1140" w:hRule="atLeast"/>
        </w:trPr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8" w:hanging="0"/>
              <w:jc w:val="center"/>
              <w:rPr/>
            </w:pPr>
            <w:r>
              <w:rPr>
                <w:b/>
              </w:rPr>
              <w:t xml:space="preserve">Záväzok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2"/>
              <w:ind w:left="0" w:hanging="0"/>
              <w:jc w:val="center"/>
              <w:rPr/>
            </w:pPr>
            <w:r>
              <w:rPr>
                <w:b/>
              </w:rPr>
              <w:t xml:space="preserve">Stav na konci bezprostredne </w:t>
            </w:r>
          </w:p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51" w:hanging="0"/>
              <w:jc w:val="center"/>
              <w:rPr/>
            </w:pPr>
            <w:r>
              <w:rPr>
                <w:b/>
              </w:rPr>
              <w:t xml:space="preserve">Istina 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49" w:hanging="0"/>
              <w:jc w:val="center"/>
              <w:rPr/>
            </w:pPr>
            <w:r>
              <w:rPr>
                <w:b/>
              </w:rPr>
              <w:t xml:space="preserve">Finančný náklad 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Stav na konci bežného účtovného obdobia </w:t>
            </w:r>
          </w:p>
        </w:tc>
      </w:tr>
      <w:tr>
        <w:trPr>
          <w:trHeight w:val="636" w:hRule="atLeast"/>
        </w:trPr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2036" w:leader="none"/>
              </w:tabs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Celková </w:t>
              <w:tab/>
              <w:t xml:space="preserve">suma </w:t>
            </w:r>
          </w:p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dohodnutých platieb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2" w:hRule="atLeast"/>
        </w:trPr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do jedného roka vrátane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634" w:hRule="atLeast"/>
        </w:trPr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rPr/>
            </w:pPr>
            <w:r>
              <w:rPr/>
              <w:t xml:space="preserve">od jedného roka do piatich  rokov vrátane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4" w:hRule="atLeast"/>
        </w:trPr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viac ako päť rokov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k čl. IV  ods. 6 o účele a výške použitia podielu zaplatenej dane     </w:t>
      </w:r>
    </w:p>
    <w:tbl>
      <w:tblPr>
        <w:tblStyle w:val="TableGrid"/>
        <w:tblW w:w="10188" w:type="dxa"/>
        <w:jc w:val="left"/>
        <w:tblInd w:w="-70" w:type="dxa"/>
        <w:tblCellMar>
          <w:top w:w="53" w:type="dxa"/>
          <w:left w:w="106" w:type="dxa"/>
          <w:bottom w:w="0" w:type="dxa"/>
          <w:right w:w="82" w:type="dxa"/>
        </w:tblCellMar>
        <w:tblLook w:firstRow="1" w:noVBand="1" w:lastRow="0" w:firstColumn="1" w:lastColumn="0" w:noHBand="0" w:val="04a0"/>
      </w:tblPr>
      <w:tblGrid>
        <w:gridCol w:w="4966"/>
        <w:gridCol w:w="2940"/>
        <w:gridCol w:w="2282"/>
      </w:tblGrid>
      <w:tr>
        <w:trPr>
          <w:trHeight w:val="1020" w:hRule="atLeast"/>
        </w:trPr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right="29" w:hanging="0"/>
              <w:jc w:val="center"/>
              <w:rPr/>
            </w:pPr>
            <w:r>
              <w:rPr>
                <w:b/>
              </w:rPr>
              <w:t xml:space="preserve">Účel použitia podielu zaplatenej dane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37" w:before="0" w:after="0"/>
              <w:ind w:left="605" w:right="631" w:hanging="0"/>
              <w:jc w:val="center"/>
              <w:rPr/>
            </w:pPr>
            <w:r>
              <w:rPr>
                <w:b/>
              </w:rPr>
              <w:t xml:space="preserve">Použitá suma z bezprostredne </w:t>
            </w:r>
          </w:p>
          <w:p>
            <w:pPr>
              <w:pStyle w:val="Normal"/>
              <w:spacing w:lineRule="auto" w:line="259" w:before="0" w:after="0"/>
              <w:ind w:left="24" w:hanging="0"/>
              <w:jc w:val="left"/>
              <w:rPr/>
            </w:pPr>
            <w:r>
              <w:rPr>
                <w:b/>
              </w:rPr>
              <w:t xml:space="preserve">predchádzajúceho účtovného </w:t>
            </w:r>
          </w:p>
          <w:p>
            <w:pPr>
              <w:pStyle w:val="Normal"/>
              <w:spacing w:lineRule="auto" w:line="259" w:before="0" w:after="0"/>
              <w:ind w:left="0" w:right="26" w:hanging="0"/>
              <w:jc w:val="center"/>
              <w:rPr/>
            </w:pPr>
            <w:r>
              <w:rPr>
                <w:b/>
              </w:rPr>
              <w:t xml:space="preserve">obdobia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0" w:hanging="0"/>
              <w:jc w:val="center"/>
              <w:rPr/>
            </w:pPr>
            <w:r>
              <w:rPr>
                <w:b/>
              </w:rPr>
              <w:t xml:space="preserve">Použitá suma bežného účtovného obdobia </w:t>
            </w:r>
          </w:p>
        </w:tc>
      </w:tr>
      <w:tr>
        <w:trPr>
          <w:trHeight w:val="396" w:hRule="atLeast"/>
        </w:trPr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94" w:hRule="atLeast"/>
        </w:trPr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96" w:hRule="atLeast"/>
        </w:trPr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96" w:hRule="atLeast"/>
        </w:trPr>
        <w:tc>
          <w:tcPr>
            <w:tcW w:w="7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Zostatok podielu zaplatenej dane bežného účtovného obdobia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98"/>
        <w:ind w:left="0" w:hanging="0"/>
        <w:jc w:val="left"/>
        <w:rPr/>
      </w:pPr>
      <w:r>
        <w:rPr/>
        <w:t xml:space="preserve">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Vzorová tabuľka k čl. IV  ods. 8 o nákladoch vynaložených v súvislosti s auditom účtovnej závierky </w:t>
      </w:r>
    </w:p>
    <w:tbl>
      <w:tblPr>
        <w:tblStyle w:val="TableGrid"/>
        <w:tblW w:w="9285" w:type="dxa"/>
        <w:jc w:val="left"/>
        <w:tblInd w:w="-70" w:type="dxa"/>
        <w:tblCellMar>
          <w:top w:w="50" w:type="dxa"/>
          <w:left w:w="106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6308"/>
        <w:gridCol w:w="2976"/>
      </w:tblGrid>
      <w:tr>
        <w:trPr>
          <w:trHeight w:val="382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Jednotlivé druhy nákladov za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2" w:hanging="0"/>
              <w:jc w:val="center"/>
              <w:rPr/>
            </w:pPr>
            <w:r>
              <w:rPr>
                <w:b/>
              </w:rPr>
              <w:t xml:space="preserve">Suma </w:t>
            </w:r>
          </w:p>
        </w:tc>
      </w:tr>
      <w:tr>
        <w:trPr>
          <w:trHeight w:val="384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2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uisťovacie audítorské služby okrem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4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súvisiace 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2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2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/>
              <w:t xml:space="preserve"> </w:t>
            </w:r>
          </w:p>
        </w:tc>
      </w:tr>
      <w:tr>
        <w:trPr>
          <w:trHeight w:val="384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59" w:before="0" w:after="0"/>
              <w:ind w:left="0" w:hanging="0"/>
              <w:jc w:val="left"/>
              <w:rPr/>
            </w:pPr>
            <w:r>
              <w:rPr>
                <w:b/>
              </w:rPr>
              <w:t xml:space="preserve"> </w:t>
            </w:r>
          </w:p>
        </w:tc>
      </w:tr>
    </w:tbl>
    <w:p>
      <w:pPr>
        <w:pStyle w:val="Normal"/>
        <w:spacing w:lineRule="auto" w:line="259" w:before="0" w:after="0"/>
        <w:ind w:left="0" w:hanging="0"/>
        <w:jc w:val="left"/>
        <w:rPr/>
      </w:pPr>
      <w:r>
        <w:rPr/>
        <w:t xml:space="preserve"> </w:t>
      </w:r>
    </w:p>
    <w:sectPr>
      <w:footerReference w:type="default" r:id="rId3"/>
      <w:type w:val="nextPage"/>
      <w:pgSz w:w="11906" w:h="16838"/>
      <w:pgMar w:left="852" w:right="802" w:header="0" w:top="857" w:footer="943" w:bottom="1769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59" w:before="0" w:after="216"/>
      <w:ind w:left="0" w:right="5" w:hanging="0"/>
      <w:jc w:val="right"/>
      <w:rPr/>
    </w:pPr>
    <w:r>
      <w:rPr>
        <w:sz w:val="20"/>
      </w:rPr>
      <w:t xml:space="preserve">Strana </w:t>
    </w:r>
    <w:r>
      <w:rPr>
        <w:sz w:val="20"/>
      </w:rPr>
      <w:fldChar w:fldCharType="begin"/>
    </w:r>
    <w:r>
      <w:rPr>
        <w:sz w:val="20"/>
      </w:rPr>
      <w:instrText> PAGE </w:instrText>
    </w:r>
    <w:r>
      <w:rPr>
        <w:sz w:val="20"/>
      </w:rP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>
    <w:pPr>
      <w:pStyle w:val="Normal"/>
      <w:spacing w:lineRule="auto" w:line="259" w:before="0" w:after="0"/>
      <w:ind w:left="0" w:hanging="0"/>
      <w:jc w:val="left"/>
      <w:rPr/>
    </w:pPr>
    <w:r>
      <w:rPr>
        <w:sz w:val="20"/>
      </w:rPr>
      <w:t xml:space="preserve"> 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59" w:before="0" w:after="216"/>
      <w:ind w:left="0" w:right="46" w:hanging="0"/>
      <w:jc w:val="right"/>
      <w:rPr/>
    </w:pPr>
    <w:r>
      <w:rPr>
        <w:sz w:val="20"/>
      </w:rPr>
      <w:t xml:space="preserve">Strana </w:t>
    </w:r>
    <w:r>
      <w:rPr>
        <w:sz w:val="20"/>
      </w:rPr>
      <w:fldChar w:fldCharType="begin"/>
    </w:r>
    <w:r>
      <w:rPr>
        <w:sz w:val="20"/>
      </w:rPr>
      <w:instrText> PAGE </w:instrText>
    </w:r>
    <w:r>
      <w:rPr>
        <w:sz w:val="20"/>
      </w:rPr>
      <w:fldChar w:fldCharType="separate"/>
    </w:r>
    <w:r>
      <w:rPr>
        <w:sz w:val="20"/>
      </w:rPr>
      <w:t>25</w:t>
    </w:r>
    <w:r>
      <w:rPr>
        <w:sz w:val="20"/>
      </w:rPr>
      <w:fldChar w:fldCharType="end"/>
    </w:r>
    <w:r>
      <w:rPr>
        <w:sz w:val="20"/>
      </w:rPr>
      <w:t xml:space="preserve"> </w:t>
    </w:r>
  </w:p>
  <w:p>
    <w:pPr>
      <w:pStyle w:val="Normal"/>
      <w:spacing w:lineRule="auto" w:line="259" w:before="0" w:after="0"/>
      <w:ind w:left="0" w:hanging="0"/>
      <w:jc w:val="left"/>
      <w:rPr/>
    </w:pPr>
    <w:r>
      <w:rPr>
        <w:sz w:val="20"/>
      </w:rPr>
      <w:t xml:space="preserve"> 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2"/>
      <w:numFmt w:val="decimal"/>
      <w:lvlText w:val="(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3">
    <w:lvl w:ilvl="0">
      <w:start w:val="1"/>
      <w:numFmt w:val="bullet"/>
      <w:lvlText w:val="-"/>
      <w:lvlJc w:val="left"/>
      <w:pPr>
        <w:tabs>
          <w:tab w:val="num" w:pos="0"/>
        </w:tabs>
        <w:ind w:left="10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4">
    <w:lvl w:ilvl="0">
      <w:start w:val="4"/>
      <w:numFmt w:val="decimal"/>
      <w:lvlText w:val="(%1)"/>
      <w:lvlJc w:val="left"/>
      <w:pPr>
        <w:tabs>
          <w:tab w:val="num" w:pos="0"/>
        </w:tabs>
        <w:ind w:left="27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21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7">
    <w:lvl w:ilvl="0">
      <w:start w:val="8"/>
      <w:numFmt w:val="lowerLetter"/>
      <w:lvlText w:val="%1)"/>
      <w:lvlJc w:val="left"/>
      <w:pPr>
        <w:tabs>
          <w:tab w:val="num" w:pos="0"/>
        </w:tabs>
        <w:ind w:left="26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8">
    <w:lvl w:ilvl="0">
      <w:start w:val="4"/>
      <w:numFmt w:val="decimal"/>
      <w:lvlText w:val="(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7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9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40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7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0">
    <w:lvl w:ilvl="0">
      <w:start w:val="3"/>
      <w:numFmt w:val="decimal"/>
      <w:lvlText w:val="(%1)"/>
      <w:lvlJc w:val="left"/>
      <w:pPr>
        <w:tabs>
          <w:tab w:val="num" w:pos="0"/>
        </w:tabs>
        <w:ind w:left="27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1">
    <w:lvl w:ilvl="0">
      <w:start w:val="6"/>
      <w:numFmt w:val="decimal"/>
      <w:lvlText w:val="(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2">
    <w:lvl w:ilvl="0">
      <w:start w:val="8"/>
      <w:numFmt w:val="decimal"/>
      <w:lvlText w:val="(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1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4">
    <w:lvl w:ilvl="0">
      <w:start w:val="13"/>
      <w:numFmt w:val="decimal"/>
      <w:lvlText w:val="(%1)"/>
      <w:lvlJc w:val="left"/>
      <w:pPr>
        <w:tabs>
          <w:tab w:val="num" w:pos="0"/>
        </w:tabs>
        <w:ind w:left="372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5">
    <w:lvl w:ilvl="0">
      <w:start w:val="3"/>
      <w:numFmt w:val="lowerLetter"/>
      <w:lvlText w:val="%1)"/>
      <w:lvlJc w:val="left"/>
      <w:pPr>
        <w:tabs>
          <w:tab w:val="num" w:pos="0"/>
        </w:tabs>
        <w:ind w:left="21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20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2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9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7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4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41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8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5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3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7">
    <w:lvl w:ilvl="0">
      <w:start w:val="6"/>
      <w:numFmt w:val="lowerLetter"/>
      <w:lvlText w:val="%1)"/>
      <w:lvlJc w:val="left"/>
      <w:pPr>
        <w:tabs>
          <w:tab w:val="num" w:pos="0"/>
        </w:tabs>
        <w:ind w:left="21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21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21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92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32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04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76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48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20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92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64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0">
    <w:lvl w:ilvl="0">
      <w:start w:val="1"/>
      <w:numFmt w:val="decimal"/>
      <w:lvlText w:val="(%1)"/>
      <w:lvlJc w:val="left"/>
      <w:pPr>
        <w:tabs>
          <w:tab w:val="num" w:pos="0"/>
        </w:tabs>
        <w:ind w:left="272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1">
    <w:lvl w:ilvl="0">
      <w:start w:val="2"/>
      <w:numFmt w:val="lowerLetter"/>
      <w:lvlText w:val="%1)"/>
      <w:lvlJc w:val="left"/>
      <w:pPr>
        <w:tabs>
          <w:tab w:val="num" w:pos="0"/>
        </w:tabs>
        <w:ind w:left="21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2">
    <w:lvl w:ilvl="0">
      <w:start w:val="1"/>
      <w:numFmt w:val="decimal"/>
      <w:lvlText w:val="(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3">
    <w:lvl w:ilvl="0">
      <w:start w:val="1"/>
      <w:numFmt w:val="lowerLetter"/>
      <w:lvlText w:val="%1)"/>
      <w:lvlJc w:val="left"/>
      <w:pPr>
        <w:tabs>
          <w:tab w:val="num" w:pos="0"/>
        </w:tabs>
        <w:ind w:left="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4">
    <w:lvl w:ilvl="0">
      <w:start w:val="2"/>
      <w:numFmt w:val="lowerLetter"/>
      <w:lvlText w:val="%1)"/>
      <w:lvlJc w:val="left"/>
      <w:pPr>
        <w:tabs>
          <w:tab w:val="num" w:pos="0"/>
        </w:tabs>
        <w:ind w:left="21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5">
    <w:lvl w:ilvl="0">
      <w:start w:val="4"/>
      <w:numFmt w:val="decimal"/>
      <w:lvlText w:val="(%1)"/>
      <w:lvlJc w:val="left"/>
      <w:pPr>
        <w:tabs>
          <w:tab w:val="num" w:pos="0"/>
        </w:tabs>
        <w:ind w:left="271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zCs w:val="22"/>
        <w:rFonts w:eastAsia="Arial" w:cs="Arial"/>
        <w:color w:val="000000"/>
      </w:rPr>
    </w:lvl>
  </w:abstractNum>
  <w:abstractNum w:abstractNumId="2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</w:numbering>
</file>

<file path=word/settings.xml><?xml version="1.0" encoding="utf-8"?>
<w:settings xmlns:w="http://schemas.openxmlformats.org/wordprocessingml/2006/main">
  <w:zoom w:percent="95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47" w:before="0" w:after="108"/>
      <w:ind w:left="10" w:hanging="10"/>
      <w:jc w:val="both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next w:val="Normal"/>
    <w:link w:val="Nadpis1Char"/>
    <w:uiPriority w:val="9"/>
    <w:unhideWhenUsed/>
    <w:qFormat/>
    <w:pPr>
      <w:keepNext w:val="true"/>
      <w:keepLines/>
      <w:widowControl/>
      <w:bidi w:val="0"/>
      <w:spacing w:lineRule="auto" w:line="259" w:before="0" w:after="99"/>
      <w:ind w:left="10" w:hanging="10"/>
      <w:jc w:val="left"/>
      <w:outlineLvl w:val="0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qFormat/>
    <w:rPr>
      <w:rFonts w:ascii="Arial" w:hAnsi="Arial" w:eastAsia="Arial" w:cs="Arial"/>
      <w:color w:val="000000"/>
      <w:sz w:val="22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pPr>
      <w:spacing w:lineRule="auto" w:line="276" w:before="0" w:after="140"/>
    </w:pPr>
    <w:rPr/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Zhlavazpat">
    <w:name w:val="Záhlaví a zápatí"/>
    <w:basedOn w:val="Normal"/>
    <w:qFormat/>
    <w:pPr/>
    <w:rPr/>
  </w:style>
  <w:style w:type="paragraph" w:styleId="Zpat">
    <w:name w:val="Footer"/>
    <w:basedOn w:val="Zhlavazpat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LibreOffice/6.4.7.2$Windows_X86_64 LibreOffice_project/639b8ac485750d5696d7590a72ef1b496725cfb5</Application>
  <Pages>22</Pages>
  <Words>3335</Words>
  <Characters>20163</Characters>
  <CharactersWithSpaces>24328</CharactersWithSpaces>
  <Paragraphs>1320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2021-04-07T09:58:00Z</dcterms:created>
  <dc:creator>jvrskova</dc:creator>
  <dc:description/>
  <dc:language>cs-CZ</dc:language>
  <cp:lastModifiedBy>Andrej Kukla</cp:lastModifiedBy>
  <dcterms:modified xsi:type="dcterms:W3CDTF">2021-04-07T09:58:00Z</dcterms:modified>
  <cp:revision>2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