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pPr w:leftFromText="141" w:rightFromText="141" w:vertAnchor="text" w:tblpY="1"/>
        <w:tblOverlap w:val="never"/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</w:rPr>
            </w:pPr>
            <w:bookmarkStart w:id="1" w:name="_GoBack"/>
            <w:bookmarkEnd w:id="1"/>
            <w:r>
              <w:rPr>
                <w:rFonts w:cs="Arial"/>
                <w:b/>
                <w:bCs/>
                <w:sz w:val="21"/>
                <w:szCs w:val="21"/>
              </w:rPr>
              <w:t>POZNÁMKY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individuálnej účtovnej závierky</w:t>
            </w:r>
          </w:p>
          <w:p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mikro účtovnej jednotky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zostavenej k 31.12.2020</w:t>
            </w:r>
          </w:p>
          <w:p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  <w:lang w:val="en-US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color="auto" w:sz="6" w:space="0"/>
            </w:tcBorders>
            <w:noWrap w:val="0"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celých eurách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  <w:vAlign w:val="top"/>
          </w:tcPr>
          <w:p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color="auto" w:sz="6" w:space="0"/>
              <w:right w:val="nil"/>
            </w:tcBorders>
            <w:noWrap/>
            <w:vAlign w:val="top"/>
          </w:tcPr>
          <w:p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  <w:vAlign w:val="top"/>
          </w:tcPr>
          <w:p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  <w:noWrap w:val="0"/>
            <w:vAlign w:val="top"/>
          </w:tcPr>
          <w:p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4233" w:type="dxa"/>
            <w:gridSpan w:val="17"/>
            <w:tcBorders>
              <w:top w:val="nil"/>
              <w:left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obdobie od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4233" w:type="dxa"/>
            <w:gridSpan w:val="17"/>
            <w:tcBorders>
              <w:left w:val="nil"/>
              <w:bottom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Zostavené dňa: 07.04.2021</w:t>
            </w:r>
          </w:p>
          <w:p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Schválené dňa: 07.04.2021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249" w:type="dxa"/>
            <w:tcBorders>
              <w:left w:val="nil"/>
            </w:tcBorders>
            <w:noWrap/>
            <w:vAlign w:val="top"/>
          </w:tcPr>
          <w:p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  <w:vAlign w:val="top"/>
          </w:tcPr>
          <w:p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147" w:hRule="atLeast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</w:rPr>
            </w:pPr>
          </w:p>
        </w:tc>
      </w:tr>
    </w:tbl>
    <w:p>
      <w:pPr>
        <w:numPr>
          <w:ilvl w:val="0"/>
          <w:numId w:val="2"/>
        </w:numPr>
        <w:shd w:val="clear" w:color="auto" w:fill="E6E6E6"/>
        <w:ind w:left="0" w:firstLine="2127"/>
        <w:rPr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29"/>
        <w:keepNext/>
        <w:numPr>
          <w:ilvl w:val="0"/>
          <w:numId w:val="3"/>
        </w:numPr>
        <w:ind w:left="357" w:hanging="357"/>
        <w:contextualSpacing/>
        <w:jc w:val="both"/>
        <w:outlineLvl w:val="1"/>
        <w:rPr>
          <w:sz w:val="20"/>
          <w:szCs w:val="20"/>
        </w:rPr>
      </w:pPr>
    </w:p>
    <w:tbl>
      <w:tblPr>
        <w:tblStyle w:val="9"/>
        <w:tblW w:w="9072" w:type="dxa"/>
        <w:tblInd w:w="10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59" w:hRule="atLeast"/>
        </w:trPr>
        <w:tc>
          <w:tcPr>
            <w:tcW w:w="1096" w:type="pct"/>
            <w:noWrap w:val="0"/>
            <w:vAlign w:val="center"/>
          </w:tcPr>
          <w:p>
            <w:pPr>
              <w:pStyle w:val="29"/>
              <w:keepNext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SIMSALADEUTSCH spol. s r.o.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1096" w:type="pct"/>
            <w:noWrap w:val="0"/>
            <w:vAlign w:val="center"/>
          </w:tcPr>
          <w:p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Ľubovníková 38, 841 07 Bratislava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1096" w:type="pct"/>
            <w:noWrap w:val="0"/>
            <w:vAlign w:val="center"/>
          </w:tcPr>
          <w:p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Dátum vzniku účtovnej jednotky: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10.10.2017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1096" w:type="pct"/>
            <w:noWrap w:val="0"/>
            <w:vAlign w:val="center"/>
          </w:tcPr>
          <w:p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Hlavná, prevažná činnosť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Ostatné vzdelávanie i.n.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1096" w:type="pct"/>
            <w:noWrap w:val="0"/>
            <w:vAlign w:val="center"/>
          </w:tcPr>
          <w:p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Kód SK NACE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85.59.0</w:t>
            </w:r>
          </w:p>
        </w:tc>
      </w:tr>
    </w:tbl>
    <w:p/>
    <w:p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Vykonávanie mimoškolskej vzdelávacej činnosti</w:t>
      </w:r>
    </w:p>
    <w:p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Vyučovanie v odbore cudzích jazykov: nemecký jazyk</w:t>
      </w:r>
    </w:p>
    <w:p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Vydavateľská činnosť, polygrafická výroba a knihárske práce</w:t>
      </w:r>
    </w:p>
    <w:p>
      <w:pPr>
        <w:jc w:val="both"/>
        <w:rPr>
          <w:rStyle w:val="36"/>
          <w:bCs/>
          <w:sz w:val="20"/>
          <w:szCs w:val="20"/>
        </w:rPr>
      </w:pPr>
    </w:p>
    <w:p>
      <w:pPr>
        <w:jc w:val="both"/>
        <w:rPr>
          <w:bCs/>
          <w:sz w:val="20"/>
          <w:szCs w:val="20"/>
        </w:rPr>
      </w:pP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3543"/>
        <w:gridCol w:w="3402"/>
        <w:gridCol w:w="1383"/>
        <w:gridCol w:w="3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426" w:type="dxa"/>
            <w:noWrap w:val="0"/>
            <w:vAlign w:val="center"/>
          </w:tcPr>
          <w:p>
            <w:pPr>
              <w:pStyle w:val="29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  <w:p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noWrap w:val="0"/>
            <w:vAlign w:val="center"/>
          </w:tcPr>
          <w:p>
            <w:pPr>
              <w:pStyle w:val="29"/>
              <w:keepNext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08.06.2020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426" w:type="dxa"/>
            <w:vMerge w:val="restart"/>
            <w:noWrap w:val="0"/>
            <w:vAlign w:val="center"/>
          </w:tcPr>
          <w:p>
            <w:pPr>
              <w:pStyle w:val="29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426" w:type="dxa"/>
            <w:vMerge w:val="continue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continue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426" w:type="dxa"/>
            <w:vMerge w:val="continue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>
      <w:pPr>
        <w:keepNext/>
        <w:jc w:val="center"/>
        <w:outlineLvl w:val="1"/>
        <w:rPr>
          <w:b/>
          <w:bCs/>
          <w:sz w:val="20"/>
          <w:szCs w:val="20"/>
        </w:rPr>
      </w:pPr>
    </w:p>
    <w:p>
      <w:pPr>
        <w:jc w:val="both"/>
        <w:rPr>
          <w:rFonts w:ascii="Arial" w:hAnsi="Arial" w:cs="Arial"/>
          <w:sz w:val="20"/>
        </w:rPr>
      </w:pPr>
    </w:p>
    <w:p>
      <w:pPr>
        <w:jc w:val="both"/>
        <w:rPr>
          <w:rFonts w:ascii="Arial" w:hAnsi="Arial" w:cs="Arial"/>
          <w:sz w:val="20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356" w:type="dxa"/>
            <w:gridSpan w:val="5"/>
            <w:noWrap w:val="0"/>
            <w:vAlign w:val="center"/>
          </w:tcPr>
          <w:p>
            <w:pPr>
              <w:pStyle w:val="29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Údaje o konsolidovanom celku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25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left="56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356" w:type="dxa"/>
            <w:gridSpan w:val="5"/>
            <w:noWrap w:val="0"/>
            <w:vAlign w:val="top"/>
          </w:tcPr>
          <w:p>
            <w:pPr>
              <w:ind w:left="214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61" w:type="dxa"/>
            <w:tcBorders>
              <w:right w:val="single" w:color="auto" w:sz="8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left w:val="single" w:color="auto" w:sz="8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61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Sídlo :</w:t>
            </w:r>
          </w:p>
        </w:tc>
        <w:tc>
          <w:tcPr>
            <w:tcW w:w="6095" w:type="dxa"/>
            <w:gridSpan w:val="4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right="112"/>
        <w:jc w:val="both"/>
        <w:rPr>
          <w:i/>
          <w:sz w:val="20"/>
          <w:szCs w:val="20"/>
        </w:rPr>
      </w:pPr>
    </w:p>
    <w:tbl>
      <w:tblPr>
        <w:tblStyle w:val="9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946" w:type="dxa"/>
            <w:gridSpan w:val="3"/>
            <w:noWrap w:val="0"/>
            <w:vAlign w:val="center"/>
          </w:tcPr>
          <w:p>
            <w:pPr>
              <w:spacing w:before="100" w:beforeAutospacing="1" w:after="100" w:afterAutospacing="1"/>
              <w:ind w:left="318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b)ÚJ je materskou účtovnou jednotkou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9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/>
              <w:ind w:left="318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82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both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sz w:val="20"/>
                <w:szCs w:val="20"/>
              </w:rPr>
            </w:pPr>
          </w:p>
        </w:tc>
      </w:tr>
    </w:tbl>
    <w:p>
      <w:pPr>
        <w:tabs>
          <w:tab w:val="left" w:pos="851"/>
        </w:tabs>
        <w:jc w:val="center"/>
        <w:rPr>
          <w:i/>
          <w:sz w:val="20"/>
          <w:szCs w:val="20"/>
        </w:rPr>
      </w:pPr>
    </w:p>
    <w:p>
      <w:pPr>
        <w:rPr>
          <w:i/>
          <w:sz w:val="20"/>
          <w:szCs w:val="20"/>
        </w:rPr>
      </w:pPr>
    </w:p>
    <w:tbl>
      <w:tblPr>
        <w:tblStyle w:val="9"/>
        <w:tblW w:w="0" w:type="auto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8"/>
        <w:gridCol w:w="141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938" w:type="dxa"/>
            <w:noWrap w:val="0"/>
            <w:vAlign w:val="center"/>
          </w:tcPr>
          <w:p>
            <w:pPr>
              <w:pStyle w:val="29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</w:tbl>
    <w:p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>
      <w:pPr>
        <w:tabs>
          <w:tab w:val="left" w:pos="851"/>
        </w:tabs>
        <w:ind w:left="2870"/>
        <w:jc w:val="both"/>
        <w:rPr>
          <w:i/>
          <w:sz w:val="20"/>
          <w:szCs w:val="20"/>
        </w:rPr>
      </w:pPr>
    </w:p>
    <w:p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Informácie o prijatých postupoch</w:t>
      </w:r>
    </w:p>
    <w:p>
      <w:pPr>
        <w:ind w:left="1121"/>
        <w:jc w:val="both"/>
        <w:rPr>
          <w:b/>
          <w:sz w:val="20"/>
          <w:szCs w:val="20"/>
        </w:rPr>
      </w:pPr>
    </w:p>
    <w:p>
      <w:pPr>
        <w:ind w:left="1121"/>
        <w:jc w:val="both"/>
        <w:rPr>
          <w:b/>
          <w:sz w:val="20"/>
          <w:szCs w:val="20"/>
        </w:rPr>
      </w:pPr>
    </w:p>
    <w:tbl>
      <w:tblPr>
        <w:tblStyle w:val="9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368"/>
        <w:gridCol w:w="709"/>
        <w:gridCol w:w="567"/>
        <w:gridCol w:w="567"/>
        <w:gridCol w:w="5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22" w:hRule="exact"/>
        </w:trPr>
        <w:tc>
          <w:tcPr>
            <w:tcW w:w="578" w:type="dxa"/>
            <w:noWrap w:val="0"/>
            <w:vAlign w:val="center"/>
          </w:tcPr>
          <w:p>
            <w:pPr>
              <w:pStyle w:val="29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>
      <w:pPr>
        <w:pStyle w:val="29"/>
        <w:keepNext/>
        <w:ind w:left="357"/>
        <w:contextualSpacing/>
        <w:jc w:val="both"/>
        <w:outlineLvl w:val="1"/>
        <w:rPr>
          <w:sz w:val="20"/>
          <w:szCs w:val="20"/>
          <w:lang w:val="sk-SK"/>
        </w:rPr>
      </w:pPr>
    </w:p>
    <w:p>
      <w:pPr>
        <w:pStyle w:val="26"/>
        <w:spacing w:before="0" w:beforeAutospacing="0"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a)</w:t>
      </w:r>
    </w:p>
    <w:p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Spôsob ocenenia jednotlivých  zložiek majetku a záväzkov:</w:t>
      </w:r>
      <w:r>
        <w:rPr>
          <w:sz w:val="20"/>
          <w:szCs w:val="20"/>
        </w:rPr>
        <w:t xml:space="preserve">  </w:t>
      </w:r>
    </w:p>
    <w:p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 spoločnosť nenakupovala</w:t>
      </w:r>
    </w:p>
    <w:p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vytvorený vlastnou činnosťou </w:t>
      </w:r>
      <w:r>
        <w:rPr>
          <w:sz w:val="20"/>
          <w:szCs w:val="20"/>
        </w:rPr>
        <w:t>– spoločnosť nevytvárala</w:t>
      </w:r>
    </w:p>
    <w:p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hmotný dlhodobý majetok </w:t>
      </w:r>
      <w:r>
        <w:rPr>
          <w:sz w:val="20"/>
          <w:szCs w:val="20"/>
        </w:rPr>
        <w:t xml:space="preserve">– obstarávacou cenou, spoločnosť nenakupovala </w:t>
      </w:r>
    </w:p>
    <w:p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hmotný dlhodobý majetok vytvorený vlastnou činnosťou</w:t>
      </w:r>
      <w:r>
        <w:rPr>
          <w:sz w:val="20"/>
          <w:szCs w:val="20"/>
        </w:rPr>
        <w:t xml:space="preserve"> – spoločnosť nevytvárala</w:t>
      </w:r>
    </w:p>
    <w:p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cenné papiere</w:t>
      </w:r>
      <w:r>
        <w:rPr>
          <w:sz w:val="20"/>
          <w:szCs w:val="20"/>
        </w:rPr>
        <w:t xml:space="preserve"> – spoločnosť nevlastní</w:t>
      </w:r>
    </w:p>
    <w:p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 spoločnosť nenakupovala</w:t>
      </w:r>
    </w:p>
    <w:p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vytvorené vlastnou činnosťou</w:t>
      </w:r>
      <w:r>
        <w:rPr>
          <w:sz w:val="20"/>
          <w:szCs w:val="20"/>
        </w:rPr>
        <w:t xml:space="preserve"> – spoločnosť nevytvárala</w:t>
      </w:r>
    </w:p>
    <w:p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pohľadávky, záväzky, peňažné prostriedky</w:t>
      </w:r>
      <w:r>
        <w:rPr>
          <w:b/>
          <w:bCs/>
          <w:sz w:val="20"/>
          <w:szCs w:val="20"/>
        </w:rPr>
        <w:t xml:space="preserve">, ceniny </w:t>
      </w:r>
      <w:r>
        <w:rPr>
          <w:sz w:val="20"/>
          <w:szCs w:val="20"/>
        </w:rPr>
        <w:t>– ocenené pri vzniku menovitou hodnotou</w:t>
      </w:r>
    </w:p>
    <w:p>
      <w:pPr>
        <w:jc w:val="both"/>
        <w:rPr>
          <w:b/>
          <w:sz w:val="20"/>
          <w:szCs w:val="20"/>
        </w:rPr>
      </w:pPr>
    </w:p>
    <w:p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Zásady pre tvorbu opravných položiek – </w:t>
      </w:r>
      <w:r>
        <w:rPr>
          <w:sz w:val="20"/>
          <w:szCs w:val="20"/>
        </w:rPr>
        <w:t>spoločnosť netvorila opravné položky podľa zákona o dani z príjmu</w:t>
      </w:r>
    </w:p>
    <w:p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Prepočet údajov v cudzích menách na slovenskú menu</w:t>
      </w:r>
      <w:r>
        <w:rPr>
          <w:sz w:val="20"/>
          <w:szCs w:val="20"/>
        </w:rPr>
        <w:t xml:space="preserve"> – spoločnosť oceňuje majetok, záväzky a pohľadávky vyjadrené v cudzej mene  podľa § 24 zákona č. 431/2002 Z.z. o účtovníctve.</w:t>
      </w:r>
    </w:p>
    <w:p>
      <w:pPr>
        <w:jc w:val="both"/>
        <w:rPr>
          <w:sz w:val="20"/>
          <w:szCs w:val="20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2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Rezervy sú záväzky s neurčitým časovým vymedzením alebo výškou; tvoria sa na krytie známych</w:t>
            </w:r>
          </w:p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center"/>
          </w:tcPr>
          <w:p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Prenajatý  majetok a majetok obstaraný na základe  zmluvy o kúpe prenajatej veci - v ocenení</w:t>
            </w:r>
          </w:p>
          <w:p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center"/>
          </w:tcPr>
          <w:p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Daň z príjmov splatná – daň sa  určuje z účtovného zisku pred zdanením, po úpravách na daňové</w:t>
            </w:r>
          </w:p>
          <w:p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top"/>
          </w:tcPr>
          <w:p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Náklady a výnosy časovo rozlišujú. Časovo sa ne nerozlišujú náklady a výnosy, ak ide </w:t>
            </w:r>
          </w:p>
          <w:p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top"/>
          </w:tcPr>
          <w:p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Náklady a výnosy časovo nerozlišujú.</w:t>
            </w:r>
          </w:p>
          <w:p>
            <w:pPr>
              <w:ind w:right="-468"/>
              <w:rPr>
                <w:bCs/>
                <w:sz w:val="20"/>
                <w:szCs w:val="20"/>
              </w:rPr>
            </w:pPr>
          </w:p>
        </w:tc>
        <w:tc>
          <w:tcPr>
            <w:tcW w:w="425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top"/>
          </w:tcPr>
          <w:p>
            <w:pPr>
              <w:spacing w:before="100" w:beforeAutospacing="1" w:after="100" w:afterAutospacing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</w:tbl>
    <w:p>
      <w:pPr>
        <w:jc w:val="both"/>
        <w:rPr>
          <w:sz w:val="20"/>
          <w:szCs w:val="20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6760"/>
        <w:gridCol w:w="1604"/>
        <w:gridCol w:w="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774" w:hRule="atLeast"/>
        </w:trPr>
        <w:tc>
          <w:tcPr>
            <w:tcW w:w="567" w:type="dxa"/>
            <w:noWrap w:val="0"/>
            <w:vAlign w:val="center"/>
          </w:tcPr>
          <w:p>
            <w:pPr>
              <w:pStyle w:val="29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>
            <w:pPr>
              <w:pStyle w:val="29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>
            <w:pPr>
              <w:pStyle w:val="29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gridSpan w:val="3"/>
            <w:tcBorders>
              <w:right w:val="single" w:color="auto" w:sz="4" w:space="0"/>
            </w:tcBorders>
            <w:noWrap w:val="0"/>
            <w:vAlign w:val="top"/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  <w:p>
            <w:pPr>
              <w:rPr>
                <w:sz w:val="20"/>
                <w:szCs w:val="20"/>
              </w:rPr>
            </w:pPr>
          </w:p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10" w:hRule="atLeast"/>
        </w:trPr>
        <w:tc>
          <w:tcPr>
            <w:tcW w:w="8931" w:type="dxa"/>
            <w:gridSpan w:val="3"/>
            <w:tcBorders>
              <w:right w:val="single" w:color="auto" w:sz="4" w:space="0"/>
            </w:tcBorders>
            <w:noWrap w:val="0"/>
            <w:vAlign w:val="top"/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rovnajú.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23" w:hRule="atLeast"/>
        </w:trPr>
        <w:tc>
          <w:tcPr>
            <w:tcW w:w="8931" w:type="dxa"/>
            <w:gridSpan w:val="3"/>
            <w:tcBorders>
              <w:right w:val="single" w:color="auto" w:sz="4" w:space="0"/>
            </w:tcBorders>
            <w:noWrap w:val="0"/>
            <w:vAlign w:val="top"/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nerovnajú.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4" w:hRule="atLeast"/>
        </w:trPr>
        <w:tc>
          <w:tcPr>
            <w:tcW w:w="7327" w:type="dxa"/>
            <w:gridSpan w:val="2"/>
            <w:tcBorders>
              <w:right w:val="single" w:color="auto" w:sz="4" w:space="0"/>
            </w:tcBorders>
            <w:noWrap w:val="0"/>
            <w:vAlign w:val="top"/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4" w:hRule="atLeast"/>
        </w:trPr>
        <w:tc>
          <w:tcPr>
            <w:tcW w:w="7327" w:type="dxa"/>
            <w:gridSpan w:val="2"/>
            <w:tcBorders>
              <w:right w:val="single" w:color="auto" w:sz="4" w:space="0"/>
            </w:tcBorders>
            <w:noWrap w:val="0"/>
            <w:vAlign w:val="top"/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jc w:val="both"/>
        <w:rPr>
          <w:sz w:val="20"/>
          <w:szCs w:val="20"/>
        </w:rPr>
      </w:pPr>
    </w:p>
    <w:p>
      <w:pPr>
        <w:jc w:val="both"/>
        <w:rPr>
          <w:sz w:val="20"/>
          <w:szCs w:val="20"/>
        </w:rPr>
      </w:pPr>
    </w:p>
    <w:tbl>
      <w:tblPr>
        <w:tblStyle w:val="9"/>
        <w:tblW w:w="52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7"/>
        <w:gridCol w:w="983"/>
        <w:gridCol w:w="11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3085" w:type="dxa"/>
            <w:noWrap w:val="0"/>
            <w:vAlign w:val="top"/>
          </w:tcPr>
          <w:p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noWrap w:val="0"/>
            <w:vAlign w:val="top"/>
          </w:tcPr>
          <w:p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noWrap w:val="0"/>
            <w:vAlign w:val="top"/>
          </w:tcPr>
          <w:p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085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085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085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</w:tr>
    </w:tbl>
    <w:p>
      <w:pPr>
        <w:jc w:val="both"/>
        <w:rPr>
          <w:sz w:val="20"/>
          <w:szCs w:val="20"/>
        </w:rPr>
      </w:pPr>
    </w:p>
    <w:p>
      <w:pPr>
        <w:jc w:val="both"/>
        <w:rPr>
          <w:sz w:val="20"/>
          <w:szCs w:val="20"/>
        </w:rPr>
      </w:pPr>
    </w:p>
    <w:p>
      <w:pPr>
        <w:jc w:val="both"/>
        <w:rPr>
          <w:sz w:val="20"/>
          <w:szCs w:val="20"/>
        </w:rPr>
      </w:pPr>
    </w:p>
    <w:tbl>
      <w:tblPr>
        <w:tblStyle w:val="9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448" w:type="dxa"/>
            <w:noWrap w:val="0"/>
            <w:vAlign w:val="center"/>
          </w:tcPr>
          <w:p>
            <w:pPr>
              <w:pStyle w:val="29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640" w:type="dxa"/>
            <w:gridSpan w:val="4"/>
            <w:noWrap w:val="0"/>
            <w:vAlign w:val="center"/>
          </w:tcPr>
          <w:p>
            <w:pPr>
              <w:ind w:left="528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88" w:hRule="atLeast"/>
        </w:trPr>
        <w:tc>
          <w:tcPr>
            <w:tcW w:w="2694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820" w:type="dxa"/>
            <w:gridSpan w:val="6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01" w:hRule="atLeast"/>
        </w:trPr>
        <w:tc>
          <w:tcPr>
            <w:tcW w:w="2694" w:type="dxa"/>
            <w:gridSpan w:val="2"/>
            <w:vMerge w:val="continue"/>
            <w:noWrap w:val="0"/>
            <w:vAlign w:val="top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 w:val="continue"/>
            <w:noWrap w:val="0"/>
            <w:vAlign w:val="top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701" w:type="dxa"/>
            <w:gridSpan w:val="2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559" w:type="dxa"/>
            <w:gridSpan w:val="3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spacing w:after="120"/>
              <w:rPr>
                <w:sz w:val="20"/>
                <w:szCs w:val="20"/>
              </w:rPr>
            </w:pPr>
          </w:p>
        </w:tc>
      </w:tr>
    </w:tbl>
    <w:p>
      <w:pPr>
        <w:pStyle w:val="29"/>
        <w:rPr>
          <w:sz w:val="20"/>
          <w:szCs w:val="20"/>
          <w:lang w:val="sk-SK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1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278" w:hRule="atLeast"/>
        </w:trPr>
        <w:tc>
          <w:tcPr>
            <w:tcW w:w="426" w:type="dxa"/>
            <w:noWrap w:val="0"/>
            <w:vAlign w:val="center"/>
          </w:tcPr>
          <w:p>
            <w:pPr>
              <w:pStyle w:val="29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noWrap w:val="0"/>
            <w:vAlign w:val="center"/>
          </w:tcPr>
          <w:p>
            <w:pPr>
              <w:pStyle w:val="29"/>
              <w:ind w:left="39"/>
              <w:rPr>
                <w:b/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pStyle w:val="29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pStyle w:val="29"/>
              <w:ind w:left="0"/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09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096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096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left="709"/>
        <w:jc w:val="both"/>
        <w:rPr>
          <w:sz w:val="20"/>
          <w:szCs w:val="20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6"/>
        <w:gridCol w:w="830"/>
        <w:gridCol w:w="2025"/>
        <w:gridCol w:w="22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503" w:hRule="atLeast"/>
        </w:trPr>
        <w:tc>
          <w:tcPr>
            <w:tcW w:w="426" w:type="dxa"/>
            <w:noWrap w:val="0"/>
            <w:vAlign w:val="center"/>
          </w:tcPr>
          <w:p>
            <w:pPr>
              <w:pStyle w:val="29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930" w:type="dxa"/>
            <w:gridSpan w:val="5"/>
            <w:noWrap w:val="0"/>
            <w:vAlign w:val="center"/>
          </w:tcPr>
          <w:p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 účtovaní významných opráv chýb minulých účtovných období v bežnom ÚO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3246" w:type="dxa"/>
            <w:gridSpan w:val="2"/>
            <w:noWrap w:val="0"/>
            <w:vAlign w:val="center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986" w:type="dxa"/>
            <w:noWrap w:val="0"/>
            <w:vAlign w:val="center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Patrí do obdobia</w:t>
            </w:r>
          </w:p>
        </w:tc>
        <w:tc>
          <w:tcPr>
            <w:tcW w:w="830" w:type="dxa"/>
            <w:noWrap w:val="0"/>
            <w:vAlign w:val="center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2269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do HV bežného  obdobia(EUR)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86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</w:p>
        </w:tc>
      </w:tr>
    </w:tbl>
    <w:p>
      <w:pPr>
        <w:ind w:left="360"/>
        <w:rPr>
          <w:sz w:val="20"/>
          <w:szCs w:val="20"/>
        </w:rPr>
      </w:pPr>
    </w:p>
    <w:p>
      <w:pPr>
        <w:ind w:left="360"/>
        <w:rPr>
          <w:sz w:val="20"/>
          <w:szCs w:val="20"/>
        </w:rPr>
      </w:pPr>
    </w:p>
    <w:p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Informácie, ktoré vysvetľujú a dopĺňajú súvahu a výkaz ziskov a strát</w:t>
      </w:r>
    </w:p>
    <w:p>
      <w:pPr>
        <w:ind w:left="1481"/>
        <w:jc w:val="both"/>
        <w:rPr>
          <w:sz w:val="20"/>
          <w:szCs w:val="20"/>
        </w:rPr>
      </w:pPr>
    </w:p>
    <w:p>
      <w:pPr>
        <w:ind w:left="1481"/>
        <w:jc w:val="both"/>
        <w:rPr>
          <w:sz w:val="20"/>
          <w:szCs w:val="20"/>
        </w:rPr>
      </w:pPr>
    </w:p>
    <w:tbl>
      <w:tblPr>
        <w:tblStyle w:val="9"/>
        <w:tblW w:w="935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969"/>
        <w:gridCol w:w="3119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751" w:hRule="atLeast"/>
        </w:trPr>
        <w:tc>
          <w:tcPr>
            <w:tcW w:w="567" w:type="dxa"/>
            <w:noWrap w:val="0"/>
            <w:vAlign w:val="top"/>
          </w:tcPr>
          <w:p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  <w:p>
            <w:pPr>
              <w:pStyle w:val="29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>
            <w:pPr>
              <w:pStyle w:val="29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9" w:type="dxa"/>
            <w:gridSpan w:val="3"/>
            <w:noWrap w:val="0"/>
            <w:vAlign w:val="top"/>
          </w:tcPr>
          <w:p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Informácia o sume a dôvodoch vzniku jednotlivých položiek nákladov alebo výnosov, ktoré majú výnimočný rozsah</w:t>
            </w:r>
            <w:r>
              <w:rPr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alebo výskyt</w:t>
            </w:r>
            <w:r>
              <w:rPr>
                <w:i/>
                <w:sz w:val="20"/>
                <w:szCs w:val="20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3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38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36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36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>
      <w:pPr>
        <w:ind w:left="1134"/>
        <w:jc w:val="both"/>
        <w:rPr>
          <w:sz w:val="20"/>
          <w:szCs w:val="20"/>
        </w:rPr>
      </w:pPr>
    </w:p>
    <w:p>
      <w:pPr>
        <w:ind w:left="1134"/>
        <w:jc w:val="both"/>
        <w:rPr>
          <w:sz w:val="20"/>
          <w:szCs w:val="20"/>
        </w:rPr>
      </w:pPr>
    </w:p>
    <w:tbl>
      <w:tblPr>
        <w:tblStyle w:val="9"/>
        <w:tblW w:w="935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828"/>
        <w:gridCol w:w="3260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250" w:hRule="atLeast"/>
        </w:trPr>
        <w:tc>
          <w:tcPr>
            <w:tcW w:w="567" w:type="dxa"/>
            <w:noWrap w:val="0"/>
            <w:vAlign w:val="top"/>
          </w:tcPr>
          <w:p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noWrap w:val="0"/>
            <w:vAlign w:val="center"/>
          </w:tcPr>
          <w:p>
            <w:pPr>
              <w:pStyle w:val="29"/>
              <w:ind w:left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noWrap w:val="0"/>
            <w:vAlign w:val="top"/>
          </w:tcPr>
          <w:p>
            <w:pPr>
              <w:pStyle w:val="38"/>
              <w:rPr>
                <w:rFonts w:ascii="Times New Roman" w:hAnsi="Times New Roman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69" w:hRule="atLeast"/>
        </w:trPr>
        <w:tc>
          <w:tcPr>
            <w:tcW w:w="7655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9"/>
              </w:numPr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356" w:type="dxa"/>
            <w:gridSpan w:val="4"/>
            <w:noWrap w:val="0"/>
            <w:vAlign w:val="center"/>
          </w:tcPr>
          <w:p>
            <w:pPr>
              <w:numPr>
                <w:ilvl w:val="0"/>
                <w:numId w:val="9"/>
              </w:numPr>
              <w:jc w:val="both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655" w:type="dxa"/>
            <w:gridSpan w:val="3"/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pStyle w:val="38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395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395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395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395" w:type="dxa"/>
            <w:gridSpan w:val="2"/>
            <w:noWrap/>
            <w:vAlign w:val="center"/>
          </w:tcPr>
          <w:p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</w:tbl>
    <w:p>
      <w:pPr>
        <w:ind w:left="1134"/>
        <w:jc w:val="both"/>
        <w:rPr>
          <w:sz w:val="20"/>
          <w:szCs w:val="20"/>
        </w:rPr>
      </w:pPr>
    </w:p>
    <w:p>
      <w:pPr>
        <w:numPr>
          <w:ilvl w:val="0"/>
          <w:numId w:val="8"/>
        </w:numPr>
        <w:ind w:left="709" w:hanging="567"/>
        <w:jc w:val="both"/>
        <w:rPr>
          <w:sz w:val="20"/>
          <w:szCs w:val="20"/>
        </w:rPr>
      </w:pPr>
      <w:r>
        <w:rPr>
          <w:b/>
          <w:bCs/>
          <w:kern w:val="28"/>
          <w:sz w:val="20"/>
          <w:szCs w:val="20"/>
          <w:lang w:eastAsia="en-US"/>
        </w:rPr>
        <w:t>Informácie o vlastných akciách</w:t>
      </w:r>
    </w:p>
    <w:p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nadobudnutia vlastných akcií počas účtovného obdobia,</w:t>
      </w:r>
    </w:p>
    <w:p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informácie</w:t>
      </w:r>
    </w:p>
    <w:p>
      <w:pPr>
        <w:numPr>
          <w:ilvl w:val="0"/>
          <w:numId w:val="11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numPr>
          <w:ilvl w:val="0"/>
          <w:numId w:val="12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numPr>
          <w:ilvl w:val="0"/>
          <w:numId w:val="10"/>
        </w:numPr>
        <w:ind w:left="1276" w:hanging="567"/>
        <w:jc w:val="both"/>
        <w:rPr>
          <w:bCs/>
          <w:i/>
          <w:kern w:val="28"/>
          <w:sz w:val="20"/>
          <w:szCs w:val="20"/>
          <w:lang w:eastAsia="en-US"/>
        </w:rPr>
      </w:pPr>
      <w:r>
        <w:rPr>
          <w:i/>
          <w:sz w:val="20"/>
          <w:szCs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bCs/>
          <w:i/>
          <w:kern w:val="28"/>
          <w:sz w:val="20"/>
          <w:szCs w:val="20"/>
          <w:lang w:eastAsia="en-US"/>
        </w:rPr>
        <w:t>uvádza  sa aj ich percentuálny podiel na upísanom základnom imaní.</w:t>
      </w:r>
    </w:p>
    <w:p>
      <w:pPr>
        <w:ind w:left="1276"/>
        <w:jc w:val="both"/>
        <w:rPr>
          <w:bCs/>
          <w:kern w:val="28"/>
          <w:sz w:val="20"/>
          <w:szCs w:val="20"/>
          <w:lang w:eastAsia="en-US"/>
        </w:rPr>
      </w:pPr>
    </w:p>
    <w:tbl>
      <w:tblPr>
        <w:tblStyle w:val="9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5659"/>
        <w:gridCol w:w="993"/>
        <w:gridCol w:w="425"/>
        <w:gridCol w:w="1276"/>
        <w:gridCol w:w="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22" w:hRule="exact"/>
        </w:trPr>
        <w:tc>
          <w:tcPr>
            <w:tcW w:w="578" w:type="dxa"/>
            <w:noWrap w:val="0"/>
            <w:vAlign w:val="center"/>
          </w:tcPr>
          <w:p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5659" w:type="dxa"/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rPr>
          <w:bCs/>
          <w:i/>
          <w:sz w:val="20"/>
          <w:szCs w:val="20"/>
        </w:rPr>
      </w:pPr>
    </w:p>
    <w:p>
      <w:pPr>
        <w:rPr>
          <w:bCs/>
          <w:i/>
          <w:sz w:val="20"/>
          <w:szCs w:val="20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5220"/>
        <w:gridCol w:w="1956"/>
        <w:gridCol w:w="1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258" w:hRule="atLeast"/>
        </w:trPr>
        <w:tc>
          <w:tcPr>
            <w:tcW w:w="567" w:type="dxa"/>
            <w:noWrap w:val="0"/>
            <w:vAlign w:val="top"/>
          </w:tcPr>
          <w:p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  <w:noWrap w:val="0"/>
            <w:vAlign w:val="center"/>
          </w:tcPr>
          <w:p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 orgánoch účtovnej jednotky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4"/>
            <w:tcBorders>
              <w:left w:val="single" w:color="auto" w:sz="4" w:space="0"/>
            </w:tcBorders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5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rPr>
          <w:sz w:val="20"/>
          <w:szCs w:val="20"/>
        </w:rPr>
      </w:pPr>
    </w:p>
    <w:tbl>
      <w:tblPr>
        <w:tblStyle w:val="9"/>
        <w:tblW w:w="0" w:type="auto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7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356" w:type="dxa"/>
            <w:gridSpan w:val="4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4"/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splatených pôžičiek k poslednému dňu účt. obdobia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4"/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rPr>
          <w:sz w:val="20"/>
          <w:szCs w:val="20"/>
        </w:rPr>
      </w:pPr>
    </w:p>
    <w:tbl>
      <w:tblPr>
        <w:tblStyle w:val="9"/>
        <w:tblW w:w="0" w:type="auto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6"/>
        <w:gridCol w:w="161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3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jc w:val="both"/>
        <w:rPr>
          <w:sz w:val="20"/>
          <w:szCs w:val="20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1"/>
        <w:gridCol w:w="425"/>
        <w:gridCol w:w="170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8"/>
              </w:numPr>
              <w:ind w:left="709" w:hanging="567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ind w:left="148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 povinnostiach účtovnej jednotky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709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color="auto" w:sz="4" w:space="0"/>
            </w:tcBorders>
            <w:noWrap w:val="0"/>
            <w:vAlign w:val="top"/>
          </w:tcPr>
          <w:p>
            <w:pPr>
              <w:pStyle w:val="29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jc w:val="both"/>
        <w:rPr>
          <w:sz w:val="20"/>
          <w:szCs w:val="20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3"/>
        <w:gridCol w:w="423"/>
        <w:gridCol w:w="169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09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38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09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>
      <w:pPr>
        <w:jc w:val="both"/>
        <w:rPr>
          <w:sz w:val="20"/>
          <w:szCs w:val="20"/>
        </w:rPr>
      </w:pPr>
    </w:p>
    <w:p>
      <w:pPr>
        <w:pStyle w:val="29"/>
        <w:ind w:left="641"/>
        <w:contextualSpacing/>
        <w:jc w:val="both"/>
        <w:rPr>
          <w:i/>
          <w:sz w:val="20"/>
          <w:szCs w:val="20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10"/>
        <w:gridCol w:w="425"/>
        <w:gridCol w:w="170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ind w:left="-119"/>
              <w:contextualSpacing/>
              <w:jc w:val="both"/>
              <w:rPr>
                <w:i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9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38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38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>
      <w:pPr>
        <w:pStyle w:val="29"/>
        <w:contextualSpacing/>
        <w:jc w:val="both"/>
        <w:rPr>
          <w:i/>
          <w:sz w:val="20"/>
          <w:szCs w:val="20"/>
          <w:lang w:val="sk-SK"/>
        </w:rPr>
      </w:pPr>
    </w:p>
    <w:p>
      <w:pPr>
        <w:pStyle w:val="29"/>
        <w:contextualSpacing/>
        <w:jc w:val="both"/>
        <w:rPr>
          <w:i/>
          <w:sz w:val="20"/>
          <w:szCs w:val="20"/>
        </w:rPr>
      </w:pPr>
    </w:p>
    <w:p>
      <w:pPr>
        <w:pStyle w:val="29"/>
        <w:numPr>
          <w:ilvl w:val="0"/>
          <w:numId w:val="13"/>
        </w:numPr>
        <w:ind w:left="641" w:hanging="284"/>
        <w:contextualSpacing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opise významných povinností účtovnej jednotky vyplývajúcich z dôchodkových programov pre zamestnancov.</w:t>
      </w:r>
    </w:p>
    <w:p>
      <w:pPr>
        <w:jc w:val="both"/>
        <w:rPr>
          <w:sz w:val="20"/>
          <w:szCs w:val="20"/>
        </w:rPr>
      </w:pPr>
    </w:p>
    <w:p>
      <w:pPr>
        <w:numPr>
          <w:ilvl w:val="0"/>
          <w:numId w:val="8"/>
        </w:numPr>
        <w:ind w:left="709" w:hanging="567"/>
        <w:jc w:val="both"/>
        <w:rPr>
          <w:b/>
          <w:sz w:val="20"/>
          <w:szCs w:val="20"/>
        </w:rPr>
      </w:pPr>
      <w:bookmarkStart w:id="0" w:name="OLE_LINK1"/>
      <w:r>
        <w:rPr>
          <w:sz w:val="20"/>
          <w:szCs w:val="20"/>
        </w:rPr>
        <w:t>Informácie o udelení výlučného práva alebo osobitného práva, ktorým sa udelilo právo poskytovať služby vo verejnom záujme</w:t>
      </w:r>
      <w:bookmarkEnd w:id="0"/>
    </w:p>
    <w:p>
      <w:pPr>
        <w:jc w:val="right"/>
        <w:rPr>
          <w:sz w:val="20"/>
          <w:szCs w:val="20"/>
        </w:rPr>
      </w:pPr>
    </w:p>
    <w:p>
      <w:pPr>
        <w:jc w:val="right"/>
        <w:rPr>
          <w:sz w:val="20"/>
          <w:szCs w:val="20"/>
        </w:rPr>
      </w:pPr>
    </w:p>
    <w:p>
      <w:pPr>
        <w:pStyle w:val="39"/>
        <w:rPr>
          <w:sz w:val="20"/>
          <w:szCs w:val="20"/>
        </w:rPr>
      </w:pPr>
      <w:r>
        <w:rPr>
          <w:sz w:val="20"/>
          <w:szCs w:val="20"/>
        </w:rPr>
        <w:t>Použité skratky:</w:t>
      </w:r>
    </w:p>
    <w:p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ÚJ - účtovná jednotka; BO- bežné účtovné obdobie; X= ÚJ má náplň pre jednotlivú položku </w:t>
      </w:r>
    </w:p>
    <w:p>
      <w:pPr>
        <w:jc w:val="both"/>
        <w:rPr>
          <w:sz w:val="20"/>
          <w:szCs w:val="20"/>
        </w:rPr>
      </w:pPr>
    </w:p>
    <w:p>
      <w:pPr>
        <w:rPr>
          <w:i/>
          <w:sz w:val="20"/>
          <w:szCs w:val="20"/>
        </w:rPr>
      </w:pPr>
      <w:r>
        <w:rPr>
          <w:i/>
          <w:sz w:val="20"/>
          <w:szCs w:val="20"/>
        </w:rPr>
        <w:t>Údaje v poznámkach sú uvádzané za bežne účtovné obdobie. Sumy sú uvádzané v celých eurách.</w:t>
      </w:r>
    </w:p>
    <w:p>
      <w:pPr>
        <w:pStyle w:val="39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</w:t>
      </w:r>
    </w:p>
    <w:p>
      <w:pPr>
        <w:pStyle w:val="39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39"/>
        <w:rPr>
          <w:sz w:val="20"/>
          <w:szCs w:val="20"/>
        </w:rPr>
      </w:pPr>
      <w:r>
        <w:rPr>
          <w:b/>
          <w:i/>
          <w:sz w:val="20"/>
          <w:szCs w:val="20"/>
        </w:rPr>
        <w:t>Údaje v poznámkach sa uvádzajú za bežné účtovné obdobie. Sumy v poznámkach sa uvádzajú v celých eurách</w:t>
      </w:r>
      <w:r>
        <w:rPr>
          <w:i/>
          <w:sz w:val="20"/>
          <w:szCs w:val="20"/>
        </w:rPr>
        <w:t xml:space="preserve">. </w:t>
      </w: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</w:p>
    <w:sectPr>
      <w:headerReference r:id="rId3" w:type="default"/>
      <w:footerReference r:id="rId4" w:type="default"/>
      <w:pgSz w:w="11907" w:h="16840"/>
      <w:pgMar w:top="1107" w:right="1559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/>
      </w:rPr>
      <w:t>5</w:t>
    </w:r>
    <w:r>
      <w:fldChar w:fldCharType="end"/>
    </w:r>
  </w:p>
  <w:p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0" w:type="auto"/>
      <w:tblInd w:w="93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693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70" w:type="dxa"/>
          <w:bottom w:w="0" w:type="dxa"/>
          <w:right w:w="70" w:type="dxa"/>
        </w:tblCellMar>
      </w:tblPrEx>
      <w:trPr>
        <w:wBefore w:w="0" w:type="dxa"/>
        <w:wAfter w:w="0" w:type="dxa"/>
        <w:trHeight w:val="326" w:hRule="atLeast"/>
      </w:trPr>
      <w:tc>
        <w:tcPr>
          <w:tcW w:w="2954" w:type="dxa"/>
          <w:shd w:val="clear" w:color="auto" w:fill="auto"/>
          <w:noWrap w:val="0"/>
          <w:vAlign w:val="center"/>
        </w:tcPr>
        <w:p>
          <w:pPr>
            <w:pStyle w:val="23"/>
          </w:pPr>
          <w:r>
            <w:t>Poznámky Úč</w:t>
          </w:r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noWrap w:val="0"/>
          <w:vAlign w:val="center"/>
        </w:tcPr>
        <w:p/>
      </w:tc>
      <w:tc>
        <w:tcPr>
          <w:tcW w:w="2693" w:type="dxa"/>
          <w:shd w:val="clear" w:color="auto" w:fill="auto"/>
          <w:noWrap w:val="0"/>
          <w:vAlign w:val="center"/>
        </w:tcPr>
        <w:p>
          <w:r>
            <w:t>IČO: 51131838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noWrap w:val="0"/>
          <w:vAlign w:val="center"/>
        </w:tcPr>
        <w:p/>
      </w:tc>
      <w:tc>
        <w:tcPr>
          <w:tcW w:w="2693" w:type="dxa"/>
          <w:shd w:val="clear" w:color="auto" w:fill="auto"/>
          <w:noWrap w:val="0"/>
          <w:vAlign w:val="center"/>
        </w:tcPr>
        <w:p>
          <w:r>
            <w:t>DIČ: 2120612076</w:t>
          </w:r>
        </w:p>
      </w:tc>
    </w:tr>
  </w:tbl>
  <w:p>
    <w:pPr>
      <w:pStyle w:val="23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5F1FA0"/>
    <w:multiLevelType w:val="multilevel"/>
    <w:tmpl w:val="065F1FA0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multilevel"/>
    <w:tmpl w:val="157E473F"/>
    <w:lvl w:ilvl="0" w:tentative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77" w:hanging="360"/>
      </w:pPr>
    </w:lvl>
    <w:lvl w:ilvl="2" w:tentative="0">
      <w:start w:val="1"/>
      <w:numFmt w:val="lowerRoman"/>
      <w:lvlText w:val="%3."/>
      <w:lvlJc w:val="right"/>
      <w:pPr>
        <w:ind w:left="1797" w:hanging="180"/>
      </w:pPr>
    </w:lvl>
    <w:lvl w:ilvl="3" w:tentative="0">
      <w:start w:val="1"/>
      <w:numFmt w:val="decimal"/>
      <w:lvlText w:val="%4."/>
      <w:lvlJc w:val="left"/>
      <w:pPr>
        <w:ind w:left="2517" w:hanging="360"/>
      </w:pPr>
    </w:lvl>
    <w:lvl w:ilvl="4" w:tentative="0">
      <w:start w:val="1"/>
      <w:numFmt w:val="lowerLetter"/>
      <w:lvlText w:val="%5."/>
      <w:lvlJc w:val="left"/>
      <w:pPr>
        <w:ind w:left="3237" w:hanging="360"/>
      </w:pPr>
    </w:lvl>
    <w:lvl w:ilvl="5" w:tentative="0">
      <w:start w:val="1"/>
      <w:numFmt w:val="lowerRoman"/>
      <w:lvlText w:val="%6."/>
      <w:lvlJc w:val="right"/>
      <w:pPr>
        <w:ind w:left="3957" w:hanging="180"/>
      </w:pPr>
    </w:lvl>
    <w:lvl w:ilvl="6" w:tentative="0">
      <w:start w:val="1"/>
      <w:numFmt w:val="decimal"/>
      <w:lvlText w:val="%7."/>
      <w:lvlJc w:val="left"/>
      <w:pPr>
        <w:ind w:left="4677" w:hanging="360"/>
      </w:pPr>
    </w:lvl>
    <w:lvl w:ilvl="7" w:tentative="0">
      <w:start w:val="1"/>
      <w:numFmt w:val="lowerLetter"/>
      <w:lvlText w:val="%8."/>
      <w:lvlJc w:val="left"/>
      <w:pPr>
        <w:ind w:left="5397" w:hanging="360"/>
      </w:pPr>
    </w:lvl>
    <w:lvl w:ilvl="8" w:tentative="0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786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603" w:hanging="360"/>
      </w:pPr>
    </w:lvl>
    <w:lvl w:ilvl="2" w:tentative="0">
      <w:start w:val="1"/>
      <w:numFmt w:val="lowerRoman"/>
      <w:lvlText w:val="%3."/>
      <w:lvlJc w:val="right"/>
      <w:pPr>
        <w:ind w:left="1323" w:hanging="180"/>
      </w:pPr>
    </w:lvl>
    <w:lvl w:ilvl="3" w:tentative="0">
      <w:start w:val="1"/>
      <w:numFmt w:val="decimal"/>
      <w:lvlText w:val="%4."/>
      <w:lvlJc w:val="left"/>
      <w:pPr>
        <w:ind w:left="2043" w:hanging="360"/>
      </w:pPr>
    </w:lvl>
    <w:lvl w:ilvl="4" w:tentative="0">
      <w:start w:val="1"/>
      <w:numFmt w:val="lowerLetter"/>
      <w:lvlText w:val="%5."/>
      <w:lvlJc w:val="left"/>
      <w:pPr>
        <w:ind w:left="2763" w:hanging="360"/>
      </w:pPr>
    </w:lvl>
    <w:lvl w:ilvl="5" w:tentative="0">
      <w:start w:val="1"/>
      <w:numFmt w:val="lowerRoman"/>
      <w:lvlText w:val="%6."/>
      <w:lvlJc w:val="right"/>
      <w:pPr>
        <w:ind w:left="3483" w:hanging="180"/>
      </w:pPr>
    </w:lvl>
    <w:lvl w:ilvl="6" w:tentative="0">
      <w:start w:val="1"/>
      <w:numFmt w:val="decimal"/>
      <w:lvlText w:val="%7."/>
      <w:lvlJc w:val="left"/>
      <w:pPr>
        <w:ind w:left="4203" w:hanging="360"/>
      </w:pPr>
    </w:lvl>
    <w:lvl w:ilvl="7" w:tentative="0">
      <w:start w:val="1"/>
      <w:numFmt w:val="lowerLetter"/>
      <w:lvlText w:val="%8."/>
      <w:lvlJc w:val="left"/>
      <w:pPr>
        <w:ind w:left="4923" w:hanging="360"/>
      </w:pPr>
    </w:lvl>
    <w:lvl w:ilvl="8" w:tentative="0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multilevel"/>
    <w:tmpl w:val="221C3BD9"/>
    <w:lvl w:ilvl="0" w:tentative="0">
      <w:start w:val="1"/>
      <w:numFmt w:val="upp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3725DC"/>
    <w:multiLevelType w:val="multilevel"/>
    <w:tmpl w:val="2E3725DC"/>
    <w:lvl w:ilvl="0" w:tentative="0">
      <w:start w:val="0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20771E8"/>
    <w:multiLevelType w:val="multilevel"/>
    <w:tmpl w:val="320771E8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7EB7989"/>
    <w:multiLevelType w:val="multilevel"/>
    <w:tmpl w:val="37EB7989"/>
    <w:lvl w:ilvl="0" w:tentative="0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786" w:hanging="360"/>
      </w:pPr>
      <w:rPr>
        <w:rFonts w:hint="default" w:ascii="Times New Roman" w:hAnsi="Times New Roman" w:cs="Times New Roman"/>
        <w:sz w:val="18"/>
        <w:szCs w:val="24"/>
      </w:r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62EF3CE4"/>
    <w:multiLevelType w:val="multilevel"/>
    <w:tmpl w:val="62EF3CE4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sz w:val="24"/>
        <w:szCs w:val="24"/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12">
    <w:nsid w:val="7BC802A9"/>
    <w:multiLevelType w:val="singleLevel"/>
    <w:tmpl w:val="7BC802A9"/>
    <w:lvl w:ilvl="0" w:tentative="0">
      <w:start w:val="0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/>
      </w:rPr>
    </w:lvl>
  </w:abstractNum>
  <w:num w:numId="1">
    <w:abstractNumId w:val="11"/>
  </w:num>
  <w:num w:numId="2">
    <w:abstractNumId w:val="4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12"/>
  </w:num>
  <w:num w:numId="8">
    <w:abstractNumId w:val="3"/>
  </w:num>
  <w:num w:numId="9">
    <w:abstractNumId w:val="2"/>
  </w:num>
  <w:num w:numId="10">
    <w:abstractNumId w:val="9"/>
  </w:num>
  <w:num w:numId="11">
    <w:abstractNumId w:val="8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09"/>
  <w:hyphenationZone w:val="425"/>
  <w:displayHorizontalDrawingGridEvery w:val="1"/>
  <w:displayVerticalDrawingGridEvery w:val="1"/>
  <w:noPunctuationKerning w:val="1"/>
  <w:characterSpacingControl w:val="doNotCompress"/>
  <w:compat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66A1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424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4A6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592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1F9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EE2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1FB9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8D340CB"/>
    <w:rsid w:val="1F5F763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0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nhideWhenUsed="0" w:uiPriority="0" w:name="footnote reference"/>
    <w:lsdException w:uiPriority="99" w:name="annotation reference"/>
    <w:lsdException w:uiPriority="99" w:name="line number"/>
    <w:lsdException w:unhideWhenUsed="0" w:uiPriority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unhideWhenUsed="0" w:uiPriority="0" w:name="Default Paragraph Font"/>
    <w:lsdException w:unhideWhenUsed="0" w:uiPriority="0" w:name="Body Text"/>
    <w:lsdException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name="Body Text 2"/>
    <w:lsdException w:unhideWhenUsed="0" w:uiPriority="0" w:name="Body Text 3"/>
    <w:lsdException w:unhideWhenUsed="0" w:uiPriority="0" w:name="Body Text Indent 2"/>
    <w:lsdException w:unhideWhenUsed="0" w:uiPriority="0" w:name="Body Text Indent 3"/>
    <w:lsdException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nhideWhenUsed/>
    <w:uiPriority w:val="99"/>
    <w:tblPr>
      <w:tblStyle w:val="9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10">
    <w:name w:val="Balloon Text"/>
    <w:basedOn w:val="1"/>
    <w:link w:val="32"/>
    <w:semiHidden/>
    <w:unhideWhenUsed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uiPriority w:val="0"/>
    <w:pPr>
      <w:ind w:left="1680" w:right="-468" w:hanging="240"/>
    </w:pPr>
  </w:style>
  <w:style w:type="paragraph" w:styleId="12">
    <w:name w:val="Body Text"/>
    <w:basedOn w:val="1"/>
    <w:semiHidden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uiPriority w:val="0"/>
    <w:pPr>
      <w:jc w:val="both"/>
    </w:pPr>
  </w:style>
  <w:style w:type="paragraph" w:styleId="14">
    <w:name w:val="Body Text 3"/>
    <w:basedOn w:val="1"/>
    <w:semiHidden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uiPriority w:val="0"/>
    <w:pPr>
      <w:ind w:firstLine="360"/>
      <w:jc w:val="both"/>
    </w:pPr>
  </w:style>
  <w:style w:type="paragraph" w:styleId="16">
    <w:name w:val="Body Text Indent 2"/>
    <w:basedOn w:val="1"/>
    <w:semiHidden/>
    <w:uiPriority w:val="0"/>
    <w:pPr>
      <w:ind w:firstLine="360"/>
    </w:pPr>
  </w:style>
  <w:style w:type="paragraph" w:styleId="17">
    <w:name w:val="Body Text Indent 3"/>
    <w:basedOn w:val="1"/>
    <w:semiHidden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uiPriority w:val="99"/>
    <w:rPr>
      <w:vertAlign w:val="superscript"/>
    </w:rPr>
  </w:style>
  <w:style w:type="paragraph" w:styleId="19">
    <w:name w:val="endnote text"/>
    <w:basedOn w:val="1"/>
    <w:link w:val="30"/>
    <w:semiHidden/>
    <w:unhideWhenUsed/>
    <w:uiPriority w:val="99"/>
    <w:rPr>
      <w:sz w:val="20"/>
      <w:szCs w:val="20"/>
    </w:rPr>
  </w:style>
  <w:style w:type="paragraph" w:styleId="20">
    <w:name w:val="footer"/>
    <w:basedOn w:val="1"/>
    <w:link w:val="28"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uiPriority w:val="0"/>
    <w:rPr>
      <w:vertAlign w:val="superscript"/>
    </w:rPr>
  </w:style>
  <w:style w:type="paragraph" w:styleId="22">
    <w:name w:val="footnote text"/>
    <w:basedOn w:val="1"/>
    <w:semiHidden/>
    <w:uiPriority w:val="0"/>
    <w:rPr>
      <w:sz w:val="20"/>
      <w:szCs w:val="20"/>
    </w:rPr>
  </w:style>
  <w:style w:type="paragraph" w:styleId="23">
    <w:name w:val="header"/>
    <w:basedOn w:val="1"/>
    <w:link w:val="31"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uiPriority w:val="0"/>
  </w:style>
  <w:style w:type="table" w:styleId="25">
    <w:name w:val="Table Grid"/>
    <w:basedOn w:val="9"/>
    <w:uiPriority w:val="99"/>
    <w:tblPr>
      <w:tblStyle w:val="9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26">
    <w:name w:val="Title"/>
    <w:basedOn w:val="1"/>
    <w:next w:val="1"/>
    <w:link w:val="40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27">
    <w:name w:val="Základní text"/>
    <w:uiPriority w:val="0"/>
    <w:pPr>
      <w:spacing w:after="240"/>
      <w:jc w:val="both"/>
    </w:pPr>
    <w:rPr>
      <w:snapToGrid w:val="0"/>
      <w:color w:val="000000"/>
      <w:sz w:val="24"/>
      <w:lang w:val="sk-SK" w:eastAsia="sk-SK" w:bidi="ar-SA"/>
    </w:rPr>
  </w:style>
  <w:style w:type="character" w:customStyle="1" w:styleId="28">
    <w:name w:val="Päta Char"/>
    <w:link w:val="20"/>
    <w:uiPriority w:val="99"/>
    <w:rPr>
      <w:sz w:val="24"/>
      <w:szCs w:val="24"/>
    </w:rPr>
  </w:style>
  <w:style w:type="paragraph" w:styleId="29">
    <w:name w:val="List Paragraph"/>
    <w:basedOn w:val="1"/>
    <w:link w:val="37"/>
    <w:qFormat/>
    <w:uiPriority w:val="99"/>
    <w:pPr>
      <w:ind w:left="708"/>
    </w:pPr>
  </w:style>
  <w:style w:type="character" w:customStyle="1" w:styleId="30">
    <w:name w:val="Text koncovej poznámky Char"/>
    <w:basedOn w:val="8"/>
    <w:link w:val="19"/>
    <w:semiHidden/>
    <w:uiPriority w:val="99"/>
  </w:style>
  <w:style w:type="character" w:customStyle="1" w:styleId="31">
    <w:name w:val="Hlavička Char"/>
    <w:link w:val="23"/>
    <w:uiPriority w:val="99"/>
    <w:rPr>
      <w:sz w:val="24"/>
      <w:szCs w:val="24"/>
    </w:rPr>
  </w:style>
  <w:style w:type="character" w:customStyle="1" w:styleId="32">
    <w:name w:val="Text bubliny Char"/>
    <w:link w:val="10"/>
    <w:semiHidden/>
    <w:uiPriority w:val="99"/>
    <w:rPr>
      <w:rFonts w:ascii="Tahoma" w:hAnsi="Tahoma" w:cs="Tahoma"/>
      <w:sz w:val="16"/>
      <w:szCs w:val="16"/>
    </w:rPr>
  </w:style>
  <w:style w:type="paragraph" w:customStyle="1" w:styleId="33">
    <w:name w:val="Štýl1"/>
    <w:basedOn w:val="20"/>
    <w:link w:val="35"/>
    <w:qFormat/>
    <w:uiPriority w:val="0"/>
  </w:style>
  <w:style w:type="character" w:customStyle="1" w:styleId="34">
    <w:name w:val="tl"/>
    <w:basedOn w:val="8"/>
    <w:uiPriority w:val="0"/>
  </w:style>
  <w:style w:type="character" w:customStyle="1" w:styleId="35">
    <w:name w:val="Štýl1 Char"/>
    <w:basedOn w:val="28"/>
    <w:link w:val="33"/>
    <w:uiPriority w:val="0"/>
  </w:style>
  <w:style w:type="character" w:customStyle="1" w:styleId="36">
    <w:name w:val="ra"/>
    <w:basedOn w:val="8"/>
    <w:uiPriority w:val="0"/>
  </w:style>
  <w:style w:type="character" w:customStyle="1" w:styleId="37">
    <w:name w:val="Odsek zoznamu Char"/>
    <w:link w:val="29"/>
    <w:locked/>
    <w:uiPriority w:val="99"/>
    <w:rPr>
      <w:sz w:val="24"/>
      <w:szCs w:val="24"/>
    </w:rPr>
  </w:style>
  <w:style w:type="paragraph" w:customStyle="1" w:styleId="38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39">
    <w:name w:val="Default"/>
    <w:uiPriority w:val="0"/>
    <w:pPr>
      <w:autoSpaceDE w:val="0"/>
      <w:autoSpaceDN w:val="0"/>
      <w:adjustRightInd w:val="0"/>
    </w:pPr>
    <w:rPr>
      <w:color w:val="000000"/>
      <w:sz w:val="24"/>
      <w:szCs w:val="24"/>
      <w:lang w:val="sk-SK" w:eastAsia="sk-SK" w:bidi="ar-SA"/>
    </w:rPr>
  </w:style>
  <w:style w:type="character" w:customStyle="1" w:styleId="40">
    <w:name w:val="Názov Char"/>
    <w:link w:val="26"/>
    <w:uiPriority w:val="99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6</Pages>
  <Words>1583</Words>
  <Characters>9028</Characters>
  <Lines>75</Lines>
  <Paragraphs>21</Paragraphs>
  <TotalTime>4</TotalTime>
  <ScaleCrop>false</ScaleCrop>
  <LinksUpToDate>false</LinksUpToDate>
  <CharactersWithSpaces>10590</CharactersWithSpaces>
  <Application>WPS Office_11.2.0.10078_F1E327BC-269C-435d-A152-05C5408002CA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2021-04-07T08:59:00Z</dcterms:created>
  <dc:creator>EK</dc:creator>
  <cp:lastModifiedBy>ASUS</cp:lastModifiedBy>
  <cp:lastPrinted>2019-01-11T09:52:00Z</cp:lastPrinted>
  <dcterms:modified xsi:type="dcterms:W3CDTF">2021-04-07T09:35:03Z</dcterms:modified>
  <dc:title>Opatrenie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1033-11.2.0.10078</vt:lpwstr>
  </property>
</Properties>
</file>