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tbl>
      <w:tblPr>
        <w:tblW w:w="10375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060"/>
        <w:gridCol w:w="2665"/>
        <w:gridCol w:w="341"/>
        <w:gridCol w:w="340"/>
        <w:gridCol w:w="340"/>
        <w:gridCol w:w="341"/>
        <w:gridCol w:w="340"/>
        <w:gridCol w:w="340"/>
        <w:gridCol w:w="341"/>
        <w:gridCol w:w="340"/>
        <w:gridCol w:w="565"/>
        <w:gridCol w:w="341"/>
        <w:gridCol w:w="340"/>
        <w:gridCol w:w="340"/>
        <w:gridCol w:w="341"/>
      </w:tblGrid>
      <w:tr>
        <w:trPr/>
        <w:tc>
          <w:tcPr>
            <w:tcW w:w="30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lef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jc w:val="right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5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/SID</w:t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keepNext/>
              <w:numPr>
                <w:ilvl w:val="0"/>
                <w:numId w:val="0"/>
              </w:numPr>
              <w:spacing w:lineRule="auto" w:line="240" w:before="0" w:after="120"/>
              <w:outlineLvl w:val="2"/>
              <w:rPr>
                <w:b/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2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I.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Všeobecné údaje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>.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Zakladateľ neziskovej organizácie:</w:t>
      </w:r>
    </w:p>
    <w:p>
      <w:pPr>
        <w:pStyle w:val="Normal"/>
        <w:widowControl w:val="false"/>
        <w:suppressAutoHyphens w:val="true"/>
        <w:rPr/>
      </w:pPr>
      <w:r>
        <w:rPr/>
        <w:t>Obec Gajary, sídlo: 900 61 Gajary, ul. Hlavná 67, IČO: 00304743, v zastúpení: Mgr.Bc.Martin Rybecký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Malé Leváre, sídlo: 908 74 Malé Leváre č.177, IČO: 00309711, v zastúpení: Adrian Pernecký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Veľké Leváre, sídlo: 908 73 Veľké Leváre, ul. Štefánikova 747, IČO: 00310115, v zastúpení: Ing.Richard Nimsch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Jakubov, sídlo: 900 63 Jakubov č. 191, IČO: 00304816, v zastúpení: Mgr. Peter Gajdár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Studienka, sídlo: 908 75 Studienka č. 364, IČO: 00310042, v zastúpení: Ing. Boris Soukup</w:t>
      </w:r>
    </w:p>
    <w:p>
      <w:pPr>
        <w:pStyle w:val="Normal"/>
        <w:widowControl w:val="false"/>
        <w:suppressAutoHyphens w:val="true"/>
        <w:spacing w:lineRule="atLeast" w:line="200"/>
        <w:rPr/>
      </w:pPr>
      <w:r>
        <w:rPr/>
        <w:t>Obec Závod, sídlo: 908 72 Závod, ul. Sokolská 243, IČO: 00310158, v zastúpení: Ing. Peter Vrablec</w:t>
      </w:r>
    </w:p>
    <w:p>
      <w:pPr>
        <w:pStyle w:val="Normal"/>
        <w:widowControl w:val="false"/>
        <w:suppressAutoHyphens w:val="true"/>
        <w:spacing w:lineRule="atLeast" w:line="200"/>
        <w:rPr>
          <w:b/>
          <w:b/>
          <w:bCs/>
        </w:rPr>
      </w:pPr>
      <w:r>
        <w:rPr/>
        <w:t>Obec Kostolište, sídlo: 900 62 Kostolište č. 66, IČO: 00304867, v zastúpení: Mgr. Hubert Danihel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  <w:t xml:space="preserve">            </w:t>
      </w:r>
    </w:p>
    <w:p>
      <w:pPr>
        <w:pStyle w:val="Normal"/>
        <w:widowControl w:val="false"/>
        <w:suppressAutoHyphens w:val="true"/>
        <w:rPr>
          <w:b/>
          <w:b/>
          <w:bCs/>
        </w:rPr>
      </w:pPr>
      <w:r>
        <w:rPr>
          <w:rFonts w:cs="Arial" w:ascii="Arial" w:hAnsi="Arial"/>
        </w:rPr>
        <w:t xml:space="preserve">             </w:t>
      </w:r>
      <w:r>
        <w:rPr>
          <w:rFonts w:cs="Arial" w:ascii="Arial" w:hAnsi="Arial"/>
        </w:rPr>
        <w:t>Dátum založenia neziskovej organizácie:</w:t>
      </w:r>
      <w:r>
        <w:rPr>
          <w:b/>
          <w:bCs/>
        </w:rPr>
        <w:t xml:space="preserve"> 19.1.2007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 xml:space="preserve">Riaditeľ: </w:t>
      </w:r>
      <w:r>
        <w:rPr>
          <w:rFonts w:cs="Arial" w:ascii="Arial" w:hAnsi="Arial"/>
          <w:b/>
          <w:bCs/>
        </w:rPr>
        <w:t>Zuzana Kuklovská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Správna rada: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Predseda: Ing. Boris Soukup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 xml:space="preserve">Členovia: 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Mgr.Hubert Danihel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  <w:t>Mgr. Peter Gajdár</w:t>
      </w:r>
    </w:p>
    <w:p>
      <w:pPr>
        <w:pStyle w:val="Normal"/>
        <w:spacing w:lineRule="auto" w:line="240" w:before="0" w:after="120"/>
        <w:ind w:left="720" w:hanging="0"/>
        <w:rPr/>
      </w:pPr>
      <w:r>
        <w:rPr>
          <w:rFonts w:cs="Arial" w:ascii="Arial" w:hAnsi="Arial"/>
        </w:rPr>
        <w:t>Adrian Pernecký</w:t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720" w:hanging="0"/>
        <w:rPr>
          <w:rFonts w:ascii="Arial" w:hAnsi="Arial" w:cs="Arial"/>
        </w:rPr>
      </w:pPr>
      <w:r>
        <w:rPr>
          <w:rFonts w:cs="Arial" w:ascii="Arial" w:hAnsi="Arial"/>
        </w:rPr>
      </w:r>
    </w:p>
    <w:p>
      <w:pPr>
        <w:pStyle w:val="Normal"/>
        <w:spacing w:lineRule="auto" w:line="240" w:before="0" w:after="120"/>
        <w:ind w:left="1778" w:hanging="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BodyTextIndent2"/>
        <w:rPr>
          <w:rFonts w:ascii="Arial" w:hAnsi="Arial" w:cs="Arial"/>
        </w:rPr>
      </w:pPr>
      <w:r>
        <w:rPr>
          <w:rFonts w:cs="Arial" w:ascii="Arial" w:hAnsi="Arial"/>
        </w:rPr>
        <w:t>Nezisková organizácia bude poskytovať všeobecne prospešné služby v oblasti tvorby, rozvoja, ochrany, obnovy a prezentácie duchovných a kultúrnych hodnôt:</w:t>
      </w:r>
    </w:p>
    <w:p>
      <w:pPr>
        <w:pStyle w:val="BodyTextIndent2"/>
        <w:tabs>
          <w:tab w:val="left" w:pos="4111" w:leader="none"/>
        </w:tabs>
        <w:rPr>
          <w:rFonts w:ascii="Arial" w:hAnsi="Arial" w:cs="Arial"/>
        </w:rPr>
      </w:pPr>
      <w:r>
        <w:rPr>
          <w:rFonts w:cs="Arial" w:ascii="Arial" w:hAnsi="Arial"/>
        </w:rPr>
        <w:t>- služby organizovania kultúrnych, spoločenských podujatí, výstav, prezentácií, osvetových podujatí  a stretnutí a ďalšie služby v oblasti výskumu, vývoja, vedecko-technických služieb a informačných služieb so zameraním na informačné služby: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analýzy, rozbory, prieskumy, spracovanie a realizácia projektov,</w:t>
      </w:r>
    </w:p>
    <w:p>
      <w:pPr>
        <w:pStyle w:val="Normal"/>
        <w:rPr>
          <w:rFonts w:ascii="Arial" w:hAnsi="Arial" w:cs="Arial"/>
        </w:rPr>
      </w:pPr>
      <w:r>
        <w:rPr>
          <w:rFonts w:cs="Arial" w:ascii="Arial" w:hAnsi="Arial"/>
        </w:rPr>
        <w:t xml:space="preserve">     </w:t>
      </w:r>
      <w:r>
        <w:rPr>
          <w:rFonts w:cs="Arial" w:ascii="Arial" w:hAnsi="Arial"/>
        </w:rPr>
        <w:t>- informačné služby prostredníctvom  internetu.</w:t>
      </w:r>
    </w:p>
    <w:p>
      <w:pPr>
        <w:pStyle w:val="Normal"/>
        <w:spacing w:lineRule="auto" w:line="240" w:before="0" w:after="120"/>
        <w:rPr>
          <w:rFonts w:ascii="Arial" w:hAnsi="Arial" w:cs="Arial"/>
          <w:highlight w:val="yellow"/>
        </w:rPr>
      </w:pPr>
      <w:r>
        <w:rPr>
          <w:rFonts w:cs="Arial" w:ascii="Arial" w:hAnsi="Arial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Tabuľka k čl. I ods.  4 o počte zamestnancov a dobrovoľníkov</w:t>
      </w:r>
    </w:p>
    <w:tbl>
      <w:tblPr>
        <w:tblW w:w="9923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961"/>
        <w:gridCol w:w="2410"/>
        <w:gridCol w:w="2552"/>
      </w:tblGrid>
      <w:tr>
        <w:trPr/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Textopatrenia"/>
              <w:spacing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6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extopatrenia"/>
              <w:spacing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 toho  počet vedúcich zamestnancov</w:t>
            </w:r>
          </w:p>
        </w:tc>
        <w:tc>
          <w:tcPr>
            <w:tcW w:w="24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  <w:tc>
          <w:tcPr>
            <w:tcW w:w="255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extopatrenia"/>
              <w:spacing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  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  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 o účtovných zásadách a účtovných metódach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 ods.1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>Spoločnosť zostavila účtovnú závierku za predpokladu nepretržitého pokračovania vo svojej činnosti. Spoločnosť nepretržite pokračovala vo svojej činnosti od 1.1.2020 do 31.12.2020 a predpokladá túto činnosť vykonávať i naďalej.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  <w:t xml:space="preserve">II.odst.2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Účtovná jednotka nevykonala žiadne zmeny účtovných zásad a účtovných metód.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II.ods.3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 Účtovná jednotka oceňovala majetok a záväzky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ku dňu uskutočnenie účtovného prípadu</w:t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>3.1.1 Ku dňu uskutočnenia účtovného prípadu oceňovala účtovná jednotka majetok a záväzky: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</w:t>
      </w:r>
      <w:r>
        <w:rPr>
          <w:rFonts w:cs="Arial" w:ascii="Arial" w:hAnsi="Arial"/>
          <w:sz w:val="16"/>
          <w:szCs w:val="16"/>
        </w:rPr>
        <w:t>a) obstarávacou cenou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nehmotný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hmotný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dlhodobý finančný majetok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  <w:r>
        <w:rPr>
          <w:rFonts w:cs="Arial" w:ascii="Arial" w:hAnsi="Arial"/>
          <w:sz w:val="16"/>
          <w:szCs w:val="16"/>
        </w:rPr>
        <w:t>- zásoby obstarané kúpou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b)/menovitou hodnotou</w:t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pohľadávky pri odplatnom nadobudnutí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záväzky pri ich prevzatí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</w:t>
      </w:r>
      <w:r>
        <w:rPr>
          <w:rFonts w:cs="Arial" w:ascii="Arial" w:hAnsi="Arial"/>
          <w:sz w:val="16"/>
          <w:szCs w:val="16"/>
        </w:rPr>
        <w:t>- krátkodobý finančný majetok obstaraný kúpou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Obstarávacia cena je cena, za ktorú sa majetok obstaral a náklady súvisiace s jeho obstaraním.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 xml:space="preserve">Vyskytujúce sa náklady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</w:t>
      </w:r>
      <w:r>
        <w:rPr>
          <w:rFonts w:cs="Arial" w:ascii="Arial" w:hAnsi="Arial"/>
          <w:sz w:val="16"/>
          <w:szCs w:val="16"/>
        </w:rPr>
        <w:t>súvisiace s obstaraním v účtovnej jednotke: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provízia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     </w:t>
      </w:r>
      <w:r>
        <w:rPr>
          <w:rFonts w:cs="Arial" w:ascii="Arial" w:hAnsi="Arial"/>
          <w:sz w:val="16"/>
          <w:szCs w:val="16"/>
        </w:rPr>
        <w:t>- dopravné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sz w:val="16"/>
          <w:szCs w:val="16"/>
        </w:rPr>
        <w:t xml:space="preserve">  </w:t>
      </w:r>
      <w:r>
        <w:rPr>
          <w:rFonts w:cs="Arial" w:ascii="Arial" w:hAnsi="Arial"/>
          <w:b/>
          <w:bCs/>
          <w:sz w:val="18"/>
          <w:szCs w:val="18"/>
        </w:rPr>
        <w:t xml:space="preserve"> </w:t>
      </w:r>
      <w:r>
        <w:rPr>
          <w:rFonts w:cs="Arial" w:ascii="Arial" w:hAnsi="Arial"/>
          <w:b/>
          <w:bCs/>
          <w:sz w:val="18"/>
          <w:szCs w:val="18"/>
        </w:rPr>
        <w:t>II. ods.  4 Spôsob zostavovania odpisového plánu dlhodobého majetku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Účtovná jednotka stanovila interným predpisom pravidlá pre účtovanie dlhodobého majetku: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Nehmotný majetok, ktorého ocenenie sa rovná sume  2400 EUR, alebo nižšie sa účtuje na ťarchu 518 - Ostatné služby.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Nehmotný majetok, ktorého ocenenie je vyššie, zaradila účtovná jednotka do dlhodobého nehmotného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 xml:space="preserve">Hmotný majetok, ktorého ocenenie sa rovná sume   1700 EUR, alebo nižšie účtuje účtovná jednotka na ťarchu účtu zásob. 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Hmotný majetok, ktorého ocenenie je vyššie, zaradila účtovná jednotka do dlhodobého hmotného majetku.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zostavila pre bežné účtovné obdobie odpisový plán pre dlhodobý majetok, ktorý obsahuje dobu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  </w:t>
      </w:r>
      <w:r>
        <w:rPr>
          <w:rFonts w:cs="Arial" w:ascii="Arial" w:hAnsi="Arial"/>
          <w:sz w:val="16"/>
          <w:szCs w:val="16"/>
        </w:rPr>
        <w:t>odpisovania, sadzby odpisov, odpisové metódy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  </w:t>
      </w:r>
      <w:r>
        <w:rPr>
          <w:rFonts w:cs="Arial" w:ascii="Arial" w:hAnsi="Arial"/>
          <w:sz w:val="16"/>
          <w:szCs w:val="16"/>
        </w:rPr>
        <w:t>- účtovná jednotka stanovila interným predpisom, že účtovné odpisy dlhodobého majetku sa rovnajú daňovým odpisom.</w:t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18"/>
          <w:szCs w:val="18"/>
        </w:rPr>
      </w:pPr>
      <w:r>
        <w:rPr>
          <w:sz w:val="18"/>
          <w:szCs w:val="18"/>
        </w:rPr>
      </w:r>
    </w:p>
    <w:p>
      <w:pPr>
        <w:pStyle w:val="Normal"/>
        <w:spacing w:lineRule="auto" w:line="240" w:before="0" w:after="120"/>
        <w:ind w:left="460" w:hanging="0"/>
        <w:rPr/>
      </w:pPr>
      <w:r>
        <w:rPr>
          <w:sz w:val="18"/>
          <w:szCs w:val="18"/>
        </w:rPr>
        <w:t xml:space="preserve">Zásady pre zohľadnenie zníženia hodnoty majetku – účtovná jednotka uplatňuje: </w:t>
      </w:r>
    </w:p>
    <w:tbl>
      <w:tblPr>
        <w:tblW w:w="9776" w:type="dxa"/>
        <w:jc w:val="left"/>
        <w:tblInd w:w="27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</w:tblBorders>
        <w:tblCellMar>
          <w:top w:w="0" w:type="dxa"/>
          <w:left w:w="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61"/>
        <w:gridCol w:w="4914"/>
      </w:tblGrid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8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Opravné položky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8" w:type="dxa"/>
            </w:tcMar>
            <w:vAlign w:val="center"/>
          </w:tcPr>
          <w:p>
            <w:pPr>
              <w:pStyle w:val="Telotextu"/>
              <w:spacing w:before="0" w:after="140"/>
              <w:jc w:val="center"/>
              <w:rPr/>
            </w:pPr>
            <w:r>
              <w:rPr>
                <w:b/>
                <w:sz w:val="16"/>
                <w:szCs w:val="16"/>
              </w:rPr>
              <w:t>Rezervy</w:t>
            </w:r>
          </w:p>
        </w:tc>
      </w:tr>
      <w:tr>
        <w:trPr>
          <w:trHeight w:val="284" w:hRule="atLeast"/>
        </w:trPr>
        <w:tc>
          <w:tcPr>
            <w:tcW w:w="486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</w:tcBorders>
            <w:shd w:color="auto"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  <w:tc>
          <w:tcPr>
            <w:tcW w:w="491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  <w:insideH w:val="single" w:sz="4" w:space="0" w:color="000001"/>
              <w:insideV w:val="single" w:sz="4" w:space="0" w:color="000001"/>
            </w:tcBorders>
            <w:shd w:color="auto" w:fill="auto" w:val="clear"/>
            <w:tcMar>
              <w:left w:w="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sz w:val="18"/>
                <w:szCs w:val="18"/>
              </w:rPr>
              <w:t>nie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  <w:highlight w:val="yellow"/>
        </w:rPr>
      </w:pPr>
      <w:r>
        <w:rPr>
          <w:rFonts w:cs="Arial" w:ascii="Arial" w:hAnsi="Arial"/>
          <w:sz w:val="16"/>
          <w:szCs w:val="16"/>
          <w:highlight w:val="yellow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Informácie, ktoré dopĺňajú a vysvetľujú údaje v súvahe</w:t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1 o stave a pohybe dlhodobého hmotného majetku</w:t>
      </w:r>
    </w:p>
    <w:tbl>
      <w:tblPr>
        <w:tblW w:w="7990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377"/>
        <w:gridCol w:w="1872"/>
        <w:gridCol w:w="1871"/>
        <w:gridCol w:w="1869"/>
      </w:tblGrid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Drobný hn.majetok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Prvotné ocenenie</w:t>
            </w:r>
            <w:r>
              <w:rPr>
                <w:rFonts w:cs="Arial" w:ascii="Arial" w:hAnsi="Arial"/>
                <w:sz w:val="16"/>
                <w:szCs w:val="16"/>
              </w:rPr>
              <w:t xml:space="preserve"> - 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22202,49</w:t>
            </w:r>
          </w:p>
        </w:tc>
      </w:tr>
      <w:tr>
        <w:trPr>
          <w:trHeight w:val="51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presuny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 xml:space="preserve">Oprávky – </w:t>
            </w: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10931,04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23279,79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403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9853,74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12348,75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22202,49</w:t>
            </w:r>
          </w:p>
        </w:tc>
      </w:tr>
      <w:tr>
        <w:trPr/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1077,30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Zostatková hodnota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75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>
          <w:trHeight w:val="361" w:hRule="atLeast"/>
        </w:trPr>
        <w:tc>
          <w:tcPr>
            <w:tcW w:w="23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87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8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1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III ods. 6 o položkách krátkodobého finančného majetku</w:t>
      </w:r>
    </w:p>
    <w:p>
      <w:pPr>
        <w:pStyle w:val="Normal"/>
        <w:spacing w:lineRule="auto" w:line="240" w:before="0" w:after="120"/>
        <w:ind w:left="567" w:hanging="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Tabuľka č. 1</w:t>
      </w:r>
    </w:p>
    <w:tbl>
      <w:tblPr>
        <w:tblW w:w="10382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317"/>
        <w:gridCol w:w="3602"/>
        <w:gridCol w:w="3463"/>
      </w:tblGrid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Krátkodobý finančný majetok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Pokladnica,ceniny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163,45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251,15</w:t>
            </w:r>
          </w:p>
        </w:tc>
      </w:tr>
      <w:tr>
        <w:trPr>
          <w:trHeight w:val="373" w:hRule="atLeast"/>
        </w:trPr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Bežné bankové účty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43069,68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15822,95</w:t>
            </w:r>
          </w:p>
        </w:tc>
      </w:tr>
      <w:tr>
        <w:trPr/>
        <w:tc>
          <w:tcPr>
            <w:tcW w:w="33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60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43233,13</w:t>
            </w:r>
          </w:p>
        </w:tc>
        <w:tc>
          <w:tcPr>
            <w:tcW w:w="346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16074,10</w:t>
            </w:r>
          </w:p>
        </w:tc>
      </w:tr>
    </w:tbl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ind w:left="709" w:hanging="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 xml:space="preserve">Čl. III ods. 10  o pohľadávkach do lehoty splatnosti a po lehote splatnosti </w:t>
      </w:r>
    </w:p>
    <w:tbl>
      <w:tblPr>
        <w:tblW w:w="10682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735"/>
        <w:gridCol w:w="3141"/>
        <w:gridCol w:w="3806"/>
      </w:tblGrid>
      <w:tr>
        <w:trPr>
          <w:trHeight w:val="397" w:hRule="atLeast"/>
        </w:trPr>
        <w:tc>
          <w:tcPr>
            <w:tcW w:w="3735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694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3735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23631,83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47118,94</w:t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7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Pohľadávky spolu</w:t>
            </w:r>
          </w:p>
        </w:tc>
        <w:tc>
          <w:tcPr>
            <w:tcW w:w="31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23631,83</w:t>
            </w:r>
          </w:p>
        </w:tc>
        <w:tc>
          <w:tcPr>
            <w:tcW w:w="38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47118,94</w:t>
            </w:r>
          </w:p>
        </w:tc>
      </w:tr>
    </w:tbl>
    <w:p>
      <w:pPr>
        <w:pStyle w:val="Normal"/>
        <w:spacing w:lineRule="auto" w:line="240" w:before="0" w:after="120"/>
        <w:rPr>
          <w:rFonts w:ascii="Times New Roman" w:hAnsi="Times New Roman" w:cs="Times New Roman"/>
          <w:b/>
          <w:b/>
          <w:bCs/>
          <w:sz w:val="24"/>
          <w:szCs w:val="24"/>
        </w:rPr>
      </w:pPr>
      <w:r>
        <w:rPr>
          <w:rFonts w:cs="Times New Roman" w:ascii="Times New Roman" w:hAnsi="Times New Roman"/>
          <w:b/>
          <w:bCs/>
          <w:sz w:val="24"/>
          <w:szCs w:val="24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  <w:t>Čl.III.ods.11Prehľad významných položiek časového rozlíšenia nákladov budúcich období a príjmov budúcich období</w:t>
      </w:r>
    </w:p>
    <w:tbl>
      <w:tblPr>
        <w:tblW w:w="9284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465"/>
        <w:gridCol w:w="2818"/>
      </w:tblGrid>
      <w:tr>
        <w:trPr>
          <w:trHeight w:val="403" w:hRule="atLeast"/>
        </w:trPr>
        <w:tc>
          <w:tcPr>
            <w:tcW w:w="6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 NBO</w:t>
            </w:r>
          </w:p>
        </w:tc>
        <w:tc>
          <w:tcPr>
            <w:tcW w:w="2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Domena 2021</w:t>
            </w:r>
          </w:p>
        </w:tc>
        <w:tc>
          <w:tcPr>
            <w:tcW w:w="2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46,19</w:t>
            </w:r>
          </w:p>
        </w:tc>
      </w:tr>
      <w:tr>
        <w:trPr/>
        <w:tc>
          <w:tcPr>
            <w:tcW w:w="646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81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46,19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 </w:t>
      </w:r>
      <w:r>
        <w:rPr>
          <w:rFonts w:cs="Arial" w:ascii="Arial" w:hAnsi="Arial"/>
          <w:b/>
          <w:bCs/>
        </w:rPr>
        <w:t>Čl. III ods. 12 o zmenách vlastných zdrojov krytia neobežného majetku a obežného majetku</w:t>
      </w:r>
      <w:r>
        <w:rPr>
          <w:rFonts w:cs="Arial" w:ascii="Arial" w:hAnsi="Arial"/>
        </w:rPr>
        <w:t xml:space="preserve">    </w:t>
      </w:r>
    </w:p>
    <w:tbl>
      <w:tblPr>
        <w:tblW w:w="10383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40"/>
        <w:gridCol w:w="2325"/>
        <w:gridCol w:w="1229"/>
        <w:gridCol w:w="1336"/>
        <w:gridCol w:w="1457"/>
        <w:gridCol w:w="1995"/>
      </w:tblGrid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Prírastky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(+)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Úbytky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(-)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Presuny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(+, -)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0382" w:type="dxa"/>
            <w:gridSpan w:val="6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 toho: 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Nevysp.výsledok hosp.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66678,29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-6316,39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60361,90</w:t>
            </w:r>
          </w:p>
        </w:tc>
      </w:tr>
      <w:tr>
        <w:trPr>
          <w:trHeight w:val="42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-6316,39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4177,66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+6316,39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4177,66</w:t>
            </w:r>
          </w:p>
        </w:tc>
      </w:tr>
      <w:tr>
        <w:trPr>
          <w:trHeight w:val="391" w:hRule="atLeast"/>
        </w:trPr>
        <w:tc>
          <w:tcPr>
            <w:tcW w:w="20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60361,90</w:t>
            </w:r>
          </w:p>
        </w:tc>
        <w:tc>
          <w:tcPr>
            <w:tcW w:w="12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4177,66</w:t>
            </w:r>
          </w:p>
        </w:tc>
        <w:tc>
          <w:tcPr>
            <w:tcW w:w="13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45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9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64539,56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13 o rozdelení účtovného zisku alebo vysporiadaní účtovnej straty</w:t>
      </w:r>
    </w:p>
    <w:tbl>
      <w:tblPr>
        <w:tblW w:w="5000" w:type="pct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5930"/>
        <w:gridCol w:w="4535"/>
      </w:tblGrid>
      <w:tr>
        <w:trPr>
          <w:trHeight w:val="765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Názov položky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Účtovná strata 2019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-6316,39</w:t>
            </w:r>
          </w:p>
        </w:tc>
      </w:tr>
      <w:tr>
        <w:trPr>
          <w:trHeight w:val="330" w:hRule="atLeast"/>
        </w:trPr>
        <w:tc>
          <w:tcPr>
            <w:tcW w:w="1046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59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Do nevyspor. výsledku hospod. min. rokov</w:t>
            </w:r>
          </w:p>
        </w:tc>
        <w:tc>
          <w:tcPr>
            <w:tcW w:w="453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/>
            </w:pPr>
            <w:r>
              <w:rPr>
                <w:rFonts w:cs="Arial" w:ascii="Arial" w:hAnsi="Arial"/>
                <w:color w:val="000000"/>
                <w:sz w:val="16"/>
                <w:szCs w:val="16"/>
              </w:rPr>
              <w:t>-6316,39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a) o  tvorbe a použití rezerv</w:t>
      </w:r>
    </w:p>
    <w:tbl>
      <w:tblPr>
        <w:tblW w:w="10240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2094"/>
        <w:gridCol w:w="1908"/>
        <w:gridCol w:w="1407"/>
        <w:gridCol w:w="1369"/>
        <w:gridCol w:w="1553"/>
        <w:gridCol w:w="1908"/>
      </w:tblGrid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rezervy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Tvorba rezerv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Použitie rezerv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Zrušenie alebo zníženie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>
        <w:trPr>
          <w:trHeight w:val="648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Rezerva dovolenka</w:t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1026,01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236" w:hRule="atLeast"/>
        </w:trPr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20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Ostatné rezervy spolu</w:t>
            </w:r>
          </w:p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1026,01</w:t>
            </w: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13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1026,01</w:t>
            </w:r>
          </w:p>
        </w:tc>
        <w:tc>
          <w:tcPr>
            <w:tcW w:w="15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19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  <w:t xml:space="preserve">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c) a d) o záväzkoch</w:t>
      </w:r>
    </w:p>
    <w:tbl>
      <w:tblPr>
        <w:tblW w:w="5000" w:type="pct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4431"/>
        <w:gridCol w:w="2825"/>
        <w:gridCol w:w="3210"/>
      </w:tblGrid>
      <w:tr>
        <w:trPr>
          <w:trHeight w:val="397" w:hRule="atLeast"/>
        </w:trPr>
        <w:tc>
          <w:tcPr>
            <w:tcW w:w="4431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Druh záväzkov</w:t>
            </w:r>
          </w:p>
        </w:tc>
        <w:tc>
          <w:tcPr>
            <w:tcW w:w="603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Stav na konci</w:t>
            </w:r>
          </w:p>
        </w:tc>
      </w:tr>
      <w:tr>
        <w:trPr/>
        <w:tc>
          <w:tcPr>
            <w:tcW w:w="4431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0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  <w:lang w:eastAsia="sk-SK"/>
              </w:rPr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2252,85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  <w:lang w:eastAsia="sk-SK"/>
              </w:rPr>
              <w:t>1948,42</w:t>
            </w:r>
          </w:p>
        </w:tc>
      </w:tr>
      <w:tr>
        <w:trPr>
          <w:trHeight w:val="447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2252,85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1948,42</w:t>
            </w:r>
          </w:p>
        </w:tc>
      </w:tr>
      <w:tr>
        <w:trPr/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118,74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112,82</w:t>
            </w:r>
          </w:p>
        </w:tc>
      </w:tr>
      <w:tr>
        <w:trPr>
          <w:trHeight w:val="478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112,82</w:t>
            </w:r>
          </w:p>
        </w:tc>
      </w:tr>
      <w:tr>
        <w:trPr>
          <w:trHeight w:val="409" w:hRule="atLeast"/>
        </w:trPr>
        <w:tc>
          <w:tcPr>
            <w:tcW w:w="443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Krátkodobé a dlhodobé záväzky spolu</w:t>
            </w:r>
          </w:p>
        </w:tc>
        <w:tc>
          <w:tcPr>
            <w:tcW w:w="2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2371,59</w:t>
            </w:r>
          </w:p>
        </w:tc>
        <w:tc>
          <w:tcPr>
            <w:tcW w:w="3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2061,24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6"/>
          <w:szCs w:val="16"/>
        </w:rPr>
      </w:pPr>
      <w:r>
        <w:rPr>
          <w:rFonts w:cs="Arial" w:ascii="Arial" w:hAnsi="Arial"/>
          <w:b/>
          <w:bCs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III ods. 14 písm. e) o vývoji sociálneho fondu</w:t>
      </w:r>
    </w:p>
    <w:tbl>
      <w:tblPr>
        <w:tblW w:w="10240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22"/>
        <w:gridCol w:w="3221"/>
        <w:gridCol w:w="3197"/>
      </w:tblGrid>
      <w:tr>
        <w:trPr/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Sociálny fond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prvému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112,82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64,04</w:t>
            </w:r>
          </w:p>
        </w:tc>
      </w:tr>
      <w:tr>
        <w:trPr>
          <w:trHeight w:val="375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5,92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67,05</w:t>
            </w:r>
          </w:p>
        </w:tc>
      </w:tr>
      <w:tr>
        <w:trPr>
          <w:trHeight w:val="411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Čerpanie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18,27</w:t>
            </w:r>
          </w:p>
        </w:tc>
      </w:tr>
      <w:tr>
        <w:trPr>
          <w:trHeight w:val="557" w:hRule="atLeast"/>
        </w:trPr>
        <w:tc>
          <w:tcPr>
            <w:tcW w:w="38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k poslednému dňu účtovného obdobia</w:t>
            </w:r>
          </w:p>
        </w:tc>
        <w:tc>
          <w:tcPr>
            <w:tcW w:w="322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118,74</w:t>
            </w:r>
          </w:p>
        </w:tc>
        <w:tc>
          <w:tcPr>
            <w:tcW w:w="3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112,82</w:t>
            </w:r>
          </w:p>
        </w:tc>
      </w:tr>
    </w:tbl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ind w:left="180" w:hanging="180"/>
        <w:rPr>
          <w:rFonts w:ascii="Arial" w:hAnsi="Arial" w:cs="Arial"/>
          <w:sz w:val="16"/>
          <w:szCs w:val="16"/>
        </w:rPr>
      </w:pPr>
      <w:bookmarkStart w:id="0" w:name="_GoBack"/>
      <w:bookmarkStart w:id="1" w:name="_GoBack"/>
      <w:bookmarkEnd w:id="1"/>
      <w:r>
        <w:rPr>
          <w:rFonts w:cs="Arial" w:ascii="Arial" w:hAnsi="Arial"/>
          <w:sz w:val="16"/>
          <w:szCs w:val="16"/>
        </w:rPr>
      </w:r>
    </w:p>
    <w:p>
      <w:pPr>
        <w:pStyle w:val="Normal"/>
        <w:keepNext/>
        <w:numPr>
          <w:ilvl w:val="0"/>
          <w:numId w:val="0"/>
        </w:numPr>
        <w:spacing w:lineRule="auto" w:line="240" w:before="0" w:after="120"/>
        <w:jc w:val="center"/>
        <w:outlineLvl w:val="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</w:t>
      </w:r>
    </w:p>
    <w:p>
      <w:pPr>
        <w:pStyle w:val="Normal"/>
        <w:keepNext/>
        <w:numPr>
          <w:ilvl w:val="0"/>
          <w:numId w:val="0"/>
        </w:numPr>
        <w:tabs>
          <w:tab w:val="left" w:pos="3041" w:leader="none"/>
          <w:tab w:val="center" w:pos="7568" w:leader="none"/>
        </w:tabs>
        <w:spacing w:lineRule="auto" w:line="240" w:before="0" w:after="120"/>
        <w:jc w:val="left"/>
        <w:outlineLvl w:val="1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ab/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rFonts w:ascii="Arial" w:hAnsi="Arial" w:cs="Arial"/>
        </w:rPr>
      </w:pPr>
      <w:r>
        <w:rPr>
          <w:rFonts w:cs="Arial" w:ascii="Arial" w:hAnsi="Arial"/>
          <w:b/>
          <w:bCs/>
        </w:rPr>
        <w:t>Čl. IV. ods.1 o tržbách za vlastné výkony a tovar</w:t>
      </w:r>
    </w:p>
    <w:tbl>
      <w:tblPr>
        <w:tblW w:w="10425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288"/>
        <w:gridCol w:w="3743"/>
        <w:gridCol w:w="3394"/>
      </w:tblGrid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TRŽBY</w:t>
            </w:r>
          </w:p>
        </w:tc>
        <w:tc>
          <w:tcPr>
            <w:tcW w:w="3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bežného účtovného obdobia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Stav na konci bezprostredne predchádzajúceho účtovného obdobia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služby</w:t>
            </w:r>
          </w:p>
        </w:tc>
        <w:tc>
          <w:tcPr>
            <w:tcW w:w="3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sz w:val="16"/>
                <w:szCs w:val="16"/>
              </w:rPr>
              <w:t>0</w:t>
            </w:r>
          </w:p>
        </w:tc>
      </w:tr>
      <w:tr>
        <w:trPr/>
        <w:tc>
          <w:tcPr>
            <w:tcW w:w="328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374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  <w:tc>
          <w:tcPr>
            <w:tcW w:w="339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spacing w:lineRule="auto" w:line="240" w:before="0" w:after="120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b/>
          <w:bCs/>
        </w:rPr>
      </w:pPr>
      <w:r>
        <w:rPr>
          <w:b/>
          <w:bCs/>
        </w:rPr>
        <w:t>Čl. IV. odst.3 o položkách prijatých dotácií</w:t>
      </w:r>
    </w:p>
    <w:tbl>
      <w:tblPr>
        <w:tblW w:w="9284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dotácií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Dotácia IBK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</w:r>
          </w:p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18082,48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18082,48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  <w:sz w:val="18"/>
          <w:szCs w:val="18"/>
        </w:rPr>
      </w:pPr>
      <w:r>
        <w:rPr>
          <w:rFonts w:cs="Arial" w:ascii="Arial" w:hAnsi="Arial"/>
          <w:b/>
          <w:bCs/>
          <w:sz w:val="18"/>
          <w:szCs w:val="18"/>
        </w:rPr>
      </w:r>
    </w:p>
    <w:p>
      <w:pPr>
        <w:pStyle w:val="Normal"/>
        <w:spacing w:lineRule="auto" w:line="240" w:before="0" w:after="120"/>
        <w:rPr/>
      </w:pPr>
      <w:r>
        <w:rPr>
          <w:rFonts w:cs="Arial" w:ascii="Arial" w:hAnsi="Arial"/>
          <w:b/>
          <w:bCs/>
          <w:sz w:val="18"/>
          <w:szCs w:val="18"/>
        </w:rPr>
        <w:t>IV. ods. 5 o významných položkách nákladov</w:t>
      </w:r>
    </w:p>
    <w:tbl>
      <w:tblPr>
        <w:tblW w:w="10396" w:type="dxa"/>
        <w:jc w:val="left"/>
        <w:tblInd w:w="-177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3855"/>
        <w:gridCol w:w="3300"/>
        <w:gridCol w:w="3241"/>
      </w:tblGrid>
      <w:tr>
        <w:trPr/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Názov položky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Náklady za poskytnuté služby, z toho: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2553,59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3516,37</w:t>
            </w:r>
          </w:p>
        </w:tc>
      </w:tr>
      <w:tr>
        <w:trPr>
          <w:trHeight w:val="375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Náklady voči audítorovi,účto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1180,97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1089,74</w:t>
            </w:r>
          </w:p>
        </w:tc>
      </w:tr>
      <w:tr>
        <w:trPr>
          <w:trHeight w:val="279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Ostatné významné položky nákladov z hospodárskej činnosti, z toho: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29444,23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left"/>
              <w:rPr/>
            </w:pPr>
            <w:r>
              <w:rPr>
                <w:rFonts w:cs="Arial" w:ascii="Arial" w:hAnsi="Arial"/>
                <w:sz w:val="16"/>
                <w:szCs w:val="16"/>
              </w:rPr>
              <w:t>45017,69</w:t>
            </w:r>
          </w:p>
        </w:tc>
      </w:tr>
      <w:tr>
        <w:trPr>
          <w:trHeight w:val="411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513-</w:t>
            </w:r>
            <w:r>
              <w:rPr/>
              <w:t>repre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0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181,34</w:t>
            </w:r>
          </w:p>
        </w:tc>
      </w:tr>
      <w:tr>
        <w:trPr>
          <w:trHeight w:val="411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512-Cestovné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1639,70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0</w:t>
            </w:r>
          </w:p>
        </w:tc>
      </w:tr>
      <w:tr>
        <w:trPr>
          <w:trHeight w:val="411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551-odpis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0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166,38</w:t>
            </w:r>
          </w:p>
        </w:tc>
      </w:tr>
      <w:tr>
        <w:trPr>
          <w:trHeight w:val="411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511-opravy a údržba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190,31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0</w:t>
            </w:r>
          </w:p>
        </w:tc>
      </w:tr>
      <w:tr>
        <w:trPr>
          <w:trHeight w:val="411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 xml:space="preserve">521 – Mzdové náklady 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20186,30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33231,45</w:t>
            </w:r>
          </w:p>
        </w:tc>
      </w:tr>
      <w:tr>
        <w:trPr>
          <w:trHeight w:val="411" w:hRule="atLeast"/>
        </w:trPr>
        <w:tc>
          <w:tcPr>
            <w:tcW w:w="385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rPr/>
            </w:pPr>
            <w:r>
              <w:rPr/>
              <w:t>524 – Zákonné SP a ZP</w:t>
            </w:r>
          </w:p>
        </w:tc>
        <w:tc>
          <w:tcPr>
            <w:tcW w:w="330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6592,19</w:t>
            </w:r>
          </w:p>
        </w:tc>
        <w:tc>
          <w:tcPr>
            <w:tcW w:w="324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widowControl w:val="false"/>
              <w:suppressAutoHyphens w:val="true"/>
              <w:spacing w:before="120" w:after="120"/>
              <w:jc w:val="left"/>
              <w:rPr/>
            </w:pPr>
            <w:r>
              <w:rPr/>
              <w:t>11438,52</w:t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>Čl. IV  ods. 8 o nákladoch vynaložených v súvislosti s auditom účtovnej závierky</w:t>
      </w:r>
    </w:p>
    <w:tbl>
      <w:tblPr>
        <w:tblW w:w="9284" w:type="dxa"/>
        <w:jc w:val="left"/>
        <w:tblInd w:w="-201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0" w:type="dxa"/>
          <w:left w:w="13" w:type="dxa"/>
          <w:bottom w:w="0" w:type="dxa"/>
          <w:right w:w="108" w:type="dxa"/>
        </w:tblCellMar>
        <w:tblLook w:firstRow="1" w:noVBand="0" w:lastRow="0" w:firstColumn="1" w:lastColumn="0" w:noHBand="0" w:val="00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center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 xml:space="preserve">Overenie účt. závierky 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cs="Arial" w:ascii="Arial" w:hAnsi="Arial"/>
                <w:sz w:val="16"/>
                <w:szCs w:val="16"/>
              </w:rPr>
              <w:t>480,58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color="auto" w:fill="auto" w:val="clear"/>
            <w:tcMar>
              <w:left w:w="13" w:type="dxa"/>
            </w:tcMar>
            <w:vAlign w:val="center"/>
          </w:tcPr>
          <w:p>
            <w:pPr>
              <w:pStyle w:val="Normal"/>
              <w:spacing w:lineRule="auto" w:line="240" w:before="0" w:after="120"/>
              <w:jc w:val="left"/>
              <w:rPr>
                <w:rFonts w:ascii="Arial" w:hAnsi="Arial" w:cs="Arial"/>
                <w:b/>
                <w:b/>
                <w:bCs/>
                <w:sz w:val="16"/>
                <w:szCs w:val="16"/>
              </w:rPr>
            </w:pPr>
            <w:r>
              <w:rPr>
                <w:rFonts w:cs="Arial" w:ascii="Arial" w:hAnsi="Arial"/>
                <w:b/>
                <w:bCs/>
                <w:sz w:val="16"/>
                <w:szCs w:val="16"/>
              </w:rPr>
              <w:t>480,58</w:t>
            </w:r>
          </w:p>
        </w:tc>
      </w:tr>
    </w:tbl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          </w:t>
      </w:r>
      <w:r>
        <w:rPr>
          <w:rFonts w:cs="Arial" w:ascii="Arial" w:hAnsi="Arial"/>
          <w:b/>
          <w:bCs/>
        </w:rPr>
        <w:t xml:space="preserve">Čl. VI  </w:t>
      </w:r>
    </w:p>
    <w:p>
      <w:pPr>
        <w:pStyle w:val="Normal"/>
        <w:spacing w:lineRule="auto" w:line="240"/>
        <w:rPr>
          <w:rFonts w:ascii="Arial" w:hAnsi="Arial" w:cs="Arial"/>
          <w:b/>
          <w:b/>
          <w:bCs/>
        </w:rPr>
      </w:pPr>
      <w:r>
        <w:rPr>
          <w:rFonts w:cs="Arial" w:ascii="Arial" w:hAnsi="Arial"/>
          <w:b/>
          <w:bCs/>
        </w:rPr>
        <w:t xml:space="preserve">                                                                   </w:t>
      </w:r>
      <w:r>
        <w:rPr>
          <w:rFonts w:cs="Arial" w:ascii="Arial" w:hAnsi="Arial"/>
          <w:b/>
          <w:bCs/>
        </w:rPr>
        <w:t>ďalšie informácie</w:t>
      </w:r>
    </w:p>
    <w:p>
      <w:pPr>
        <w:pStyle w:val="Normal"/>
        <w:spacing w:lineRule="auto" w:line="240"/>
        <w:rPr/>
      </w:pPr>
      <w:bookmarkStart w:id="2" w:name="__UnoMark__1263_2268198812"/>
      <w:bookmarkEnd w:id="2"/>
      <w:r>
        <w:rPr>
          <w:rFonts w:cs="Arial" w:ascii="Arial" w:hAnsi="Arial"/>
          <w:sz w:val="16"/>
          <w:szCs w:val="16"/>
        </w:rPr>
        <w:t>Po 31.12.2020 nenastali také skutočnosti, ktoré by si vyžadovali zverejnenie, alebo vykázanie v účtovnej závierke za rok 2020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Tahoma" w:hAnsi="Tahoma" w:eastAsia="Tahoma" w:cs="Tahoma"/>
          <w:sz w:val="28"/>
        </w:rPr>
      </w:pPr>
      <w:r>
        <w:rPr>
          <w:rFonts w:eastAsia="Tahoma" w:cs="Arial" w:ascii="Arial" w:hAnsi="Arial"/>
          <w:sz w:val="16"/>
          <w:szCs w:val="16"/>
        </w:rPr>
        <w:t xml:space="preserve">Zvážili sme všetky potenciálne dopady COVID-19 na naše aktivity organizácie a dospeli sme k záveru, že nemajú významný vplyv na našu schopnosť pokračovať nepretržite v činnosti. Pretože sa situácia stále vyvíja a dopady sa stále prehlbujú, vedenie účtovnej jednotky si nemyslí, že je možné poskytnúť kvantitatívne odhady potencionálneho vplyvu súčasnej situácie na účtovnú jednotku. </w:t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/>
        <w:rPr>
          <w:rFonts w:ascii="Arial" w:hAnsi="Arial" w:cs="Arial"/>
          <w:sz w:val="16"/>
          <w:szCs w:val="16"/>
        </w:rPr>
      </w:pPr>
      <w:r>
        <w:rPr>
          <w:rFonts w:cs="Arial" w:ascii="Arial" w:hAnsi="Arial"/>
          <w:sz w:val="16"/>
          <w:szCs w:val="16"/>
        </w:rPr>
      </w:r>
    </w:p>
    <w:p>
      <w:pPr>
        <w:pStyle w:val="Normal"/>
        <w:spacing w:lineRule="auto" w:line="240" w:before="0" w:after="120"/>
        <w:jc w:val="left"/>
        <w:rPr/>
      </w:pPr>
      <w:r>
        <w:rPr/>
      </w:r>
    </w:p>
    <w:sectPr>
      <w:footerReference w:type="default" r:id="rId2"/>
      <w:footerReference w:type="first" r:id="rId3"/>
      <w:type w:val="nextPage"/>
      <w:pgSz w:w="11906" w:h="16838"/>
      <w:pgMar w:left="720" w:right="720" w:header="0" w:top="720" w:footer="709" w:bottom="766" w:gutter="0"/>
      <w:pgNumType w:start="7" w:fmt="decimal"/>
      <w:formProt w:val="false"/>
      <w:titlePg/>
      <w:textDirection w:val="lrTb"/>
      <w:docGrid w:type="default" w:linePitch="272" w:charSpace="20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Tahoma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ind w:right="360" w:hanging="0"/>
      <w:rPr/>
    </w:pPr>
    <w:r>
      <w:rPr/>
      <mc:AlternateContent>
        <mc:Choice Requires="wps">
          <w:drawing>
            <wp:anchor behindDoc="1" distT="0" distB="0" distL="0" distR="0" simplePos="0" locked="0" layoutInCell="1" allowOverlap="1" relativeHeight="6">
              <wp:simplePos x="0" y="0"/>
              <wp:positionH relativeFrom="margin">
                <wp:align>right</wp:align>
              </wp:positionH>
              <wp:positionV relativeFrom="paragraph">
                <wp:posOffset>635</wp:posOffset>
              </wp:positionV>
              <wp:extent cx="182245" cy="250825"/>
              <wp:effectExtent l="0" t="0" r="0" b="0"/>
              <wp:wrapSquare wrapText="largest"/>
              <wp:docPr id="1" name="Rámec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1440" cy="250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Pta"/>
                            <w:spacing w:before="120" w:after="12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instrText> PAGE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lIns="0" rIns="0" t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Rámec1" stroked="f" style="position:absolute;margin-left:508.95pt;margin-top:0.05pt;width:14.25pt;height:19.65pt;mso-position-horizontal:right;mso-position-horizontal-relative:margin">
              <w10:wrap type="square"/>
              <v:fill o:detectmouseclick="t" on="false"/>
              <v:stroke color="#3465a4" joinstyle="round" endcap="flat"/>
              <v:textbox>
                <w:txbxContent>
                  <w:p>
                    <w:pPr>
                      <w:pStyle w:val="Pta"/>
                      <w:spacing w:before="120" w:after="12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fldChar w:fldCharType="begin"/>
                    </w:r>
                    <w:r>
                      <w:instrText> PAGE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</w:p>
                </w:txbxContent>
              </v:textbox>
            </v:rect>
          </w:pict>
        </mc:Fallback>
      </mc:AlternateContent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spacing w:before="120" w:after="120"/>
      <w:jc w:val="right"/>
      <w:rPr/>
    </w:pPr>
    <w:r>
      <w:rPr/>
      <w:fldChar w:fldCharType="begin"/>
    </w:r>
    <w:r>
      <w:instrText> PAGE </w:instrText>
    </w:r>
    <w:r>
      <w:fldChar w:fldCharType="separate"/>
    </w:r>
    <w:r>
      <w:t>7</w:t>
    </w:r>
    <w:r>
      <w:fldChar w:fldCharType="end"/>
    </w:r>
  </w:p>
  <w:p>
    <w:pPr>
      <w:pStyle w:val="Pta"/>
      <w:tabs>
        <w:tab w:val="center" w:pos="4536" w:leader="none"/>
        <w:tab w:val="right" w:pos="9072" w:leader="none"/>
      </w:tabs>
      <w:spacing w:before="120" w:after="120"/>
      <w:rPr/>
    </w:pPr>
    <w:r>
      <w:rPr/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pStyle w:val="Nadpis1"/>
      <w:numFmt w:val="upperRoman"/>
      <w:suff w:val="nothing"/>
      <w:lvlText w:val="Čl. %1."/>
      <w:lvlJc w:val="center"/>
      <w:pPr>
        <w:ind w:left="0" w:hanging="0"/>
      </w:pPr>
      <w:rPr>
        <w:sz w:val="24"/>
        <w:i w:val="false"/>
        <w:b/>
        <w:szCs w:val="24"/>
        <w:iCs w:val="false"/>
        <w:bCs/>
        <w:rFonts w:cs="Arial"/>
      </w:r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</w:numbering>
</file>

<file path=word/settings.xml><?xml version="1.0" encoding="utf-8"?>
<w:settings xmlns:w="http://schemas.openxmlformats.org/wordprocessingml/2006/main">
  <w:zoom w:percent="100"/>
  <w:embedSystemFonts/>
  <w:defaultTabStop w:val="708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szCs w:val="22"/>
        <w:lang w:val="sk-SK" w:eastAsia="sk-SK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Title" w:uiPriority="10" w:semiHidden="0" w:unhideWhenUsed="0" w:qFormat="1"/>
    <w:lsdException w:name="Default Paragraph Font" w:unhideWhenUsed="0"/>
    <w:lsdException w:name="Subtitle" w:uiPriority="11" w:semiHidden="0" w:unhideWhenUsed="0" w:qFormat="1"/>
    <w:lsdException w:name="Strong" w:semiHidden="0" w:unhideWhenUsed="0" w:qFormat="1"/>
    <w:lsdException w:name="Emphasis" w:uiPriority="20" w:semiHidden="0" w:unhideWhenUsed="0" w:qFormat="1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91dcc"/>
    <w:pPr>
      <w:widowControl/>
      <w:bidi w:val="0"/>
      <w:spacing w:lineRule="auto" w:line="240" w:before="0" w:after="0"/>
      <w:jc w:val="both"/>
    </w:pPr>
    <w:rPr>
      <w:rFonts w:ascii="Arial Narrow" w:hAnsi="Arial Narrow" w:eastAsia="Times New Roman" w:cs="Arial Narrow"/>
      <w:color w:val="00000A"/>
      <w:sz w:val="20"/>
      <w:szCs w:val="20"/>
      <w:lang w:val="sk-SK" w:eastAsia="cs-CZ" w:bidi="ar-SA"/>
    </w:rPr>
  </w:style>
  <w:style w:type="paragraph" w:styleId="Nadpis1">
    <w:name w:val="Heading 1"/>
    <w:basedOn w:val="Normal"/>
    <w:link w:val="Nadpis1Char"/>
    <w:uiPriority w:val="99"/>
    <w:qFormat/>
    <w:rsid w:val="00d440d5"/>
    <w:pPr>
      <w:keepNext/>
      <w:numPr>
        <w:ilvl w:val="0"/>
        <w:numId w:val="1"/>
      </w:numPr>
      <w:spacing w:lineRule="auto" w:line="240"/>
      <w:jc w:val="center"/>
      <w:outlineLvl w:val="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Heading 2"/>
    <w:basedOn w:val="Normal"/>
    <w:link w:val="Nadpis2Char"/>
    <w:uiPriority w:val="99"/>
    <w:qFormat/>
    <w:rsid w:val="00d440d5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rsid w:val="004056c5"/>
    <w:rPr>
      <w:rFonts w:ascii="Cambria" w:hAnsi="Cambria" w:cs="Cambria"/>
      <w:b/>
      <w:bCs/>
      <w:sz w:val="32"/>
      <w:szCs w:val="32"/>
      <w:lang w:eastAsia="cs-CZ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rsid w:val="004056c5"/>
    <w:rPr>
      <w:rFonts w:ascii="Cambria" w:hAnsi="Cambria" w:cs="Cambria"/>
      <w:b/>
      <w:bCs/>
      <w:i/>
      <w:iCs/>
      <w:sz w:val="28"/>
      <w:szCs w:val="28"/>
      <w:lang w:eastAsia="cs-CZ"/>
    </w:rPr>
  </w:style>
  <w:style w:type="character" w:styleId="TltlnzovChar115ptAntiqueOliveNiejeTun" w:customStyle="1">
    <w:name w:val="Štýl Štýl § názov Char + 115 pt + Antique Olive Nie je Tučné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link w:val="Pta"/>
    <w:uiPriority w:val="99"/>
    <w:qFormat/>
    <w:rsid w:val="004056c5"/>
    <w:rPr>
      <w:rFonts w:ascii="Arial" w:hAnsi="Arial" w:cs="Arial"/>
      <w:sz w:val="24"/>
      <w:szCs w:val="24"/>
      <w:lang w:eastAsia="cs-CZ"/>
    </w:rPr>
  </w:style>
  <w:style w:type="character" w:styleId="Pagenumber">
    <w:name w:val="page number"/>
    <w:basedOn w:val="DefaultParagraphFont"/>
    <w:uiPriority w:val="99"/>
    <w:qFormat/>
    <w:rsid w:val="0072048d"/>
    <w:rPr/>
  </w:style>
  <w:style w:type="character" w:styleId="Strong">
    <w:name w:val="Strong"/>
    <w:basedOn w:val="DefaultParagraphFont"/>
    <w:uiPriority w:val="99"/>
    <w:qFormat/>
    <w:rsid w:val="00db3c2d"/>
    <w:rPr>
      <w:b/>
      <w:bCs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c770ad"/>
    <w:rPr>
      <w:rFonts w:ascii="Arial Narrow" w:hAnsi="Arial Narrow" w:cs="Arial Narrow"/>
      <w:sz w:val="24"/>
      <w:szCs w:val="24"/>
      <w:lang w:eastAsia="cs-CZ"/>
    </w:rPr>
  </w:style>
  <w:style w:type="character" w:styleId="ListLabel1" w:customStyle="1">
    <w:name w:val="ListLabel 1"/>
    <w:qFormat/>
    <w:rPr>
      <w:rFonts w:cs="Arial"/>
      <w:b/>
      <w:bCs/>
      <w:i w:val="false"/>
      <w:iCs w:val="false"/>
      <w:sz w:val="24"/>
      <w:szCs w:val="24"/>
    </w:rPr>
  </w:style>
  <w:style w:type="character" w:styleId="ListLabel2" w:customStyle="1">
    <w:name w:val="ListLabel 2"/>
    <w:qFormat/>
    <w:rPr>
      <w:b w:val="false"/>
      <w:bCs w:val="false"/>
      <w:i w:val="false"/>
      <w:iCs w:val="false"/>
    </w:rPr>
  </w:style>
  <w:style w:type="character" w:styleId="ListLabel3" w:customStyle="1">
    <w:name w:val="ListLabel 3"/>
    <w:qFormat/>
    <w:rPr>
      <w:rFonts w:cs="Arial"/>
      <w:b/>
      <w:bCs/>
      <w:i w:val="false"/>
      <w:iCs w:val="false"/>
      <w:sz w:val="24"/>
      <w:szCs w:val="24"/>
    </w:rPr>
  </w:style>
  <w:style w:type="character" w:styleId="ListLabel4" w:customStyle="1">
    <w:name w:val="ListLabel 4"/>
    <w:qFormat/>
    <w:rPr>
      <w:b w:val="false"/>
      <w:bCs w:val="false"/>
      <w:i w:val="false"/>
      <w:iCs w:val="false"/>
    </w:rPr>
  </w:style>
  <w:style w:type="character" w:styleId="ListLabel5" w:customStyle="1">
    <w:name w:val="ListLabel 5"/>
    <w:qFormat/>
    <w:rPr>
      <w:b/>
      <w:bCs/>
      <w:i w:val="false"/>
      <w:iCs w:val="false"/>
    </w:rPr>
  </w:style>
  <w:style w:type="character" w:styleId="ListLabel6" w:customStyle="1">
    <w:name w:val="ListLabel 6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7" w:customStyle="1">
    <w:name w:val="ListLabel 7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8" w:customStyle="1">
    <w:name w:val="ListLabel 8"/>
    <w:qFormat/>
    <w:rPr>
      <w:rFonts w:cs="Arial Narrow"/>
      <w:b w:val="false"/>
      <w:bCs w:val="false"/>
      <w:i w:val="false"/>
      <w:iCs w:val="false"/>
      <w:caps w:val="false"/>
      <w:smallCaps w:val="false"/>
      <w:strike w:val="false"/>
      <w:dstrike w:val="false"/>
      <w:vanish w:val="false"/>
      <w:color w:val="00000A"/>
      <w:spacing w:val="0"/>
      <w:w w:val="100"/>
      <w:position w:val="0"/>
      <w:sz w:val="24"/>
      <w:sz w:val="24"/>
      <w:szCs w:val="24"/>
      <w:u w:val="none"/>
      <w:vertAlign w:val="baseline"/>
    </w:rPr>
  </w:style>
  <w:style w:type="character" w:styleId="ListLabel9" w:customStyle="1">
    <w:name w:val="ListLabel 9"/>
    <w:qFormat/>
    <w:rPr>
      <w:rFonts w:eastAsia="Times New Roman"/>
    </w:rPr>
  </w:style>
  <w:style w:type="character" w:styleId="ListLabel10" w:customStyle="1">
    <w:name w:val="ListLabel 10"/>
    <w:qFormat/>
    <w:rPr>
      <w:rFonts w:cs="Courier New"/>
    </w:rPr>
  </w:style>
  <w:style w:type="character" w:styleId="ListLabel11" w:customStyle="1">
    <w:name w:val="ListLabel 11"/>
    <w:qFormat/>
    <w:rPr>
      <w:rFonts w:cs="Wingdings"/>
    </w:rPr>
  </w:style>
  <w:style w:type="character" w:styleId="ListLabel12" w:customStyle="1">
    <w:name w:val="ListLabel 12"/>
    <w:qFormat/>
    <w:rPr>
      <w:rFonts w:cs="Symbol"/>
    </w:rPr>
  </w:style>
  <w:style w:type="character" w:styleId="ListLabel13" w:customStyle="1">
    <w:name w:val="ListLabel 13"/>
    <w:qFormat/>
    <w:rPr>
      <w:rFonts w:cs="Courier New"/>
    </w:rPr>
  </w:style>
  <w:style w:type="character" w:styleId="ListLabel14" w:customStyle="1">
    <w:name w:val="ListLabel 14"/>
    <w:qFormat/>
    <w:rPr>
      <w:rFonts w:cs="Wingdings"/>
    </w:rPr>
  </w:style>
  <w:style w:type="character" w:styleId="ListLabel15" w:customStyle="1">
    <w:name w:val="ListLabel 15"/>
    <w:qFormat/>
    <w:rPr>
      <w:rFonts w:cs="Symbol"/>
    </w:rPr>
  </w:style>
  <w:style w:type="character" w:styleId="ListLabel16" w:customStyle="1">
    <w:name w:val="ListLabel 16"/>
    <w:qFormat/>
    <w:rPr>
      <w:rFonts w:cs="Courier New"/>
    </w:rPr>
  </w:style>
  <w:style w:type="character" w:styleId="ListLabel17" w:customStyle="1">
    <w:name w:val="ListLabel 17"/>
    <w:qFormat/>
    <w:rPr>
      <w:rFonts w:cs="Wingdings"/>
    </w:rPr>
  </w:style>
  <w:style w:type="character" w:styleId="ListLabel18" w:customStyle="1">
    <w:name w:val="ListLabel 18"/>
    <w:qFormat/>
    <w:rPr>
      <w:rFonts w:cs="Arial"/>
      <w:b/>
      <w:bCs/>
      <w:i w:val="false"/>
      <w:iCs w:val="false"/>
      <w:sz w:val="24"/>
      <w:szCs w:val="24"/>
    </w:rPr>
  </w:style>
  <w:style w:type="character" w:styleId="ListLabel19" w:customStyle="1">
    <w:name w:val="ListLabel 19"/>
    <w:qFormat/>
    <w:rPr>
      <w:rFonts w:cs="Arial"/>
      <w:b/>
      <w:bCs/>
      <w:i w:val="false"/>
      <w:iCs w:val="false"/>
      <w:sz w:val="24"/>
      <w:szCs w:val="24"/>
    </w:rPr>
  </w:style>
  <w:style w:type="character" w:styleId="ListLabel20" w:customStyle="1">
    <w:name w:val="ListLabel 20"/>
    <w:qFormat/>
    <w:rPr>
      <w:rFonts w:cs="Arial"/>
      <w:b/>
      <w:bCs/>
      <w:i w:val="false"/>
      <w:iCs w:val="false"/>
      <w:sz w:val="24"/>
      <w:szCs w:val="24"/>
    </w:rPr>
  </w:style>
  <w:style w:type="character" w:styleId="ListLabel243" w:customStyle="1">
    <w:name w:val="ListLabel 243"/>
    <w:qFormat/>
    <w:rPr>
      <w:b/>
      <w:i w:val="false"/>
    </w:rPr>
  </w:style>
  <w:style w:type="character" w:styleId="ListLabel244" w:customStyle="1">
    <w:name w:val="ListLabel 244"/>
    <w:qFormat/>
    <w:rPr>
      <w:b w:val="false"/>
      <w:i w:val="false"/>
      <w:sz w:val="16"/>
    </w:rPr>
  </w:style>
  <w:style w:type="character" w:styleId="ListLabel245" w:customStyle="1">
    <w:name w:val="ListLabel 245"/>
    <w:qFormat/>
    <w:rPr>
      <w:b w:val="false"/>
      <w:i w:val="false"/>
    </w:rPr>
  </w:style>
  <w:style w:type="character" w:styleId="Zarkazkladnhotextu2Char" w:customStyle="1">
    <w:name w:val="Zarážka základného textu 2 Char"/>
    <w:basedOn w:val="DefaultParagraphFont"/>
    <w:link w:val="Zarkazkladnhotextu2"/>
    <w:uiPriority w:val="99"/>
    <w:semiHidden/>
    <w:qFormat/>
    <w:rsid w:val="00dc55c1"/>
    <w:rPr>
      <w:rFonts w:ascii="Arial Narrow" w:hAnsi="Arial Narrow" w:cs="Arial Narrow"/>
      <w:color w:val="00000A"/>
      <w:szCs w:val="20"/>
      <w:lang w:eastAsia="cs-CZ"/>
    </w:rPr>
  </w:style>
  <w:style w:type="character" w:styleId="ListLabel246">
    <w:name w:val="ListLabel 246"/>
    <w:qFormat/>
    <w:rPr>
      <w:rFonts w:cs="Arial"/>
      <w:b/>
      <w:bCs/>
      <w:i w:val="false"/>
      <w:iCs w:val="false"/>
      <w:sz w:val="24"/>
      <w:szCs w:val="24"/>
    </w:rPr>
  </w:style>
  <w:style w:type="character" w:styleId="ListLabel247">
    <w:name w:val="ListLabel 247"/>
    <w:qFormat/>
    <w:rPr>
      <w:rFonts w:cs="Arial"/>
      <w:b/>
      <w:bCs/>
      <w:i w:val="false"/>
      <w:iCs w:val="false"/>
      <w:sz w:val="24"/>
      <w:szCs w:val="24"/>
    </w:rPr>
  </w:style>
  <w:style w:type="character" w:styleId="ListLabel248">
    <w:name w:val="ListLabel 248"/>
    <w:qFormat/>
    <w:rPr>
      <w:rFonts w:cs="Arial"/>
      <w:b/>
      <w:bCs/>
      <w:i w:val="false"/>
      <w:iCs w:val="false"/>
      <w:sz w:val="24"/>
      <w:szCs w:val="24"/>
    </w:rPr>
  </w:style>
  <w:style w:type="character" w:styleId="ListLabel249">
    <w:name w:val="ListLabel 249"/>
    <w:qFormat/>
    <w:rPr>
      <w:rFonts w:cs="Arial"/>
      <w:b/>
      <w:bCs/>
      <w:i w:val="false"/>
      <w:iCs w:val="false"/>
      <w:sz w:val="24"/>
      <w:szCs w:val="24"/>
    </w:rPr>
  </w:style>
  <w:style w:type="character" w:styleId="ListLabel250">
    <w:name w:val="ListLabel 250"/>
    <w:qFormat/>
    <w:rPr>
      <w:rFonts w:cs="Arial"/>
      <w:b/>
      <w:bCs/>
      <w:i w:val="false"/>
      <w:iCs w:val="false"/>
      <w:sz w:val="24"/>
      <w:szCs w:val="24"/>
    </w:rPr>
  </w:style>
  <w:style w:type="character" w:styleId="ListLabel251">
    <w:name w:val="ListLabel 251"/>
    <w:qFormat/>
    <w:rPr>
      <w:rFonts w:cs="Arial"/>
      <w:b/>
      <w:bCs/>
      <w:i w:val="false"/>
      <w:iCs w:val="false"/>
      <w:sz w:val="24"/>
      <w:szCs w:val="24"/>
    </w:rPr>
  </w:style>
  <w:style w:type="character" w:styleId="ListLabel252">
    <w:name w:val="ListLabel 252"/>
    <w:qFormat/>
    <w:rPr>
      <w:rFonts w:cs="Arial"/>
      <w:b/>
      <w:bCs/>
      <w:i w:val="false"/>
      <w:iCs w:val="false"/>
      <w:sz w:val="24"/>
      <w:szCs w:val="24"/>
    </w:rPr>
  </w:style>
  <w:style w:type="character" w:styleId="ListLabel253">
    <w:name w:val="ListLabel 253"/>
    <w:qFormat/>
    <w:rPr>
      <w:rFonts w:cs="Arial"/>
      <w:b/>
      <w:bCs/>
      <w:i w:val="false"/>
      <w:iCs w:val="false"/>
      <w:sz w:val="24"/>
      <w:szCs w:val="24"/>
    </w:rPr>
  </w:style>
  <w:style w:type="character" w:styleId="ListLabel254">
    <w:name w:val="ListLabel 254"/>
    <w:qFormat/>
    <w:rPr>
      <w:rFonts w:cs="Arial"/>
      <w:b/>
      <w:bCs/>
      <w:i w:val="false"/>
      <w:iCs w:val="false"/>
      <w:sz w:val="24"/>
      <w:szCs w:val="24"/>
    </w:rPr>
  </w:style>
  <w:style w:type="character" w:styleId="ListLabel255">
    <w:name w:val="ListLabel 255"/>
    <w:qFormat/>
    <w:rPr>
      <w:rFonts w:cs="Arial"/>
      <w:b/>
      <w:bCs/>
      <w:i w:val="false"/>
      <w:iCs w:val="false"/>
      <w:sz w:val="24"/>
      <w:szCs w:val="24"/>
    </w:rPr>
  </w:style>
  <w:style w:type="character" w:styleId="ListLabel256">
    <w:name w:val="ListLabel 256"/>
    <w:qFormat/>
    <w:rPr>
      <w:rFonts w:cs="Arial"/>
      <w:b/>
      <w:bCs/>
      <w:i w:val="false"/>
      <w:iCs w:val="false"/>
      <w:sz w:val="24"/>
      <w:szCs w:val="24"/>
    </w:rPr>
  </w:style>
  <w:style w:type="character" w:styleId="ListLabel257">
    <w:name w:val="ListLabel 257"/>
    <w:qFormat/>
    <w:rPr>
      <w:rFonts w:cs="Arial"/>
      <w:b/>
      <w:bCs/>
      <w:i w:val="false"/>
      <w:iCs w:val="false"/>
      <w:sz w:val="24"/>
      <w:szCs w:val="24"/>
    </w:rPr>
  </w:style>
  <w:style w:type="character" w:styleId="ListLabel258">
    <w:name w:val="ListLabel 258"/>
    <w:qFormat/>
    <w:rPr>
      <w:rFonts w:cs="Arial"/>
      <w:b/>
      <w:bCs/>
      <w:i w:val="false"/>
      <w:iCs w:val="false"/>
      <w:sz w:val="24"/>
      <w:szCs w:val="24"/>
    </w:rPr>
  </w:style>
  <w:style w:type="character" w:styleId="ListLabel259">
    <w:name w:val="ListLabel 259"/>
    <w:qFormat/>
    <w:rPr>
      <w:rFonts w:cs="Arial"/>
      <w:b/>
      <w:bCs/>
      <w:i w:val="false"/>
      <w:iCs w:val="false"/>
      <w:sz w:val="24"/>
      <w:szCs w:val="24"/>
    </w:rPr>
  </w:style>
  <w:style w:type="character" w:styleId="ListLabel260">
    <w:name w:val="ListLabel 260"/>
    <w:qFormat/>
    <w:rPr>
      <w:rFonts w:cs="Arial"/>
      <w:b/>
      <w:bCs/>
      <w:i w:val="false"/>
      <w:iCs w:val="false"/>
      <w:sz w:val="24"/>
      <w:szCs w:val="24"/>
    </w:rPr>
  </w:style>
  <w:style w:type="character" w:styleId="ListLabel261">
    <w:name w:val="ListLabel 261"/>
    <w:qFormat/>
    <w:rPr>
      <w:rFonts w:cs="Arial"/>
      <w:b/>
      <w:bCs/>
      <w:i w:val="false"/>
      <w:iCs w:val="false"/>
      <w:sz w:val="24"/>
      <w:szCs w:val="24"/>
    </w:rPr>
  </w:style>
  <w:style w:type="paragraph" w:styleId="Nadpis" w:customStyle="1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88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 w:customStyle="1">
    <w:name w:val="Index"/>
    <w:basedOn w:val="Normal"/>
    <w:qFormat/>
    <w:pPr>
      <w:suppressLineNumbers/>
    </w:pPr>
    <w:rPr>
      <w:rFonts w:cs="Arial"/>
    </w:rPr>
  </w:style>
  <w:style w:type="paragraph" w:styleId="Caption">
    <w:name w:val="caption"/>
    <w:basedOn w:val="Normal"/>
    <w:qFormat/>
    <w:pPr>
      <w:suppressLineNumbers/>
    </w:pPr>
    <w:rPr>
      <w:rFonts w:cs="Arial"/>
      <w:i/>
      <w:iCs/>
      <w:sz w:val="24"/>
      <w:szCs w:val="24"/>
    </w:rPr>
  </w:style>
  <w:style w:type="paragraph" w:styleId="Tl11ptTuniernaPodaokrajaVavo019cmRiadkova" w:customStyle="1">
    <w:name w:val="Štýl 11 pt Tučné Čierna Podľa okraja Vľavo:  019 cm Riadkova..."/>
    <w:uiPriority w:val="99"/>
    <w:qFormat/>
    <w:rsid w:val="00d71ffb"/>
    <w:pPr>
      <w:widowControl/>
      <w:bidi w:val="0"/>
      <w:spacing w:lineRule="auto" w:line="360"/>
      <w:jc w:val="both"/>
    </w:pPr>
    <w:rPr>
      <w:rFonts w:ascii="Arial" w:hAnsi="Arial" w:eastAsia="Times New Roman" w:cs="Arial"/>
      <w:color w:val="00000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bidi w:val="0"/>
      <w:spacing w:before="120" w:after="120"/>
      <w:jc w:val="left"/>
    </w:pPr>
    <w:rPr>
      <w:rFonts w:ascii="Arial" w:hAnsi="Arial" w:eastAsia="Times New Roman" w:cs="Arial"/>
      <w:b/>
      <w:bCs/>
      <w:color w:val="00000A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bidi w:val="0"/>
      <w:jc w:val="both"/>
    </w:pPr>
    <w:rPr>
      <w:rFonts w:ascii="Arial" w:hAnsi="Arial" w:eastAsia="Times New Roman" w:cs="Arial"/>
      <w:color w:val="00000A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spacing w:lineRule="auto" w:line="240"/>
    </w:pPr>
    <w:rPr/>
  </w:style>
  <w:style w:type="paragraph" w:styleId="Pta">
    <w:name w:val="Footer"/>
    <w:basedOn w:val="Normal"/>
    <w:link w:val="PtaChar"/>
    <w:uiPriority w:val="99"/>
    <w:rsid w:val="0072048d"/>
    <w:pPr>
      <w:tabs>
        <w:tab w:val="center" w:pos="4536" w:leader="none"/>
        <w:tab w:val="right" w:pos="9072" w:leader="none"/>
      </w:tabs>
    </w:pPr>
    <w:rPr>
      <w:rFonts w:ascii="Arial" w:hAnsi="Arial" w:cs="Arial"/>
      <w:sz w:val="24"/>
      <w:szCs w:val="24"/>
    </w:rPr>
  </w:style>
  <w:style w:type="paragraph" w:styleId="Normlny1" w:customStyle="1">
    <w:name w:val="Normálny1"/>
    <w:uiPriority w:val="99"/>
    <w:qFormat/>
    <w:rsid w:val="00a40be6"/>
    <w:pPr>
      <w:widowControl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00000A"/>
      <w:sz w:val="24"/>
      <w:szCs w:val="24"/>
      <w:lang w:val="sk-SK" w:eastAsia="cs-CZ" w:bidi="ar-SA"/>
    </w:rPr>
  </w:style>
  <w:style w:type="paragraph" w:styleId="Textopatrenia" w:customStyle="1">
    <w:name w:val="Text opatrenia"/>
    <w:uiPriority w:val="99"/>
    <w:qFormat/>
    <w:rsid w:val="00503a66"/>
    <w:pPr>
      <w:widowControl/>
      <w:bidi w:val="0"/>
      <w:spacing w:before="120" w:after="120"/>
      <w:jc w:val="both"/>
    </w:pPr>
    <w:rPr>
      <w:rFonts w:ascii="Arial Narrow" w:hAnsi="Arial Narrow" w:eastAsia="Times New Roman" w:cs="Arial Narrow"/>
      <w:color w:val="00000A"/>
      <w:sz w:val="20"/>
      <w:szCs w:val="22"/>
      <w:lang w:val="sk-SK" w:eastAsia="cs-CZ" w:bidi="ar-SA"/>
    </w:rPr>
  </w:style>
  <w:style w:type="paragraph" w:styleId="TopHeader" w:customStyle="1">
    <w:name w:val="Top Header"/>
    <w:basedOn w:val="Normal"/>
    <w:uiPriority w:val="99"/>
    <w:qFormat/>
    <w:rsid w:val="00322d87"/>
    <w:pPr>
      <w:spacing w:lineRule="auto" w:line="240" w:before="0" w:after="0"/>
      <w:jc w:val="center"/>
    </w:pPr>
    <w:rPr>
      <w:b/>
      <w:bCs/>
      <w:sz w:val="22"/>
      <w:szCs w:val="22"/>
      <w:lang w:eastAsia="en-US"/>
    </w:rPr>
  </w:style>
  <w:style w:type="paragraph" w:styleId="Hlavika">
    <w:name w:val="Header"/>
    <w:basedOn w:val="Normal"/>
    <w:link w:val="HlavikaChar"/>
    <w:uiPriority w:val="99"/>
    <w:rsid w:val="00c770ad"/>
    <w:pPr>
      <w:tabs>
        <w:tab w:val="center" w:pos="4536" w:leader="none"/>
        <w:tab w:val="right" w:pos="9072" w:leader="none"/>
      </w:tabs>
    </w:pPr>
    <w:rPr>
      <w:sz w:val="24"/>
      <w:szCs w:val="24"/>
    </w:rPr>
  </w:style>
  <w:style w:type="paragraph" w:styleId="Obsahrmca" w:customStyle="1">
    <w:name w:val="Obsah rámca"/>
    <w:basedOn w:val="Normal"/>
    <w:qFormat/>
    <w:pPr/>
    <w:rPr/>
  </w:style>
  <w:style w:type="paragraph" w:styleId="Obsahtabuky" w:customStyle="1">
    <w:name w:val="Obsah tabuľky"/>
    <w:basedOn w:val="Normal"/>
    <w:qFormat/>
    <w:pPr/>
    <w:rPr/>
  </w:style>
  <w:style w:type="paragraph" w:styleId="Nadpistabuky" w:customStyle="1">
    <w:name w:val="Nadpis tabuľky"/>
    <w:basedOn w:val="Obsahtabuky"/>
    <w:qFormat/>
    <w:pPr/>
    <w:rPr/>
  </w:style>
  <w:style w:type="paragraph" w:styleId="BodyTextIndent2">
    <w:name w:val="Body Text Indent 2"/>
    <w:basedOn w:val="Normal"/>
    <w:link w:val="Zarkazkladnhotextu2Char"/>
    <w:uiPriority w:val="99"/>
    <w:semiHidden/>
    <w:unhideWhenUsed/>
    <w:qFormat/>
    <w:rsid w:val="00dc55c1"/>
    <w:pPr>
      <w:spacing w:lineRule="auto" w:line="480"/>
      <w:ind w:left="283" w:hanging="0"/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rPr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footer" Target="footer2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60</TotalTime>
  <Application>LibreOffice/5.3.3.2$Windows_X86_64 LibreOffice_project/3d9a8b4b4e538a85e0782bd6c2d430bafe583448</Application>
  <Pages>6</Pages>
  <Words>1219</Words>
  <Characters>7330</Characters>
  <CharactersWithSpaces>8673</CharactersWithSpaces>
  <Paragraphs>320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2018-03-23T07:32:00Z</dcterms:created>
  <dc:creator>Vrbova</dc:creator>
  <dc:description/>
  <dc:language>sk-SK</dc:language>
  <cp:lastModifiedBy/>
  <cp:lastPrinted>2020-02-19T11:23:56Z</cp:lastPrinted>
  <dcterms:modified xsi:type="dcterms:W3CDTF">2021-04-08T11:10:08Z</dcterms:modified>
  <cp:revision>20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Company">
    <vt:lpwstr>MF-SR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