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_rels/chart1.xml.rels" ContentType="application/vnd.openxmlformats-package.relationships+xml"/>
  <Override PartName="/word/charts/_rels/chart2.xml.rels" ContentType="application/vnd.openxmlformats-package.relationships+xml"/>
  <Override PartName="/word/charts/_rels/chart3.xml.rels" ContentType="application/vnd.openxmlformats-package.relationships+xml"/>
  <Override PartName="/word/embeddings/Microsoft_Excel_Worksheet3.xlsx" ContentType="application/vnd.openxmlformats-officedocument.spreadsheetml.sheet"/>
  <Override PartName="/word/embeddings/Microsoft_Excel_Worksheet.xlsx" ContentType="application/vnd.openxmlformats-officedocument.spreadsheetml.sheet"/>
  <Override PartName="/word/embeddings/Microsoft_Excel_Worksheet2.xlsx" ContentType="application/vnd.openxmlformats-officedocument.spreadsheetml.sheet"/>
  <Override PartName="/word/embeddings/Microsoft_Excel_Worksheet1.xlsx" ContentType="application/vnd.openxmlformats-officedocument.spreadsheetml.sheet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 xml:space="preserve">TES MI s.r.o.  </w:t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40"/>
          <w:szCs w:val="40"/>
        </w:rPr>
      </w:pPr>
      <w:r>
        <w:rPr>
          <w:rFonts w:ascii="Times New Roman" w:hAnsi="Times New Roman"/>
          <w:sz w:val="40"/>
          <w:szCs w:val="40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b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 </w:t>
      </w:r>
      <w:r>
        <w:rPr>
          <w:rFonts w:ascii="Times New Roman" w:hAnsi="Times New Roman"/>
          <w:b/>
          <w:sz w:val="40"/>
          <w:szCs w:val="40"/>
        </w:rPr>
        <w:t>V Ý R O Č N Á    S P R Á V A</w:t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b/>
          <w:b/>
          <w:sz w:val="56"/>
          <w:szCs w:val="56"/>
        </w:rPr>
      </w:pPr>
      <w:r>
        <w:rPr>
          <w:rFonts w:ascii="Times New Roman" w:hAnsi="Times New Roman"/>
          <w:b/>
          <w:sz w:val="40"/>
          <w:szCs w:val="40"/>
        </w:rPr>
        <w:t xml:space="preserve">Z A  R O K  2 0 2 0  </w:t>
      </w:r>
    </w:p>
    <w:p>
      <w:pPr>
        <w:pStyle w:val="Normal"/>
        <w:tabs>
          <w:tab w:val="left" w:pos="1872" w:leader="none"/>
          <w:tab w:val="left" w:pos="2160" w:leader="none"/>
          <w:tab w:val="left" w:pos="4752" w:leader="none"/>
        </w:tabs>
        <w:spacing w:lineRule="atLeast" w:line="480" w:before="0" w:after="1440"/>
        <w:ind w:right="-12" w:hanging="0"/>
        <w:jc w:val="center"/>
        <w:rPr>
          <w:rFonts w:ascii="Times New Roman" w:hAnsi="Times New Roman"/>
          <w:b/>
          <w:b/>
          <w:sz w:val="30"/>
          <w:szCs w:val="30"/>
        </w:rPr>
      </w:pPr>
      <w:r>
        <w:rPr>
          <w:rFonts w:ascii="Times New Roman" w:hAnsi="Times New Roman"/>
          <w:b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______________________________________________________________________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Adresa:</w:t>
        <w:tab/>
        <w:t xml:space="preserve">TES MI s.r.o., Továrenská 2, 071 01 Michalovce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IČO:</w:t>
        <w:tab/>
        <w:tab/>
        <w:t>36 190 217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Telefón:</w:t>
        <w:tab/>
        <w:t>056/6884741</w:t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 B S A H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PREHĽAD FINANČNÝCH ÚDAJOV ZA ROKY 2018 - 2020</w:t>
        <w:tab/>
        <w:t xml:space="preserve">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SPRÁVA KONATEĽA O PODNIKATEĽSKEJ </w:t>
        <w:tab/>
        <w:t xml:space="preserve">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ČINNOSTI V ROKU 2020: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a) Informácie o vývoji účtovnej jednotky, o stave v ktorom sa nachádza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a o významných rizikách a neistotách, ktorým je účtovná jednotka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vystavená.</w:t>
      </w:r>
    </w:p>
    <w:p>
      <w:pPr>
        <w:pStyle w:val="Normal"/>
        <w:tabs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b) Informácie o udalostiach osobitného významu, ktoré nastali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po skončení účtovného obdobia, za ktoré sa vyhotovuje výročná správa.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c) Informácie o predpokladanom budúcom vývoji činnosti účtovnej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jednotky.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d) Informácia o nákladoch na činnosť v oblasti výskumu a vývoja.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e) Informácia o nadobúdaní vlastných obchodných podielov.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f) Návrh na schválenie účtovnej závierky a na rozdelenie zisku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alebo vyrovnanie straty.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g) Informácie o údajoch požadovaných podľa osobitných predpisov.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h) Informácie o tom, či účtovná jednotka má organizačnú zložku v zahraničí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ÚČTOVNÁ ZÁVIERKA ZA ROK 2020</w:t>
        <w:tab/>
        <w:tab/>
        <w:t xml:space="preserve">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- Bilancia (súvaha)</w:t>
        <w:tab/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- Výkaz ziskov a strát</w:t>
        <w:tab/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0" w:leader="none"/>
          <w:tab w:val="left" w:pos="2977" w:leader="none"/>
          <w:tab w:val="left" w:pos="7938" w:leader="none"/>
        </w:tabs>
        <w:ind w:right="152" w:firstLine="142"/>
        <w:jc w:val="right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0" w:leader="none"/>
          <w:tab w:val="left" w:pos="2977" w:leader="none"/>
          <w:tab w:val="left" w:pos="7938" w:leader="none"/>
        </w:tabs>
        <w:ind w:right="152" w:firstLine="142"/>
        <w:jc w:val="right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0" w:leader="none"/>
          <w:tab w:val="left" w:pos="2977" w:leader="none"/>
          <w:tab w:val="left" w:pos="7938" w:leader="none"/>
        </w:tabs>
        <w:ind w:right="152" w:firstLine="142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FINANČNÝCH ÚDAJOV ZA ROK 2018-2020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T R Ž B Y,  P R I D A N Á  H O D N O T A,  H O S P.   V Ý S L E D O K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2 0 1 8 – 2 0 2 0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  <w:tab w:val="right" w:pos="9203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</w:t>
      </w:r>
      <w:r>
        <w:rPr>
          <w:rFonts w:ascii="Times New Roman" w:hAnsi="Times New Roman"/>
          <w:sz w:val="26"/>
          <w:szCs w:val="26"/>
        </w:rPr>
        <w:drawing>
          <wp:inline distT="0" distB="0" distL="0" distR="0">
            <wp:extent cx="5241925" cy="4725670"/>
            <wp:effectExtent l="0" t="0" r="0" b="0"/>
            <wp:docPr id="1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"/>
              </a:graphicData>
            </a:graphic>
          </wp:inline>
        </w:drawing>
      </w:r>
      <w:r>
        <w:rPr>
          <w:rFonts w:ascii="Times New Roman" w:hAnsi="Times New Roman"/>
          <w:sz w:val="26"/>
          <w:szCs w:val="26"/>
        </w:rPr>
        <w:tab/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A K T Í VA  2018 – 2020                                 P A S Í V A 2018 - 2020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/>
        <w:drawing>
          <wp:inline distT="0" distB="0" distL="0" distR="0">
            <wp:extent cx="2625725" cy="3974465"/>
            <wp:effectExtent l="0" t="0" r="0" b="0"/>
            <wp:docPr id="2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"/>
              </a:graphicData>
            </a:graphic>
          </wp:inline>
        </w:drawing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center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PEŇAŽNÝCH TOKOV 2020</w:t>
      </w:r>
    </w:p>
    <w:p>
      <w:pPr>
        <w:pStyle w:val="Normal"/>
        <w:tabs>
          <w:tab w:val="left" w:pos="6440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/>
        <w:drawing>
          <wp:inline distT="0" distB="0" distL="0" distR="0">
            <wp:extent cx="5541010" cy="2978785"/>
            <wp:effectExtent l="0" t="0" r="0" b="0"/>
            <wp:docPr id="3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  <w:t xml:space="preserve">    </w:t>
      </w:r>
      <w:r>
        <w:rPr>
          <w:rFonts w:ascii="Times New Roman" w:hAnsi="Times New Roman"/>
          <w:i/>
          <w:sz w:val="26"/>
          <w:szCs w:val="26"/>
        </w:rPr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SPRÁVA KONATEĽOV O PODNIKATEĽSKEJ ČINNOSTI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V ROKU 2020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________________________________________________________________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a) Informácie o vývoji účtovnej jednotky, o stave v ktorom sa nachádza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a o významných rizikách a neistotách, ktorým je účtovná jednotka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vystavená.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Účtovná jednotka TES MI s.r.o. v priebehu roka 2020 vykonávala svoju činnosť v štandardnom režime bez mimoriadnych výkyvov, rizík a neistôt.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Odberateľom dodávala svoju produkciu v dohodnutých termínoch a štandardnej kvalite. Finančné záväzky voči svojím dodávateľom uhrádzala v termínoch splatnosti.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Pri úhrade vlastných pohľadávok sa nevyskytli problémy a pohľadávky boli uhrádzané dlžníkmi v termínoch splatnosti.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Celkovo možno hodnotiť vývoj spoločnosti ako štandardný a bezrizikový.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VÝKAZ ZISKOV A STRÁT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Ukazovatele efektívnosti hospodárenia:</w:t>
      </w:r>
    </w:p>
    <w:p>
      <w:pPr>
        <w:pStyle w:val="Normal"/>
        <w:tabs>
          <w:tab w:val="left" w:pos="2127" w:leader="none"/>
          <w:tab w:val="left" w:pos="3686" w:leader="none"/>
          <w:tab w:val="left" w:pos="4962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ab/>
        <w:tab/>
        <w:tab/>
        <w:t>k 31.12.2020</w:t>
        <w:tab/>
        <w:t xml:space="preserve">  k 31.12.2019</w:t>
      </w:r>
      <w:r>
        <w:rPr>
          <w:rFonts w:ascii="Times New Roman" w:hAnsi="Times New Roman"/>
          <w:sz w:val="22"/>
          <w:szCs w:val="22"/>
        </w:rPr>
        <w:tab/>
        <w:t xml:space="preserve">                                                                                                    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a) Rentabilita celkového kapitálu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Použiteľný zisk+úroky      1 093 295            </w:t>
      </w:r>
    </w:p>
    <w:p>
      <w:pPr>
        <w:pStyle w:val="Normal"/>
        <w:tabs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––––––––––––––––––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  x  100  =                        3,72 %</w:t>
        <w:tab/>
        <w:t xml:space="preserve">    3,58 %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Celkový kapitál k 1.1.      29 419 357   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b) Rentabilita vlastného kapitálu;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Použiteľný zisk                 1 080 000    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  x  100  =                       10,71 %</w:t>
        <w:tab/>
        <w:t xml:space="preserve">  10,32 %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Vlastný kapitál  k 1.1.     10 086 537   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c) Nákladová rentabilita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Hosp.výsledok               1 080 000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   </w:t>
      </w:r>
      <w:r>
        <w:rPr>
          <w:rFonts w:ascii="Times New Roman" w:hAnsi="Times New Roman"/>
          <w:sz w:val="22"/>
          <w:szCs w:val="22"/>
        </w:rPr>
        <w:t>=  ––––––––––   x   100    =                         5,54 %</w:t>
        <w:tab/>
        <w:t xml:space="preserve">    5,15 %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Celkové náklady          19 479 034  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d) Nákladovosť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Náklady celkom         19 479 034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529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</w:t>
      </w:r>
      <w:r>
        <w:rPr>
          <w:rFonts w:ascii="Times New Roman" w:hAnsi="Times New Roman"/>
          <w:sz w:val="22"/>
          <w:szCs w:val="22"/>
        </w:rPr>
        <w:t xml:space="preserve">= ––––––––––––  x   100     =                       94,75 % </w:t>
        <w:tab/>
        <w:t xml:space="preserve">     95,09 % 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Výnosy celkom          20 559 034    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BILANCIA  (SÚVAHA)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Analýza štruktúry majetku (aktív), popis obchodného majetku, stálych aktív, obežného majetku, ostatných aktív, %-tuálne zloženie,  medziročný pohyb. Analýza zdrojov (pasív), vlastného imania, cudzích zdrojov, ostatných pasív.</w:t>
      </w:r>
    </w:p>
    <w:p>
      <w:pPr>
        <w:pStyle w:val="Normal"/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ŠTRUKTÚRA MAJETKU A ZDROJOV</w:t>
      </w:r>
    </w:p>
    <w:tbl>
      <w:tblPr>
        <w:tblW w:w="9039" w:type="dxa"/>
        <w:jc w:val="left"/>
        <w:tblInd w:w="0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top w:w="0" w:type="dxa"/>
          <w:left w:w="85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950"/>
        <w:gridCol w:w="1559"/>
        <w:gridCol w:w="1189"/>
        <w:gridCol w:w="1647"/>
        <w:gridCol w:w="1189"/>
        <w:gridCol w:w="1504"/>
      </w:tblGrid>
      <w:tr>
        <w:trPr>
          <w:cantSplit w:val="true"/>
        </w:trPr>
        <w:tc>
          <w:tcPr>
            <w:tcW w:w="1950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 xml:space="preserve">Ukazovateľ </w:t>
            </w:r>
          </w:p>
          <w:p>
            <w:pPr>
              <w:pStyle w:val="Normal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(v eurách)</w:t>
            </w:r>
          </w:p>
        </w:tc>
        <w:tc>
          <w:tcPr>
            <w:tcW w:w="155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Stav k 31.12.2020</w:t>
            </w:r>
          </w:p>
        </w:tc>
        <w:tc>
          <w:tcPr>
            <w:tcW w:w="1189" w:type="dxa"/>
            <w:tcBorders>
              <w:top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</w:tcPr>
          <w:p>
            <w:pPr>
              <w:pStyle w:val="Normal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647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Stav k  31.12.2019</w:t>
            </w:r>
          </w:p>
        </w:tc>
        <w:tc>
          <w:tcPr>
            <w:tcW w:w="118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5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Rozdiel</w:t>
            </w:r>
          </w:p>
          <w:p>
            <w:pPr>
              <w:pStyle w:val="Normal"/>
              <w:jc w:val="center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2020 – 2019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Neob majetok</w:t>
            </w:r>
          </w:p>
        </w:tc>
        <w:tc>
          <w:tcPr>
            <w:tcW w:w="1559" w:type="dxa"/>
            <w:tcBorders>
              <w:top w:val="single" w:sz="18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12 842 203</w:t>
            </w:r>
          </w:p>
        </w:tc>
        <w:tc>
          <w:tcPr>
            <w:tcW w:w="1189" w:type="dxa"/>
            <w:tcBorders>
              <w:top w:val="single" w:sz="18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47,3</w:t>
            </w:r>
          </w:p>
        </w:tc>
        <w:tc>
          <w:tcPr>
            <w:tcW w:w="1647" w:type="dxa"/>
            <w:tcBorders>
              <w:top w:val="single" w:sz="18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12 628 716</w:t>
            </w:r>
          </w:p>
        </w:tc>
        <w:tc>
          <w:tcPr>
            <w:tcW w:w="1189" w:type="dxa"/>
            <w:tcBorders>
              <w:top w:val="single" w:sz="18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42,9</w:t>
            </w:r>
          </w:p>
        </w:tc>
        <w:tc>
          <w:tcPr>
            <w:tcW w:w="1504" w:type="dxa"/>
            <w:tcBorders>
              <w:top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+ 213 487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Obež majetok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14 280 836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52,6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16 777 174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57,0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-2 496 338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zásoby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688 525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2,5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  <w:lang w:val="en-US"/>
              </w:rPr>
            </w:pPr>
            <w:r>
              <w:rPr>
                <w:rFonts w:ascii="Times New Roman" w:hAnsi="Times New Roman"/>
                <w:i/>
                <w:sz w:val="22"/>
                <w:szCs w:val="22"/>
                <w:lang w:val="en-US"/>
              </w:rPr>
              <w:t>2 237 939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7,6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-1 549 414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pohľadávky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3 640 698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13,4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4 104 066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14,0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- 463 368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fin. majetok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9 951 613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36,7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10 435 169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35,4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- 483 556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16 012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0,1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13 467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0,1</w:t>
            </w:r>
          </w:p>
        </w:tc>
        <w:tc>
          <w:tcPr>
            <w:tcW w:w="1504" w:type="dxa"/>
            <w:tcBorders>
              <w:top w:val="single" w:sz="6" w:space="0" w:color="00000A"/>
              <w:right w:val="single" w:sz="18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+ 2 545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Aktíva celkom</w:t>
            </w:r>
          </w:p>
        </w:tc>
        <w:tc>
          <w:tcPr>
            <w:tcW w:w="1559" w:type="dxa"/>
            <w:tcBorders>
              <w:right w:val="single" w:sz="6" w:space="0" w:color="00000A"/>
              <w:insideV w:val="single" w:sz="6" w:space="0" w:color="00000A"/>
            </w:tcBorders>
            <w:shd w:color="auto" w:fill="auto" w:val="pct10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27 139 051</w:t>
            </w:r>
          </w:p>
        </w:tc>
        <w:tc>
          <w:tcPr>
            <w:tcW w:w="1189" w:type="dxa"/>
            <w:tcBorders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29 419 357</w:t>
            </w:r>
          </w:p>
        </w:tc>
        <w:tc>
          <w:tcPr>
            <w:tcW w:w="1189" w:type="dxa"/>
            <w:tcBorders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pct10"/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-2 280 306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Vlastné imanie </w:t>
            </w:r>
          </w:p>
        </w:tc>
        <w:tc>
          <w:tcPr>
            <w:tcW w:w="1559" w:type="dxa"/>
            <w:tcBorders>
              <w:top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10 071 278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37,1</w:t>
            </w:r>
          </w:p>
        </w:tc>
        <w:tc>
          <w:tcPr>
            <w:tcW w:w="164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10 086 537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34,3</w:t>
            </w:r>
          </w:p>
        </w:tc>
        <w:tc>
          <w:tcPr>
            <w:tcW w:w="1504" w:type="dxa"/>
            <w:tcBorders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- 15 259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Záväzky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17 067 773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62,9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19 332 820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65,7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-2 265 047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bankové úvery</w:t>
            </w:r>
          </w:p>
        </w:tc>
        <w:tc>
          <w:tcPr>
            <w:tcW w:w="1559" w:type="dxa"/>
            <w:tcBorders>
              <w:top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619 084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2,3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2 714 649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9,2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-2 095 565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504" w:type="dxa"/>
            <w:tcBorders>
              <w:top w:val="single" w:sz="6" w:space="0" w:color="00000A"/>
              <w:right w:val="single" w:sz="18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2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Pasíva celkom</w:t>
            </w:r>
          </w:p>
        </w:tc>
        <w:tc>
          <w:tcPr>
            <w:tcW w:w="1559" w:type="dxa"/>
            <w:tcBorders>
              <w:top w:val="single" w:sz="12" w:space="0" w:color="00000A"/>
              <w:bottom w:val="single" w:sz="18" w:space="0" w:color="00000A"/>
              <w:right w:val="single" w:sz="6" w:space="0" w:color="00000A"/>
              <w:insideH w:val="single" w:sz="18" w:space="0" w:color="00000A"/>
              <w:insideV w:val="single" w:sz="6" w:space="0" w:color="00000A"/>
            </w:tcBorders>
            <w:shd w:color="auto" w:fill="auto" w:val="pct10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27 139 051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6" w:space="0" w:color="00000A"/>
              <w:bottom w:val="single" w:sz="18" w:space="0" w:color="00000A"/>
              <w:right w:val="single" w:sz="6" w:space="0" w:color="00000A"/>
              <w:insideH w:val="single" w:sz="18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top w:val="single" w:sz="12" w:space="0" w:color="00000A"/>
              <w:left w:val="single" w:sz="6" w:space="0" w:color="00000A"/>
              <w:bottom w:val="single" w:sz="18" w:space="0" w:color="00000A"/>
              <w:right w:val="single" w:sz="6" w:space="0" w:color="00000A"/>
              <w:insideH w:val="single" w:sz="18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29 419 357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6" w:space="0" w:color="00000A"/>
              <w:bottom w:val="single" w:sz="18" w:space="0" w:color="00000A"/>
              <w:right w:val="single" w:sz="6" w:space="0" w:color="00000A"/>
              <w:insideH w:val="single" w:sz="18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-2 280 306</w:t>
            </w:r>
          </w:p>
        </w:tc>
      </w:tr>
    </w:tbl>
    <w:p>
      <w:pPr>
        <w:pStyle w:val="Normal"/>
        <w:tabs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5387" w:leader="none"/>
          <w:tab w:val="left" w:pos="6804" w:leader="none"/>
        </w:tabs>
        <w:ind w:left="5392" w:right="-12" w:hanging="0"/>
        <w:jc w:val="both"/>
        <w:rPr>
          <w:rFonts w:ascii="Times New Roman" w:hAnsi="Times New Roman"/>
          <w:b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              </w:t>
      </w:r>
      <w:r>
        <w:rPr>
          <w:rFonts w:ascii="Times New Roman" w:hAnsi="Times New Roman"/>
          <w:b/>
          <w:bCs/>
          <w:sz w:val="22"/>
          <w:szCs w:val="22"/>
        </w:rPr>
        <w:t>2020               2019</w:t>
      </w:r>
    </w:p>
    <w:p>
      <w:pPr>
        <w:pStyle w:val="Normal"/>
        <w:tabs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b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Miera krytia investičného majetku vlastným kapitálom: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Vlastný kapitál          10 071 278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 x 100 =                                    78,4 %           79,9 %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Stále aktíva                12 842 203</w:t>
      </w:r>
    </w:p>
    <w:p>
      <w:pPr>
        <w:pStyle w:val="Normal"/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Finančná stabilita  (koeficient samofinancovania):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Vlastný kapitál          10 071 278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  x 100 =                                   37,1 %</w:t>
        <w:tab/>
        <w:t xml:space="preserve">           34,3 %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sz w:val="22"/>
          <w:szCs w:val="22"/>
        </w:rPr>
        <w:t>Celkové aktíva          27 139 051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Celková zadlženosť (veriteľské riziko):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Cudzí kapitál             17 067 773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x 100 =</w:t>
        <w:tab/>
        <w:t xml:space="preserve">              62,9 %</w:t>
        <w:tab/>
        <w:t xml:space="preserve">           65,7 %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Celkové aktíva          27 139 051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Cs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Z toho úverová zadlženosť:</w:t>
      </w:r>
      <w:r>
        <w:rPr>
          <w:rFonts w:ascii="Times New Roman" w:hAnsi="Times New Roman"/>
          <w:bCs/>
          <w:sz w:val="22"/>
          <w:szCs w:val="22"/>
        </w:rPr>
        <w:tab/>
        <w:tab/>
        <w:t xml:space="preserve">                2,3 %</w:t>
        <w:tab/>
        <w:t xml:space="preserve">             9,2 %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Okamžitá likvidita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Finančný majetok                     9 951 613   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–––––––––––– =  3,279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záv.vč.úverov        3 034 349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0,2 - 0,5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Bežná likvidita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Obežný majetok - zásoby          13 592 311       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 =  4,479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záväzky + úvery     3 034 349          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1,0 - 1,5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Celková likvidita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Obežný majetok                      14 280 836      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 =   4,706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záv.vč.úverov        3 034 349  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2,0 - 2,5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left="426"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left="426"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ab/>
        <w:tab/>
        <w:t xml:space="preserve">        </w:t>
        <w:tab/>
        <w:t xml:space="preserve">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  <w:u w:val="single"/>
        </w:rPr>
        <w:t>Pracovný kapitál:</w:t>
      </w:r>
      <w:r>
        <w:rPr>
          <w:rFonts w:ascii="Times New Roman" w:hAnsi="Times New Roman"/>
          <w:b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>(obežný majetok - krátkodobé záväzky)</w:t>
      </w:r>
      <w:r>
        <w:rPr>
          <w:rFonts w:ascii="Times New Roman" w:hAnsi="Times New Roman"/>
          <w:b/>
          <w:sz w:val="22"/>
          <w:szCs w:val="22"/>
        </w:rPr>
        <w:t xml:space="preserve"> </w:t>
      </w:r>
    </w:p>
    <w:p>
      <w:pPr>
        <w:pStyle w:val="Normal"/>
        <w:tabs>
          <w:tab w:val="left" w:pos="2977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14 280 836 – 3 034 349 =  11 246 487 eur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b) Informácie o udalostiach osobitného významu, ktoré nastali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po skončení účtovného obdobia, za ktoré sa vyhotovuje výročná správa.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Po skončení účtovného obdobia nenastali skutočnosti osobitného významu, ktoré by bolo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potrebné uviesť vo výročnej správe.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c) Informácie o predpokladanom budúcom vývoji činnosti účtovnej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jednotky.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Účtovná jednotka bude pokračovať vo svojej činnosti v rozsahu roku 2020.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d) Informácia o nákladoch na činnosť v oblasti výskumu a vývoja.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  <w:r>
        <w:rPr>
          <w:rFonts w:ascii="Times New Roman" w:hAnsi="Times New Roman"/>
          <w:sz w:val="22"/>
          <w:szCs w:val="22"/>
        </w:rPr>
        <w:t xml:space="preserve">Spoločnosť nečerpala žiadne náklady na vedu a výskum.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e) Informácia o nadobúdaní vlastných obchodných podielov.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Spoločnosť nenadobudla žiadne vlastné obchodné podiely.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f) Návrh na schválenie účtovnej závierky za rok 2020 a na rozdelenie zisku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</w:t>
      </w:r>
      <w:r>
        <w:rPr>
          <w:rFonts w:ascii="Times New Roman" w:hAnsi="Times New Roman"/>
          <w:b/>
          <w:sz w:val="22"/>
          <w:szCs w:val="22"/>
        </w:rPr>
        <w:t>alebo vyrovnanie straty.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Konateľ TES MI s.r.o. v zmysle spoločenskej zmluvy po preskúmaní ročnej účtovnej závierky a výročnej správy za rok 2020 a správy audítora, predkladá  valnému zhromaždeniu na  schválenie návrh:</w:t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1. Schváliť účtovnú závierku a výročnú správu za rok 2020.</w:t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2. Hospodársky výsledok zisk + 1 035 167,46 € zúčtovať nasledovne: </w:t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 </w:t>
      </w:r>
      <w:r>
        <w:rPr>
          <w:rFonts w:ascii="Times New Roman" w:hAnsi="Times New Roman"/>
          <w:sz w:val="22"/>
          <w:szCs w:val="22"/>
        </w:rPr>
        <w:t xml:space="preserve">900 000.- €, podiel na zisku materskej spoločnosti   </w:t>
      </w:r>
    </w:p>
    <w:p>
      <w:pPr>
        <w:pStyle w:val="Normal"/>
        <w:tabs>
          <w:tab w:val="left" w:pos="1134" w:leader="none"/>
        </w:tabs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</w:t>
      </w:r>
      <w:r>
        <w:rPr>
          <w:rFonts w:ascii="Times New Roman" w:hAnsi="Times New Roman"/>
          <w:sz w:val="22"/>
          <w:szCs w:val="22"/>
        </w:rPr>
        <w:t xml:space="preserve">68 360.- €, podiel na zisku menšinových vlastníkov </w:t>
        <w:tab/>
        <w:t xml:space="preserve">    </w:t>
      </w:r>
    </w:p>
    <w:p>
      <w:pPr>
        <w:pStyle w:val="Normal"/>
        <w:tabs>
          <w:tab w:val="left" w:pos="1134" w:leader="none"/>
        </w:tabs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             66 807,46 €, v prospech nerozdeleného zisku minulých rokov                   </w:t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ab/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g) Informácie o údajoch požadovaných podľa osobitných predpisov.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  <w:r>
        <w:rPr>
          <w:rFonts w:ascii="Times New Roman" w:hAnsi="Times New Roman"/>
          <w:sz w:val="22"/>
          <w:szCs w:val="22"/>
        </w:rPr>
        <w:t xml:space="preserve">Pre spoločnosť bezpredmetné.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h) Informácie o tom, či účtovná jednotka má organizačnú zložku v zahraničí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    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        </w:t>
      </w:r>
      <w:r>
        <w:rPr>
          <w:rFonts w:ascii="Times New Roman" w:hAnsi="Times New Roman"/>
          <w:sz w:val="22"/>
          <w:szCs w:val="22"/>
        </w:rPr>
        <w:t xml:space="preserve">Účtovná jednotka nemá organizačnú zložku v zahraničí.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5103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ab/>
        <w:tab/>
        <w:tab/>
        <w:t>Paolo Felisa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                                                   </w:t>
      </w:r>
      <w:r>
        <w:rPr>
          <w:rFonts w:ascii="Times New Roman" w:hAnsi="Times New Roman"/>
          <w:sz w:val="22"/>
          <w:szCs w:val="22"/>
        </w:rPr>
        <w:t>konateľ spoločnosti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 </w:t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VÝKAZ  ZISKOV  A STRÁT  01.01.2020 - 31.12.2020, 2019, 2018</w:t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___________________________________________________________________</w:t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center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center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tbl>
      <w:tblPr>
        <w:tblW w:w="7823" w:type="dxa"/>
        <w:jc w:val="left"/>
        <w:tblInd w:w="56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125"/>
        <w:gridCol w:w="1261"/>
        <w:gridCol w:w="1218"/>
        <w:gridCol w:w="1218"/>
      </w:tblGrid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</w:rPr>
              <w:t>v eurách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left="-155"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00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31.12.2019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06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Výnosy z hosp. činn. spolu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20 558 529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21 113 472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21 164 826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tovaru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vlastných výrobkov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20 281 645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20 822 112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20 330 440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157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Tržby z predaja služieb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261 472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 xml:space="preserve">78 448 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301 957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196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dlh.majetku a  mat.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206 568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24 299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výnosy z hosp. činnosti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15 412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6 344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508 130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157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  <w:p>
            <w:pPr>
              <w:pStyle w:val="Normal"/>
              <w:ind w:right="-157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Náklady na hosp. činnosť spolu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19 157 289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19 767 594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19 284 105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Náklady na obst. tovaru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Spotreba materiálu a energie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14 748 979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15 778 188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14 777 623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Služby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1 989 194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1 904 718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2 659 402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Osobné náklady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 xml:space="preserve">503 558 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469 766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509 263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Mzdové náklady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330 894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303 568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332 960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Náklady na sociálne poistenie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116 467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106 167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116 832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Sociálne náklady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56 197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60 030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59 471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Dane a poplatky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26 573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26 018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29 889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Odpisy dlhodobého majetku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1 824 921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1 428 342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1 237 498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244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Zost.cena pred.dlh.majetku a mat.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60 000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13 632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Opravné položky k pohľadávkam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2 871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2 767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prevádzkové náklady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61 283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97 795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56 798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248" w:hanging="0"/>
              <w:rPr>
                <w:rFonts w:ascii="Arial" w:hAnsi="Arial" w:cs="Arial"/>
                <w:color w:val="0000FF"/>
              </w:rPr>
            </w:pPr>
            <w:r>
              <w:rPr>
                <w:rFonts w:cs="Arial" w:ascii="Arial" w:hAnsi="Arial"/>
                <w:b/>
                <w:bCs/>
                <w:color w:val="0000FF"/>
              </w:rPr>
              <w:t>Výsledok hosp.z hosp.činnosti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1 401 240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1 345 878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1 880 721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bCs/>
                <w:color w:val="993300"/>
              </w:rPr>
              <w:t>Pridaná hodnota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3 805 034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3 217 654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3 195 372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Výnosy z finanč. činn. spolu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505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10 267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8 338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Výnosové úroky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505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10 267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8 338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výnosy z finanč. činnosti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Náklady na fin. činn. spolu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20 527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31 538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15 753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Nákladové úroky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13 295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23 961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9 586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Kurzové straty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44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3 039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248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náklady z finanč.činnosti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7 188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4 538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6 167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248" w:hanging="0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bCs/>
                <w:color w:val="0000FF"/>
              </w:rPr>
              <w:t>Výsledok hosp.z finanč.činnosti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- 20 022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- 21 271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- 7 415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3544" w:leader="none"/>
              </w:tabs>
              <w:ind w:right="-518" w:hanging="0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Výsled. hosp. pred zdanením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1 381 218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1 324 607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1 873 306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3544" w:leader="none"/>
              </w:tabs>
              <w:ind w:right="-518" w:hanging="0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91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Daň z príjmov – splatná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280 858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276 609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285 249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4111" w:leader="none"/>
              </w:tabs>
              <w:ind w:right="-105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 xml:space="preserve">                        </w:t>
            </w:r>
            <w:r>
              <w:rPr>
                <w:rFonts w:cs="Arial" w:ascii="Arial" w:hAnsi="Arial"/>
                <w:color w:val="000000"/>
              </w:rPr>
              <w:t>-odložená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20 360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12 831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97 400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491" w:hanging="0"/>
              <w:rPr>
                <w:rFonts w:ascii="Arial" w:hAnsi="Arial" w:cs="Arial"/>
                <w:b/>
                <w:b/>
                <w:bCs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</w:r>
          </w:p>
          <w:p>
            <w:pPr>
              <w:pStyle w:val="Normal"/>
              <w:ind w:right="-491" w:hanging="0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Výsledok hosp.za účt. obdobie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1 080 000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1 035 167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1 490 657</w:t>
            </w:r>
          </w:p>
        </w:tc>
      </w:tr>
    </w:tbl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</w:t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BILANCIA K 31.12.2020, 2019, 2018</w:t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</w:t>
      </w:r>
    </w:p>
    <w:p>
      <w:pPr>
        <w:pStyle w:val="Normal"/>
        <w:tabs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tbl>
      <w:tblPr>
        <w:tblW w:w="8068" w:type="dxa"/>
        <w:jc w:val="left"/>
        <w:tblInd w:w="56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135"/>
        <w:gridCol w:w="1394"/>
        <w:gridCol w:w="1276"/>
        <w:gridCol w:w="1262"/>
      </w:tblGrid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31.12.2019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31.12.2018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Majetok (v eurách)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left="24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69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1062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Neobežný 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12 842 203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12 628 716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11 350 590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nehmotný 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hmotný 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9 666 652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9 394 161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8 201 591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Pozemky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846 693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846 693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846 693</w:t>
            </w:r>
          </w:p>
        </w:tc>
      </w:tr>
      <w:tr>
        <w:trPr>
          <w:trHeight w:val="6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Stavby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2 341 677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2 632 108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2 912 510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Samostatné hnuteľné veci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6 226 372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3 384 989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2 889 122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Obstarávaný dlhod. hm.majetok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251 910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2 530 371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1 553 266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finančný 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3 175 551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3 234 555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3 148 999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 Podiely v prepojených účt. jednotkách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3 175 551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3 234 555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3 148 999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69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Obežný 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14 280 836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16 777 174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18 239 666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Zásoby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688 525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2 237 939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3 700 666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Materiál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601 157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2 150 571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3 613 298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Tovar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87 368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87 368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87 368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Cs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Odložená daňová pohľadávka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3 415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10 002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9 205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Krátkodobé pohľadávky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3 637 283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4 094 064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5 098 916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Pohľadávky z obchodného styku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3 615 031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4 072 219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4 530 518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Pohľadávky voči spoločníkom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17 679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9 380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5 489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Daňové pohľadávky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3 396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9 288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559 432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Iné pohľadávky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1 177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3 177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3 477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Finančné účty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9 951 613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10 435 169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9 430 879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Peniaze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5 059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9 445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8 792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Účty v bankách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9 946 554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10 425 724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9 422 087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 xml:space="preserve">Časové rozlíšenie 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16 012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13 467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10 866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Náklady budúcich období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16 012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13 467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10 866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 Príjmy budúcich období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1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MAJETOK CELKOM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27 139 051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29 419 357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29 601 122</w:t>
            </w:r>
          </w:p>
        </w:tc>
      </w:tr>
    </w:tbl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BILANCIA K 31.12.2020, 2019, 2018</w:t>
      </w:r>
    </w:p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  <w:tab w:val="left" w:pos="779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</w:t>
      </w:r>
    </w:p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tbl>
      <w:tblPr>
        <w:tblW w:w="7680" w:type="dxa"/>
        <w:jc w:val="left"/>
        <w:tblInd w:w="56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058"/>
        <w:gridCol w:w="1218"/>
        <w:gridCol w:w="1173"/>
        <w:gridCol w:w="1230"/>
      </w:tblGrid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31.12.2020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6" w:hanging="0"/>
              <w:jc w:val="center"/>
              <w:rPr>
                <w:rFonts w:ascii="Arial" w:hAnsi="Arial" w:cs="Arial"/>
                <w:b/>
                <w:b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color w:val="000000"/>
                <w:u w:val="single"/>
              </w:rPr>
              <w:t>31 12.2019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31.12.2018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 xml:space="preserve">Vlastné imanie a záväzky </w:t>
            </w:r>
          </w:p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(v eurách)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left="-71" w:right="127" w:firstLine="71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left="248" w:hanging="531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Vlastné imanie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10 071 278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10 086 537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10 034 174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Základné imanie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25 000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25 000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25 000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Fondy zo zisku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1 660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1 660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1 660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Oceňovacie rozdiely z prec. majetku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2 166 330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2 225 334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2 139 778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Výsledok hosp.min.rokov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6 798 288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6 799 376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6 377 079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Výsledok hosp.za účtovné obdobie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1 080 000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1 035 167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1 490 657</w:t>
            </w:r>
          </w:p>
        </w:tc>
      </w:tr>
      <w:tr>
        <w:trPr>
          <w:trHeight w:val="566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bottom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bottom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17 067 773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bottom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19 332 820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bottom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19 566 948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Dlhodobé 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14 033 424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13 019 053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12 004 846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 xml:space="preserve">- Ost. záv. voči prepojeným úč. jednotkám 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13 986 519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12 986 519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11 986 519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Ostatné dlhodobé 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zo soc.fondu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15 893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15 295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14 717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Odložený daňový záväzok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31 012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17 239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3 610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Dlhodobé bankové úvery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619 084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910 508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Krátkodobé 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2 394 919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3 579 215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6 061 920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 obchodného styku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2 028 632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3 316 470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5 700 609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voči spoločníkom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voči zamestnancom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16 024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16 762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16 132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zo soc.zabezpečenia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20 510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20 207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20 697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Štát-daňové 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277 430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178 353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162 783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Iné 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52 323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47 423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161 699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Krátkodobé rezervy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20 346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19 903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15 419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 xml:space="preserve">Bežné bankové úvery 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619 084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2 095 565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574 255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Časové rozlíšenie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 xml:space="preserve">- Výnosy budúcich období dohodové 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Výnosy budúcich období krátkod.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VL.IMANIE A ZÁV. CELKOM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27 139 051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29 419 357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29 601 122</w:t>
            </w:r>
          </w:p>
        </w:tc>
      </w:tr>
    </w:tbl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/>
      </w:pPr>
      <w:r>
        <w:rPr/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4"/>
          <w:szCs w:val="24"/>
          <w:lang w:val="sk-SK"/>
        </w:rPr>
      </w:pPr>
      <w:r>
        <w:rPr>
          <w:rFonts w:eastAsia="MS Mincho" w:cs="Times New Roman" w:ascii="Times New Roman" w:hAnsi="Times New Roman"/>
          <w:b/>
          <w:bCs/>
          <w:sz w:val="24"/>
          <w:szCs w:val="24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pBdr/>
        <w:tabs>
          <w:tab w:val="left" w:pos="709" w:leader="none"/>
          <w:tab w:val="left" w:pos="2977" w:leader="none"/>
        </w:tabs>
        <w:ind w:right="283" w:hanging="0"/>
        <w:rPr/>
      </w:pPr>
      <w:r>
        <w:rPr/>
      </w:r>
    </w:p>
    <w:sectPr>
      <w:headerReference w:type="default" r:id="rId5"/>
      <w:footerReference w:type="default" r:id="rId6"/>
      <w:type w:val="nextPage"/>
      <w:pgSz w:w="11906" w:h="16838"/>
      <w:pgMar w:left="1418" w:right="1134" w:header="709" w:top="1134" w:footer="709" w:bottom="1418" w:gutter="0"/>
      <w:pgNumType w:fmt="decimal"/>
      <w:formProt w:val="false"/>
      <w:titlePg/>
      <w:textDirection w:val="lrTb"/>
      <w:docGrid w:type="default" w:linePitch="240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ms Rmn">
    <w:altName w:val="Times New Roman"/>
    <w:charset w:val="ee"/>
    <w:family w:val="roman"/>
    <w:pitch w:val="variable"/>
  </w:font>
  <w:font w:name="MS Serif">
    <w:charset w:val="ee"/>
    <w:family w:val="roman"/>
    <w:pitch w:val="variable"/>
  </w:font>
  <w:font w:name="Helv">
    <w:altName w:val="Arial"/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>
        <w:sz w:val="24"/>
      </w:rPr>
    </w:pPr>
    <w:r>
      <w:rPr>
        <w:sz w:val="24"/>
      </w:rPr>
    </w:r>
    <w:r>
      <mc:AlternateContent>
        <mc:Choice Requires="wps">
          <w:drawing>
            <wp:anchor behindDoc="0" distT="0" distB="0" distL="0" distR="0" simplePos="0" locked="0" layoutInCell="1" allowOverlap="1" relativeHeight="13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5761355" cy="290830"/>
              <wp:effectExtent l="0" t="0" r="0" b="0"/>
              <wp:wrapSquare wrapText="largest"/>
              <wp:docPr id="4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1355" cy="29083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Pta"/>
                            <w:pBdr/>
                            <w:rPr/>
                          </w:pPr>
                          <w:r>
                            <w:rPr/>
                            <w:tab/>
                            <w:t xml:space="preserve">- </w:t>
                          </w:r>
                          <w:r>
                            <w:rPr/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13</w:t>
                          </w:r>
                          <w:r>
                            <w:fldChar w:fldCharType="end"/>
                          </w:r>
                          <w:r>
                            <w:rPr/>
                            <w:t xml:space="preserve"> -</w:t>
                            <w:tab/>
                            <w:t xml:space="preserve"> </w:t>
                          </w:r>
                        </w:p>
                        <w:p>
                          <w:pPr>
                            <w:pStyle w:val="Pta"/>
                            <w:pBdr/>
                            <w:rPr>
                              <w:rStyle w:val="Pagenumber"/>
                            </w:rPr>
                          </w:pPr>
                          <w:r>
                            <w:rPr/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53.65pt;height:22.9pt;mso-wrap-distance-left:0pt;mso-wrap-distance-right:0pt;mso-wrap-distance-top:0pt;mso-wrap-distance-bottom:0pt;margin-top:0.05pt;mso-position-vertical-relative:text;margin-left:7.05pt;mso-position-horizontal:center;mso-position-horizontal-relative:margin">
              <v:fill opacity="0f"/>
              <v:textbox inset="0in,0in,0in,0in">
                <w:txbxContent>
                  <w:p>
                    <w:pPr>
                      <w:pStyle w:val="Pta"/>
                      <w:pBdr/>
                      <w:rPr/>
                    </w:pPr>
                    <w:r>
                      <w:rPr/>
                      <w:tab/>
                      <w:t xml:space="preserve">- </w:t>
                    </w:r>
                    <w:r>
                      <w:rPr/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13</w:t>
                    </w:r>
                    <w:r>
                      <w:fldChar w:fldCharType="end"/>
                    </w:r>
                    <w:r>
                      <w:rPr/>
                      <w:t xml:space="preserve"> -</w:t>
                      <w:tab/>
                      <w:t xml:space="preserve"> </w:t>
                    </w:r>
                  </w:p>
                  <w:p>
                    <w:pPr>
                      <w:pStyle w:val="Pta"/>
                      <w:pBdr/>
                      <w:rPr>
                        <w:rStyle w:val="Pagenumber"/>
                      </w:rPr>
                    </w:pPr>
                    <w:r>
                      <w:rPr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jc w:val="center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</w:r>
  </w:p>
</w:hdr>
</file>

<file path=word/settings.xml><?xml version="1.0" encoding="utf-8"?>
<w:settings xmlns:w="http://schemas.openxmlformats.org/wordprocessingml/2006/main">
  <w:zoom w:percent="100"/>
  <w:defaultTabStop w:val="72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n-US" w:eastAsia="zh-CN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ms Rmn" w:hAnsi="Tms Rmn" w:eastAsia="Times New Roman" w:cs="Times New Roman"/>
        <w:lang w:val="en-US" w:eastAsia="zh-CN" w:bidi="ar-SA"/>
      </w:rPr>
    </w:rPrDefault>
    <w:pPrDefault>
      <w:pPr/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pPr>
      <w:widowControl/>
      <w:bidi w:val="0"/>
      <w:jc w:val="left"/>
    </w:pPr>
    <w:rPr>
      <w:rFonts w:ascii="MS Serif" w:hAnsi="MS Serif" w:eastAsia="Times New Roman" w:cs="Times New Roman"/>
      <w:color w:val="auto"/>
      <w:sz w:val="20"/>
      <w:szCs w:val="20"/>
      <w:lang w:val="sk-SK" w:eastAsia="cs-CZ" w:bidi="ar-SA"/>
    </w:rPr>
  </w:style>
  <w:style w:type="paragraph" w:styleId="Nadpis1">
    <w:name w:val="Heading 1"/>
    <w:basedOn w:val="Normal"/>
    <w:qFormat/>
    <w:pPr>
      <w:spacing w:before="240" w:after="0"/>
      <w:outlineLvl w:val="0"/>
    </w:pPr>
    <w:rPr>
      <w:rFonts w:ascii="Helv" w:hAnsi="Helv"/>
      <w:b/>
      <w:bCs/>
      <w:sz w:val="24"/>
      <w:szCs w:val="24"/>
      <w:u w:val="single"/>
    </w:rPr>
  </w:style>
  <w:style w:type="paragraph" w:styleId="Nadpis2">
    <w:name w:val="Heading 2"/>
    <w:basedOn w:val="Normal"/>
    <w:qFormat/>
    <w:pPr>
      <w:spacing w:before="120" w:after="0"/>
      <w:outlineLvl w:val="1"/>
    </w:pPr>
    <w:rPr>
      <w:rFonts w:ascii="Helv" w:hAnsi="Helv"/>
      <w:b/>
      <w:bCs/>
      <w:sz w:val="24"/>
      <w:szCs w:val="24"/>
    </w:rPr>
  </w:style>
  <w:style w:type="paragraph" w:styleId="Nadpis3">
    <w:name w:val="Heading 3"/>
    <w:basedOn w:val="Normal"/>
    <w:qFormat/>
    <w:pPr>
      <w:ind w:left="354" w:hanging="0"/>
      <w:outlineLvl w:val="2"/>
    </w:pPr>
    <w:rPr>
      <w:rFonts w:ascii="Tms Rmn" w:hAnsi="Tms Rmn"/>
      <w:b/>
      <w:bCs/>
      <w:sz w:val="24"/>
      <w:szCs w:val="24"/>
    </w:rPr>
  </w:style>
  <w:style w:type="paragraph" w:styleId="Nadpis4">
    <w:name w:val="Heading 4"/>
    <w:basedOn w:val="Normal"/>
    <w:qFormat/>
    <w:pPr>
      <w:ind w:left="354" w:hanging="0"/>
      <w:outlineLvl w:val="3"/>
    </w:pPr>
    <w:rPr>
      <w:rFonts w:ascii="Tms Rmn" w:hAnsi="Tms Rmn"/>
      <w:sz w:val="24"/>
      <w:szCs w:val="24"/>
      <w:u w:val="single"/>
    </w:rPr>
  </w:style>
  <w:style w:type="paragraph" w:styleId="Nadpis5">
    <w:name w:val="Heading 5"/>
    <w:basedOn w:val="Normal"/>
    <w:qFormat/>
    <w:pPr>
      <w:ind w:left="708" w:hanging="0"/>
      <w:outlineLvl w:val="4"/>
    </w:pPr>
    <w:rPr>
      <w:rFonts w:ascii="Tms Rmn" w:hAnsi="Tms Rmn"/>
      <w:b/>
      <w:bCs/>
    </w:rPr>
  </w:style>
  <w:style w:type="paragraph" w:styleId="Nadpis6">
    <w:name w:val="Heading 6"/>
    <w:basedOn w:val="Normal"/>
    <w:qFormat/>
    <w:pPr>
      <w:ind w:left="708" w:hanging="0"/>
      <w:outlineLvl w:val="5"/>
    </w:pPr>
    <w:rPr>
      <w:rFonts w:ascii="Tms Rmn" w:hAnsi="Tms Rmn" w:cs="Arial"/>
      <w:u w:val="single"/>
    </w:rPr>
  </w:style>
  <w:style w:type="paragraph" w:styleId="Nadpis7">
    <w:name w:val="Heading 7"/>
    <w:basedOn w:val="Normal"/>
    <w:qFormat/>
    <w:pPr>
      <w:ind w:left="708" w:hanging="0"/>
      <w:outlineLvl w:val="6"/>
    </w:pPr>
    <w:rPr>
      <w:rFonts w:ascii="Tms Rmn" w:hAnsi="Tms Rmn"/>
      <w:i/>
      <w:iCs/>
    </w:rPr>
  </w:style>
  <w:style w:type="paragraph" w:styleId="Nadpis8">
    <w:name w:val="Heading 8"/>
    <w:basedOn w:val="Normal"/>
    <w:qFormat/>
    <w:pPr>
      <w:ind w:left="708" w:hanging="0"/>
      <w:outlineLvl w:val="7"/>
    </w:pPr>
    <w:rPr>
      <w:rFonts w:ascii="Tms Rmn" w:hAnsi="Tms Rmn"/>
      <w:i/>
      <w:iCs/>
    </w:rPr>
  </w:style>
  <w:style w:type="paragraph" w:styleId="Nadpis9">
    <w:name w:val="Heading 9"/>
    <w:basedOn w:val="Normal"/>
    <w:qFormat/>
    <w:pPr>
      <w:ind w:left="708" w:hanging="0"/>
      <w:outlineLvl w:val="8"/>
    </w:pPr>
    <w:rPr>
      <w:rFonts w:ascii="Tms Rmn" w:hAnsi="Tms Rm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Footnotereference">
    <w:name w:val="footnote reference"/>
    <w:semiHidden/>
    <w:qFormat/>
    <w:rPr>
      <w:sz w:val="16"/>
      <w:szCs w:val="16"/>
    </w:rPr>
  </w:style>
  <w:style w:type="character" w:styleId="Pagenumber">
    <w:name w:val="page number"/>
    <w:basedOn w:val="DefaultParagraphFont"/>
    <w:qFormat/>
    <w:rPr/>
  </w:style>
  <w:style w:type="character" w:styleId="TextbublinyChar" w:customStyle="1">
    <w:name w:val="Text bubliny Char"/>
    <w:link w:val="Textbubliny"/>
    <w:qFormat/>
    <w:rsid w:val="00a20618"/>
    <w:rPr>
      <w:rFonts w:ascii="Segoe UI" w:hAnsi="Segoe UI" w:cs="Segoe UI"/>
      <w:sz w:val="18"/>
      <w:szCs w:val="18"/>
      <w:lang w:eastAsia="cs-CZ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rsid w:val="00cc502b"/>
    <w:pPr>
      <w:spacing w:before="0" w:after="12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NormalIndent">
    <w:name w:val="Normal Indent"/>
    <w:basedOn w:val="Normal"/>
    <w:qFormat/>
    <w:pPr>
      <w:ind w:left="708" w:hanging="0"/>
    </w:pPr>
    <w:rPr/>
  </w:style>
  <w:style w:type="paragraph" w:styleId="Hlavika">
    <w:name w:val="Header"/>
    <w:basedOn w:val="Normal"/>
    <w:pPr>
      <w:tabs>
        <w:tab w:val="center" w:pos="4819" w:leader="none"/>
        <w:tab w:val="right" w:pos="9071" w:leader="none"/>
      </w:tabs>
    </w:pPr>
    <w:rPr/>
  </w:style>
  <w:style w:type="paragraph" w:styleId="Footnotetext">
    <w:name w:val="footnote text"/>
    <w:basedOn w:val="Normal"/>
    <w:semiHidden/>
    <w:qFormat/>
    <w:pPr/>
    <w:rPr/>
  </w:style>
  <w:style w:type="paragraph" w:styleId="Odsadenietelatextu">
    <w:name w:val="Body Text Indent"/>
    <w:basedOn w:val="Normal"/>
    <w:pPr>
      <w:tabs>
        <w:tab w:val="left" w:pos="709" w:leader="none"/>
        <w:tab w:val="left" w:pos="2977" w:leader="none"/>
        <w:tab w:val="left" w:pos="4962" w:leader="none"/>
        <w:tab w:val="left" w:pos="6663" w:leader="none"/>
        <w:tab w:val="left" w:pos="8222" w:leader="none"/>
      </w:tabs>
      <w:ind w:left="426" w:hanging="0"/>
      <w:jc w:val="both"/>
    </w:pPr>
    <w:rPr>
      <w:rFonts w:ascii="Times New Roman" w:hAnsi="Times New Roman"/>
      <w:sz w:val="26"/>
      <w:szCs w:val="26"/>
    </w:rPr>
  </w:style>
  <w:style w:type="paragraph" w:styleId="BodyTextIndent2">
    <w:name w:val="Body Text Indent 2"/>
    <w:basedOn w:val="Normal"/>
    <w:qFormat/>
    <w:pPr>
      <w:tabs>
        <w:tab w:val="left" w:pos="2127" w:leader="none"/>
        <w:tab w:val="left" w:pos="3686" w:leader="none"/>
        <w:tab w:val="left" w:pos="5387" w:leader="none"/>
        <w:tab w:val="left" w:pos="6804" w:leader="none"/>
      </w:tabs>
      <w:ind w:right="-12" w:firstLine="426"/>
    </w:pPr>
    <w:rPr>
      <w:rFonts w:ascii="Times New Roman" w:hAnsi="Times New Roman"/>
      <w:bCs/>
      <w:sz w:val="26"/>
      <w:szCs w:val="26"/>
    </w:rPr>
  </w:style>
  <w:style w:type="paragraph" w:styleId="Pta">
    <w:name w:val="Footer"/>
    <w:basedOn w:val="Normal"/>
    <w:pPr>
      <w:tabs>
        <w:tab w:val="center" w:pos="4536" w:leader="none"/>
        <w:tab w:val="right" w:pos="9072" w:leader="none"/>
      </w:tabs>
    </w:pPr>
    <w:rPr/>
  </w:style>
  <w:style w:type="paragraph" w:styleId="PlainText">
    <w:name w:val="Plain Text"/>
    <w:basedOn w:val="Normal"/>
    <w:qFormat/>
    <w:rsid w:val="00af55b5"/>
    <w:pPr/>
    <w:rPr>
      <w:rFonts w:ascii="Courier New" w:hAnsi="Courier New" w:cs="Courier New"/>
      <w:lang w:val="cs-CZ"/>
    </w:rPr>
  </w:style>
  <w:style w:type="paragraph" w:styleId="BalloonText">
    <w:name w:val="Balloon Text"/>
    <w:basedOn w:val="Normal"/>
    <w:link w:val="TextbublinyChar"/>
    <w:qFormat/>
    <w:rsid w:val="00a20618"/>
    <w:pPr/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hart" Target="charts/chart1.xml"/><Relationship Id="rId3" Type="http://schemas.openxmlformats.org/officeDocument/2006/relationships/chart" Target="charts/chart2.xml"/><Relationship Id="rId4" Type="http://schemas.openxmlformats.org/officeDocument/2006/relationships/chart" Target="charts/chart3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charts/_rels/chart1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.xlsx"/>
</Relationships>
</file>

<file path=word/charts/_rels/chart2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2.xlsx"/>
</Relationships>
</file>

<file path=word/charts/_rels/chart3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3.xlsx"/>
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plotArea>
      <c:barChart>
        <c:barDir val="col"/>
        <c:grouping val="cluster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Tržby</c:v>
                </c:pt>
              </c:strCache>
            </c:strRef>
          </c:tx>
          <c:spPr>
            <a:solidFill>
              <a:srgbClr val="ffcc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3"/>
                <c:pt idx="0">
                  <c:v>20632397</c:v>
                </c:pt>
                <c:pt idx="1">
                  <c:v>20822112</c:v>
                </c:pt>
                <c:pt idx="2">
                  <c:v>20281645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Pridaná hodnota</c:v>
                </c:pt>
              </c:strCache>
            </c:strRef>
          </c:tx>
          <c:spPr>
            <a:solidFill>
              <a:srgbClr val="ccff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strCache>
            </c:strRef>
          </c:cat>
          <c:val>
            <c:numRef>
              <c:f>1</c:f>
              <c:numCache>
                <c:formatCode>General</c:formatCode>
                <c:ptCount val="3"/>
                <c:pt idx="0">
                  <c:v>3195372</c:v>
                </c:pt>
                <c:pt idx="1">
                  <c:v>3217654</c:v>
                </c:pt>
                <c:pt idx="2">
                  <c:v>3805034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Hosp. výsledok</c:v>
                </c:pt>
              </c:strCache>
            </c:strRef>
          </c:tx>
          <c:spPr>
            <a:solidFill>
              <a:srgbClr val="ff808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strCache>
            </c:strRef>
          </c:cat>
          <c:val>
            <c:numRef>
              <c:f>2</c:f>
              <c:numCache>
                <c:formatCode>General</c:formatCode>
                <c:ptCount val="3"/>
                <c:pt idx="0">
                  <c:v>1490657</c:v>
                </c:pt>
                <c:pt idx="1">
                  <c:v>1035167</c:v>
                </c:pt>
                <c:pt idx="2">
                  <c:v>1080000</c:v>
                </c:pt>
              </c:numCache>
            </c:numRef>
          </c:val>
        </c:ser>
        <c:gapWidth val="50"/>
        <c:overlap val="30"/>
        <c:axId val="67210373"/>
        <c:axId val="95860814"/>
      </c:barChart>
      <c:catAx>
        <c:axId val="67210373"/>
        <c:scaling>
          <c:orientation val="minMax"/>
        </c:scaling>
        <c:delete val="0"/>
        <c:axPos val="b"/>
        <c:numFmt formatCode="DD/MM/YYYY" sourceLinked="1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7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95860814"/>
        <c:crosses val="autoZero"/>
        <c:auto val="1"/>
        <c:lblAlgn val="ctr"/>
        <c:lblOffset val="100"/>
      </c:catAx>
      <c:valAx>
        <c:axId val="95860814"/>
        <c:scaling>
          <c:orientation val="minMax"/>
        </c:scaling>
        <c:delete val="0"/>
        <c:axPos val="l"/>
        <c:numFmt formatCode="\ [$€-41B]\ * #,##0\ ;\ [$€-41B]\ * \(#,##0\);\ [$€-41B]\ * &quot;- &quot;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7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67210373"/>
        <c:crosses val="autoZero"/>
      </c:valAx>
      <c:spPr>
        <a:noFill/>
        <a:ln w="25200">
          <a:noFill/>
        </a:ln>
      </c:spPr>
    </c:plotArea>
    <c:legend>
      <c:layout>
        <c:manualLayout>
          <c:xMode val="edge"/>
          <c:yMode val="edge"/>
          <c:x val="0.30925"/>
          <c:y val="0.343777777777778"/>
        </c:manualLayout>
      </c:layout>
      <c:spPr>
        <a:noFill/>
        <a:ln w="3240">
          <a:solidFill>
            <a:srgbClr val="000000"/>
          </a:solidFill>
          <a:round/>
        </a:ln>
      </c:spPr>
    </c:legend>
    <c:plotVisOnly val="1"/>
    <c:dispBlanksAs val="gap"/>
  </c:chart>
  <c:spPr>
    <a:noFill/>
    <a:ln>
      <a:noFill/>
    </a:ln>
  </c:sp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plotArea>
      <c:barChart>
        <c:barDir val="col"/>
        <c:grouping val="stack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Neobežný majetok</c:v>
                </c:pt>
              </c:strCache>
            </c:strRef>
          </c:tx>
          <c:spPr>
            <a:solidFill>
              <a:srgbClr val="00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ctr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3"/>
                <c:pt idx="0">
                  <c:v>11350590</c:v>
                </c:pt>
                <c:pt idx="1">
                  <c:v>12628716</c:v>
                </c:pt>
                <c:pt idx="2">
                  <c:v>12842203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Obežný majetok</c:v>
                </c:pt>
              </c:strCache>
            </c:strRef>
          </c:tx>
          <c:spPr>
            <a:solidFill>
              <a:srgbClr val="33cc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ctr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strCache>
            </c:strRef>
          </c:cat>
          <c:val>
            <c:numRef>
              <c:f>1</c:f>
              <c:numCache>
                <c:formatCode>General</c:formatCode>
                <c:ptCount val="3"/>
                <c:pt idx="0">
                  <c:v>18239666</c:v>
                </c:pt>
                <c:pt idx="1">
                  <c:v>16777174</c:v>
                </c:pt>
                <c:pt idx="2">
                  <c:v>14280836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Časové rozlíšenie</c:v>
                </c:pt>
              </c:strCache>
            </c:strRef>
          </c:tx>
          <c:spPr>
            <a:solidFill>
              <a:srgbClr val="ff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ctr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strCache>
            </c:strRef>
          </c:cat>
          <c:val>
            <c:numRef>
              <c:f>2</c:f>
              <c:numCache>
                <c:formatCode>General</c:formatCode>
                <c:ptCount val="3"/>
                <c:pt idx="0">
                  <c:v>10866</c:v>
                </c:pt>
                <c:pt idx="1">
                  <c:v>13467</c:v>
                </c:pt>
                <c:pt idx="2">
                  <c:v>16012</c:v>
                </c:pt>
              </c:numCache>
            </c:numRef>
          </c:val>
        </c:ser>
        <c:gapWidth val="50"/>
        <c:overlap val="100"/>
        <c:axId val="71607625"/>
        <c:axId val="44484172"/>
      </c:barChart>
      <c:catAx>
        <c:axId val="71607625"/>
        <c:scaling>
          <c:orientation val="minMax"/>
        </c:scaling>
        <c:delete val="0"/>
        <c:axPos val="b"/>
        <c:numFmt formatCode="DD/MM/YYYY" sourceLinked="1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5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44484172"/>
        <c:crosses val="autoZero"/>
        <c:auto val="1"/>
        <c:lblAlgn val="ctr"/>
        <c:lblOffset val="100"/>
      </c:catAx>
      <c:valAx>
        <c:axId val="44484172"/>
        <c:scaling>
          <c:orientation val="minMax"/>
        </c:scaling>
        <c:delete val="0"/>
        <c:axPos val="l"/>
        <c:numFmt formatCode="\ [$€-41B]\ * #,##0\ ;\ [$€-41B]\ * \(#,##0\);\ [$€-41B]\ * &quot;- &quot;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5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71607625"/>
        <c:crosses val="autoZero"/>
      </c:valAx>
      <c:spPr>
        <a:noFill/>
        <a:ln w="25200">
          <a:noFill/>
        </a:ln>
      </c:spPr>
    </c:plotArea>
    <c:legend>
      <c:layout>
        <c:manualLayout>
          <c:xMode val="edge"/>
          <c:yMode val="edge"/>
          <c:x val="0.406"/>
          <c:y val="0.390555555555556"/>
        </c:manualLayout>
      </c:layout>
      <c:spPr>
        <a:solidFill>
          <a:srgbClr val="ffffff"/>
        </a:solidFill>
        <a:ln w="3240">
          <a:solidFill>
            <a:srgbClr val="000000"/>
          </a:solidFill>
          <a:round/>
        </a:ln>
      </c:spPr>
    </c:legend>
    <c:plotVisOnly val="1"/>
    <c:dispBlanksAs val="gap"/>
  </c:chart>
  <c:spPr>
    <a:noFill/>
    <a:ln>
      <a:noFill/>
    </a:ln>
  </c:sp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plotArea>
      <c:barChart>
        <c:barDir val="col"/>
        <c:grouping val="cluster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Stav k 1.1.2020</c:v>
                </c:pt>
              </c:strCache>
            </c:strRef>
          </c:tx>
          <c:spPr>
            <a:solidFill>
              <a:srgbClr val="ccccff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0</c:f>
              <c:numCache>
                <c:formatCode>General</c:formatCode>
                <c:ptCount val="1"/>
                <c:pt idx="0">
                  <c:v>10435169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Prevádzkové činnosti</c:v>
                </c:pt>
              </c:strCache>
            </c:strRef>
          </c:tx>
          <c:spPr>
            <a:solidFill>
              <a:srgbClr val="99cc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1</c:f>
              <c:numCache>
                <c:formatCode>General</c:formatCode>
                <c:ptCount val="1"/>
                <c:pt idx="0">
                  <c:v>3700478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Investičné činnosti</c:v>
                </c:pt>
              </c:strCache>
            </c:strRef>
          </c:tx>
          <c:spPr>
            <a:solidFill>
              <a:srgbClr val="ff99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2</c:f>
              <c:numCache>
                <c:formatCode>General</c:formatCode>
                <c:ptCount val="1"/>
                <c:pt idx="0">
                  <c:v>-2097412</c:v>
                </c:pt>
              </c:numCache>
            </c:numRef>
          </c:val>
        </c:ser>
        <c:ser>
          <c:idx val="3"/>
          <c:order val="3"/>
          <c:tx>
            <c:strRef>
              <c:f>label 3</c:f>
              <c:strCache>
                <c:ptCount val="1"/>
                <c:pt idx="0">
                  <c:v>Finančné činnosti</c:v>
                </c:pt>
              </c:strCache>
            </c:strRef>
          </c:tx>
          <c:spPr>
            <a:solidFill>
              <a:srgbClr val="ff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3</c:f>
              <c:numCache>
                <c:formatCode>General</c:formatCode>
                <c:ptCount val="1"/>
                <c:pt idx="0">
                  <c:v>-2176622</c:v>
                </c:pt>
              </c:numCache>
            </c:numRef>
          </c:val>
        </c:ser>
        <c:ser>
          <c:idx val="4"/>
          <c:order val="4"/>
          <c:tx>
            <c:strRef>
              <c:f>label 4</c:f>
              <c:strCache>
                <c:ptCount val="1"/>
                <c:pt idx="0">
                  <c:v>Stav k 31.12.2020</c:v>
                </c:pt>
              </c:strCache>
            </c:strRef>
          </c:tx>
          <c:spPr>
            <a:solidFill>
              <a:srgbClr val="ccccff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4</c:f>
              <c:numCache>
                <c:formatCode>General</c:formatCode>
                <c:ptCount val="1"/>
                <c:pt idx="0">
                  <c:v>9951613</c:v>
                </c:pt>
              </c:numCache>
            </c:numRef>
          </c:val>
        </c:ser>
        <c:gapWidth val="50"/>
        <c:overlap val="30"/>
        <c:axId val="10456164"/>
        <c:axId val="78243803"/>
      </c:barChart>
      <c:catAx>
        <c:axId val="10456164"/>
        <c:scaling>
          <c:orientation val="minMax"/>
        </c:scaling>
        <c:delete val="0"/>
        <c:axPos val="b"/>
        <c:numFmt formatCode="DD/MM/YYYY" sourceLinked="1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6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78243803"/>
        <c:crosses val="autoZero"/>
        <c:auto val="1"/>
        <c:lblAlgn val="ctr"/>
        <c:lblOffset val="100"/>
      </c:catAx>
      <c:valAx>
        <c:axId val="78243803"/>
        <c:scaling>
          <c:orientation val="minMax"/>
        </c:scaling>
        <c:delete val="0"/>
        <c:axPos val="l"/>
        <c:numFmt formatCode="\ [$€-41B]\ * #,##0.00\ ;\ [$€-41B]\ * \(#,##0.00\);\ [$€-41B]\ * \-#\ 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6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10456164"/>
        <c:crosses val="autoZero"/>
      </c:valAx>
      <c:spPr>
        <a:noFill/>
        <a:ln w="25200">
          <a:noFill/>
        </a:ln>
      </c:spPr>
    </c:plotArea>
    <c:legend>
      <c:layout>
        <c:manualLayout>
          <c:xMode val="edge"/>
          <c:yMode val="edge"/>
          <c:x val="0.4529375"/>
          <c:y val="0.0968888888888889"/>
        </c:manualLayout>
      </c:layout>
      <c:spPr>
        <a:solidFill>
          <a:srgbClr val="ffffff"/>
        </a:solidFill>
        <a:ln w="3240">
          <a:solidFill>
            <a:srgbClr val="000000"/>
          </a:solidFill>
          <a:round/>
        </a:ln>
      </c:spPr>
    </c:legend>
    <c:plotVisOnly val="1"/>
    <c:dispBlanksAs val="gap"/>
  </c:chart>
  <c:spPr>
    <a:noFill/>
    <a:ln>
      <a:noFill/>
    </a:ln>
  </c:spPr>
  <c:externalData r:id="rId1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DBCF9C-BD25-4625-8908-D1B459F4F6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Application>LibreOffice/5.3.3.2$Windows_X86_64 LibreOffice_project/3d9a8b4b4e538a85e0782bd6c2d430bafe583448</Application>
  <Pages>38</Pages>
  <Words>1910</Words>
  <Characters>8709</Characters>
  <CharactersWithSpaces>11545</CharactersWithSpaces>
  <Paragraphs>591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2020-04-27T10:05:00Z</dcterms:created>
  <dc:creator>Management Library</dc:creator>
  <dc:description/>
  <dc:language>sk-SK</dc:language>
  <cp:lastModifiedBy>Ing. Martin Šepeľák</cp:lastModifiedBy>
  <cp:lastPrinted>2020-11-02T18:49:00Z</cp:lastPrinted>
  <dcterms:modified xsi:type="dcterms:W3CDTF">2021-03-19T08:54:00Z</dcterms:modified>
  <cp:revision>50</cp:revision>
  <dc:subject/>
  <dc:title>PLYNROZ, akciová spoločnosť, Sobrance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MSIP_Label_17cb76b2-10b8-4fe1-93d4-2202842406cd_Application">
    <vt:lpwstr>Microsoft Azure Information Protection</vt:lpwstr>
  </property>
  <property fmtid="{D5CDD505-2E9C-101B-9397-08002B2CF9AE}" pid="7" name="MSIP_Label_17cb76b2-10b8-4fe1-93d4-2202842406cd_Enabled">
    <vt:lpwstr>True</vt:lpwstr>
  </property>
  <property fmtid="{D5CDD505-2E9C-101B-9397-08002B2CF9AE}" pid="8" name="MSIP_Label_17cb76b2-10b8-4fe1-93d4-2202842406cd_Extended_MSFT_Method">
    <vt:lpwstr>Manual</vt:lpwstr>
  </property>
  <property fmtid="{D5CDD505-2E9C-101B-9397-08002B2CF9AE}" pid="9" name="MSIP_Label_17cb76b2-10b8-4fe1-93d4-2202842406cd_Name">
    <vt:lpwstr>External Public</vt:lpwstr>
  </property>
  <property fmtid="{D5CDD505-2E9C-101B-9397-08002B2CF9AE}" pid="10" name="MSIP_Label_17cb76b2-10b8-4fe1-93d4-2202842406cd_Owner">
    <vt:lpwstr>Martin_Sepelak@dell.com</vt:lpwstr>
  </property>
  <property fmtid="{D5CDD505-2E9C-101B-9397-08002B2CF9AE}" pid="11" name="MSIP_Label_17cb76b2-10b8-4fe1-93d4-2202842406cd_SetDate">
    <vt:lpwstr>2020-02-10T12:22:04.7235243Z</vt:lpwstr>
  </property>
  <property fmtid="{D5CDD505-2E9C-101B-9397-08002B2CF9AE}" pid="12" name="MSIP_Label_17cb76b2-10b8-4fe1-93d4-2202842406cd_SiteId">
    <vt:lpwstr>945c199a-83a2-4e80-9f8c-5a91be5752dd</vt:lpwstr>
  </property>
  <property fmtid="{D5CDD505-2E9C-101B-9397-08002B2CF9AE}" pid="13" name="ScaleCrop">
    <vt:bool>0</vt:bool>
  </property>
  <property fmtid="{D5CDD505-2E9C-101B-9397-08002B2CF9AE}" pid="14" name="ShareDoc">
    <vt:bool>0</vt:bool>
  </property>
  <property fmtid="{D5CDD505-2E9C-101B-9397-08002B2CF9AE}" pid="15" name="aiplabel">
    <vt:lpwstr>External Public</vt:lpwstr>
  </property>
</Properties>
</file>