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D32" w:rsidRPr="00891481" w:rsidRDefault="00A06D32" w:rsidP="00A06D32">
      <w:pPr>
        <w:pStyle w:val="Nadpis1"/>
        <w:tabs>
          <w:tab w:val="num" w:pos="360"/>
        </w:tabs>
        <w:spacing w:after="60"/>
        <w:ind w:left="360"/>
        <w:rPr>
          <w:szCs w:val="18"/>
        </w:rPr>
      </w:pPr>
      <w:bookmarkStart w:id="0" w:name="_Toc530739894"/>
      <w:r>
        <w:rPr>
          <w:szCs w:val="18"/>
        </w:rPr>
        <w:t>VŠEOBECNÉ INFORMÁCIE</w:t>
      </w:r>
      <w:bookmarkEnd w:id="0"/>
    </w:p>
    <w:p w:rsidR="00A06D32" w:rsidRPr="008C0838" w:rsidRDefault="00A06D32" w:rsidP="00A06D32">
      <w:pPr>
        <w:pStyle w:val="Zkladntext"/>
        <w:rPr>
          <w:szCs w:val="18"/>
        </w:rPr>
      </w:pPr>
    </w:p>
    <w:p w:rsidR="00A06D32" w:rsidRDefault="00A06D32" w:rsidP="00A06D32">
      <w:pPr>
        <w:pStyle w:val="Nadpis2"/>
        <w:numPr>
          <w:ilvl w:val="0"/>
          <w:numId w:val="2"/>
        </w:numPr>
        <w:rPr>
          <w:szCs w:val="18"/>
        </w:rPr>
      </w:pPr>
      <w:r>
        <w:rPr>
          <w:szCs w:val="18"/>
        </w:rPr>
        <w:t>Obchodné meno a sídlo spoločnosti:</w:t>
      </w:r>
    </w:p>
    <w:p w:rsidR="00A06D32" w:rsidRPr="001D0C7D" w:rsidRDefault="00A06D32" w:rsidP="00A06D32"/>
    <w:p w:rsidR="00A06D32" w:rsidRDefault="00A06D32" w:rsidP="00A06D32">
      <w:pPr>
        <w:pStyle w:val="Zkladntext"/>
      </w:pPr>
      <w:r>
        <w:t>ING CONSTRUCT s.r.o.</w:t>
      </w:r>
    </w:p>
    <w:p w:rsidR="00A06D32" w:rsidRDefault="00A06D32" w:rsidP="00A06D32">
      <w:pPr>
        <w:pStyle w:val="Zkladntext"/>
      </w:pPr>
      <w:r>
        <w:t>Nové záhrady I/13</w:t>
      </w:r>
    </w:p>
    <w:p w:rsidR="00A06D32" w:rsidRDefault="00A06D32" w:rsidP="00A06D32">
      <w:pPr>
        <w:pStyle w:val="Zkladntext"/>
      </w:pPr>
      <w:r>
        <w:t>821 05 Bratislava</w:t>
      </w:r>
    </w:p>
    <w:p w:rsidR="00A06D32" w:rsidRDefault="00A06D32" w:rsidP="00A06D32">
      <w:pPr>
        <w:pStyle w:val="Nadpis2"/>
        <w:ind w:left="360"/>
        <w:rPr>
          <w:szCs w:val="18"/>
        </w:rPr>
      </w:pPr>
    </w:p>
    <w:p w:rsidR="00A06D32" w:rsidRPr="00891481" w:rsidRDefault="00A06D32" w:rsidP="00A06D32">
      <w:pPr>
        <w:pStyle w:val="Nadpis2"/>
        <w:ind w:firstLine="426"/>
        <w:rPr>
          <w:szCs w:val="18"/>
        </w:rPr>
      </w:pPr>
      <w:bookmarkStart w:id="1" w:name="_Toc530739896"/>
      <w:r w:rsidRPr="00FD3474">
        <w:rPr>
          <w:szCs w:val="18"/>
        </w:rPr>
        <w:t>Hlavnými či</w:t>
      </w:r>
      <w:r w:rsidRPr="00891481">
        <w:rPr>
          <w:szCs w:val="18"/>
        </w:rPr>
        <w:t>nnosťami Spoločnosti sú:</w:t>
      </w:r>
      <w:bookmarkEnd w:id="1"/>
    </w:p>
    <w:p w:rsidR="00A06D32" w:rsidRDefault="00A06D32" w:rsidP="00A06D32">
      <w:pPr>
        <w:pStyle w:val="Zkladntext"/>
        <w:tabs>
          <w:tab w:val="left" w:pos="7905"/>
        </w:tabs>
        <w:rPr>
          <w:rStyle w:val="ra"/>
        </w:rPr>
      </w:pPr>
      <w:r w:rsidRPr="008C0838">
        <w:rPr>
          <w:szCs w:val="18"/>
        </w:rPr>
        <w:t xml:space="preserve">– </w:t>
      </w:r>
      <w:r>
        <w:rPr>
          <w:rStyle w:val="ra"/>
        </w:rPr>
        <w:t>inžiniering, technický dozor</w:t>
      </w:r>
    </w:p>
    <w:p w:rsidR="00A06D32" w:rsidRDefault="00A06D32" w:rsidP="00A06D32">
      <w:pPr>
        <w:pStyle w:val="Zkladntext"/>
        <w:rPr>
          <w:szCs w:val="18"/>
        </w:rPr>
      </w:pPr>
    </w:p>
    <w:p w:rsidR="00A06D32" w:rsidRPr="00B50225" w:rsidRDefault="00A06D32" w:rsidP="00A06D32">
      <w:pPr>
        <w:pStyle w:val="Nadpis2"/>
        <w:numPr>
          <w:ilvl w:val="0"/>
          <w:numId w:val="2"/>
        </w:numPr>
        <w:rPr>
          <w:szCs w:val="18"/>
        </w:rPr>
      </w:pPr>
      <w:r w:rsidRPr="00B50225">
        <w:rPr>
          <w:szCs w:val="18"/>
        </w:rPr>
        <w:t>Dátum schválenia účtovnej závierky za predchádzajúce účtovné obdobie</w:t>
      </w:r>
    </w:p>
    <w:p w:rsidR="00A06D32" w:rsidRDefault="00A06D32" w:rsidP="00A06D32">
      <w:pPr>
        <w:pStyle w:val="Zkladntext"/>
        <w:ind w:hanging="426"/>
        <w:rPr>
          <w:szCs w:val="18"/>
        </w:rPr>
      </w:pPr>
      <w:r w:rsidRPr="00B50225">
        <w:rPr>
          <w:szCs w:val="18"/>
        </w:rPr>
        <w:tab/>
        <w:t>Účtovná závierka Spoločnosti k 31. decembru 201</w:t>
      </w:r>
      <w:r>
        <w:rPr>
          <w:szCs w:val="18"/>
        </w:rPr>
        <w:t>9</w:t>
      </w:r>
      <w:r w:rsidRPr="00B50225">
        <w:rPr>
          <w:szCs w:val="18"/>
        </w:rPr>
        <w:t xml:space="preserve">, za predchádzajúce účtovné obdobie, bola schválená valným zhromaždením Spoločnosti </w:t>
      </w:r>
      <w:r>
        <w:rPr>
          <w:szCs w:val="18"/>
        </w:rPr>
        <w:t xml:space="preserve">30.06.2020 </w:t>
      </w:r>
    </w:p>
    <w:p w:rsidR="00A06D32" w:rsidRDefault="00A06D32" w:rsidP="00A06D32">
      <w:pPr>
        <w:pStyle w:val="Zkladntext"/>
        <w:ind w:hanging="426"/>
        <w:rPr>
          <w:szCs w:val="18"/>
        </w:rPr>
      </w:pPr>
    </w:p>
    <w:p w:rsidR="00A06D32" w:rsidRPr="00891481" w:rsidRDefault="00A06D32" w:rsidP="00A06D32">
      <w:pPr>
        <w:pStyle w:val="Nadpis2"/>
        <w:numPr>
          <w:ilvl w:val="0"/>
          <w:numId w:val="2"/>
        </w:numPr>
        <w:rPr>
          <w:szCs w:val="18"/>
        </w:rPr>
      </w:pPr>
      <w:r w:rsidRPr="00891481">
        <w:rPr>
          <w:szCs w:val="18"/>
        </w:rPr>
        <w:t>Právny dôvod na zostavenie účtovnej závierky</w:t>
      </w:r>
    </w:p>
    <w:p w:rsidR="00A06D32" w:rsidRDefault="00A06D32" w:rsidP="00A06D32">
      <w:pPr>
        <w:pStyle w:val="Zkladntext"/>
        <w:ind w:hanging="426"/>
        <w:rPr>
          <w:szCs w:val="18"/>
        </w:rPr>
      </w:pPr>
      <w:r w:rsidRPr="008C0838">
        <w:rPr>
          <w:szCs w:val="18"/>
        </w:rPr>
        <w:tab/>
        <w:t xml:space="preserve">Účtovná závierka Spoločnosti k 31. decembru </w:t>
      </w:r>
      <w:r>
        <w:rPr>
          <w:szCs w:val="18"/>
        </w:rPr>
        <w:t>2020</w:t>
      </w:r>
      <w:r w:rsidRPr="00B50225">
        <w:rPr>
          <w:szCs w:val="18"/>
        </w:rPr>
        <w:t xml:space="preserve"> je zostavená ako riadna účtovná závierka podľa § 17 ods. 6 zákona NR SR č. 431/2002 Z. z. o účtovníctve </w:t>
      </w:r>
      <w:r>
        <w:rPr>
          <w:szCs w:val="18"/>
        </w:rPr>
        <w:t xml:space="preserve">(ďalej „zákon o účtovníctve“) </w:t>
      </w:r>
      <w:r w:rsidRPr="00B50225">
        <w:rPr>
          <w:szCs w:val="18"/>
        </w:rPr>
        <w:t>za účtovné obdobie od 1. januára 20</w:t>
      </w:r>
      <w:r>
        <w:rPr>
          <w:szCs w:val="18"/>
        </w:rPr>
        <w:t>20</w:t>
      </w:r>
      <w:r w:rsidRPr="00B50225">
        <w:rPr>
          <w:szCs w:val="18"/>
        </w:rPr>
        <w:t xml:space="preserve"> do 31.</w:t>
      </w:r>
      <w:r>
        <w:rPr>
          <w:szCs w:val="18"/>
        </w:rPr>
        <w:t> </w:t>
      </w:r>
      <w:r w:rsidRPr="00B50225">
        <w:rPr>
          <w:szCs w:val="18"/>
        </w:rPr>
        <w:t xml:space="preserve">decembra </w:t>
      </w:r>
      <w:r>
        <w:rPr>
          <w:szCs w:val="18"/>
        </w:rPr>
        <w:t>2020.</w:t>
      </w:r>
    </w:p>
    <w:p w:rsidR="00A06D32" w:rsidRDefault="00A06D32" w:rsidP="00A06D32">
      <w:pPr>
        <w:pStyle w:val="Zkladntext"/>
        <w:ind w:hanging="426"/>
        <w:rPr>
          <w:szCs w:val="18"/>
        </w:rPr>
      </w:pPr>
    </w:p>
    <w:p w:rsidR="00A06D32" w:rsidRDefault="00A06D32" w:rsidP="00A06D32">
      <w:pPr>
        <w:pStyle w:val="Zkladntext"/>
        <w:ind w:hanging="426"/>
        <w:rPr>
          <w:szCs w:val="18"/>
        </w:rPr>
      </w:pPr>
      <w:r>
        <w:rPr>
          <w:szCs w:val="18"/>
        </w:rP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Pr>
          <w:szCs w:val="18"/>
        </w:rPr>
        <w:t xml:space="preserve"> </w:t>
      </w:r>
    </w:p>
    <w:p w:rsidR="00A06D32" w:rsidRPr="00B50225" w:rsidRDefault="00A06D32" w:rsidP="00A06D32">
      <w:pPr>
        <w:pStyle w:val="Zkladntext"/>
        <w:ind w:hanging="426"/>
        <w:rPr>
          <w:szCs w:val="18"/>
        </w:rPr>
      </w:pPr>
    </w:p>
    <w:p w:rsidR="00A06D32" w:rsidRPr="00891481" w:rsidRDefault="00A06D32" w:rsidP="00A06D32">
      <w:pPr>
        <w:pStyle w:val="Nadpis2"/>
        <w:numPr>
          <w:ilvl w:val="0"/>
          <w:numId w:val="2"/>
        </w:numPr>
        <w:rPr>
          <w:szCs w:val="18"/>
        </w:rPr>
      </w:pPr>
      <w:r>
        <w:rPr>
          <w:szCs w:val="18"/>
        </w:rPr>
        <w:t xml:space="preserve">Informácie o skupine </w:t>
      </w:r>
    </w:p>
    <w:p w:rsidR="00A06D32" w:rsidRPr="00814726" w:rsidRDefault="00A06D32" w:rsidP="00A06D32">
      <w:pPr>
        <w:pStyle w:val="Nadpis2"/>
        <w:ind w:left="426"/>
        <w:rPr>
          <w:b w:val="0"/>
          <w:szCs w:val="18"/>
        </w:rPr>
      </w:pPr>
      <w:r w:rsidRPr="00814726">
        <w:rPr>
          <w:b w:val="0"/>
          <w:szCs w:val="18"/>
        </w:rPr>
        <w:t>Spoločnosť nie je súčasťou konsolidovaného celku a preto nemá povinnosť vykonať konsolidovanú účtovnú závierku podľa § 22.</w:t>
      </w:r>
    </w:p>
    <w:p w:rsidR="00A06D32" w:rsidRDefault="00A06D32" w:rsidP="00A06D32">
      <w:pPr>
        <w:pStyle w:val="Nadpis2"/>
        <w:ind w:left="720"/>
        <w:rPr>
          <w:szCs w:val="18"/>
        </w:rPr>
      </w:pPr>
    </w:p>
    <w:p w:rsidR="00A06D32" w:rsidRDefault="00A06D32" w:rsidP="00A06D32">
      <w:pPr>
        <w:pStyle w:val="Nadpis2"/>
        <w:numPr>
          <w:ilvl w:val="0"/>
          <w:numId w:val="2"/>
        </w:numPr>
        <w:rPr>
          <w:szCs w:val="18"/>
        </w:rPr>
      </w:pPr>
      <w:r>
        <w:rPr>
          <w:szCs w:val="18"/>
        </w:rPr>
        <w:t>Priemerný prepočítaný p</w:t>
      </w:r>
      <w:r w:rsidRPr="00B50225">
        <w:rPr>
          <w:szCs w:val="18"/>
        </w:rPr>
        <w:t xml:space="preserve">očet zamestnancov </w:t>
      </w:r>
    </w:p>
    <w:p w:rsidR="00A06D32" w:rsidRPr="00A31BBB" w:rsidRDefault="00A06D32" w:rsidP="00A06D32">
      <w:pPr>
        <w:pStyle w:val="Zkladntext"/>
        <w:rPr>
          <w:szCs w:val="18"/>
        </w:rPr>
      </w:pPr>
      <w:r w:rsidRPr="00A31BBB">
        <w:rPr>
          <w:szCs w:val="18"/>
        </w:rPr>
        <w:t>Priemerný prepočítaný počet zamestnancov Spoločnosti v účtovnom období 20</w:t>
      </w:r>
      <w:r>
        <w:rPr>
          <w:szCs w:val="18"/>
        </w:rPr>
        <w:t>20</w:t>
      </w:r>
      <w:r w:rsidRPr="00A31BBB">
        <w:rPr>
          <w:szCs w:val="18"/>
        </w:rPr>
        <w:t xml:space="preserve"> bol </w:t>
      </w:r>
      <w:r>
        <w:rPr>
          <w:szCs w:val="18"/>
        </w:rPr>
        <w:t>0</w:t>
      </w:r>
      <w:r w:rsidRPr="00A31BBB">
        <w:rPr>
          <w:szCs w:val="18"/>
        </w:rPr>
        <w:t xml:space="preserve"> (v účtovnom období 20</w:t>
      </w:r>
      <w:r>
        <w:rPr>
          <w:szCs w:val="18"/>
        </w:rPr>
        <w:t>20</w:t>
      </w:r>
      <w:r w:rsidRPr="00A31BBB">
        <w:rPr>
          <w:szCs w:val="18"/>
        </w:rPr>
        <w:t xml:space="preserve"> bol </w:t>
      </w:r>
      <w:r w:rsidRPr="00C45F77">
        <w:rPr>
          <w:szCs w:val="18"/>
        </w:rPr>
        <w:t>0</w:t>
      </w:r>
      <w:r w:rsidRPr="00A31BBB">
        <w:rPr>
          <w:szCs w:val="18"/>
        </w:rPr>
        <w:t>).</w:t>
      </w:r>
    </w:p>
    <w:p w:rsidR="00A06D32" w:rsidRPr="00A31BBB" w:rsidRDefault="00A06D32" w:rsidP="00A06D32">
      <w:pPr>
        <w:pStyle w:val="Zkladntext"/>
        <w:rPr>
          <w:szCs w:val="18"/>
        </w:rPr>
      </w:pPr>
    </w:p>
    <w:p w:rsidR="00A06D32" w:rsidRDefault="00A06D32" w:rsidP="00A06D32">
      <w:pPr>
        <w:pStyle w:val="Nadpis1"/>
        <w:tabs>
          <w:tab w:val="num" w:pos="360"/>
        </w:tabs>
        <w:ind w:left="360"/>
        <w:rPr>
          <w:szCs w:val="18"/>
        </w:rPr>
      </w:pPr>
      <w:bookmarkStart w:id="2" w:name="_Toc530739897"/>
      <w:r w:rsidRPr="00B50225">
        <w:rPr>
          <w:szCs w:val="18"/>
        </w:rPr>
        <w:t>Informácie o orgánoch účtovnej jednotky</w:t>
      </w:r>
      <w:bookmarkEnd w:id="2"/>
    </w:p>
    <w:p w:rsidR="00A06D32" w:rsidRDefault="00A06D32" w:rsidP="00A06D32"/>
    <w:p w:rsidR="00A06D32" w:rsidRDefault="00A06D32" w:rsidP="00A06D32">
      <w:pPr>
        <w:pStyle w:val="Zkladntext"/>
        <w:rPr>
          <w:szCs w:val="18"/>
        </w:rPr>
      </w:pPr>
      <w:bookmarkStart w:id="3" w:name="_Toc530739898"/>
      <w:r w:rsidRPr="00B50225">
        <w:rPr>
          <w:szCs w:val="18"/>
        </w:rPr>
        <w:t>Členom štatutárne</w:t>
      </w:r>
      <w:r>
        <w:rPr>
          <w:szCs w:val="18"/>
        </w:rPr>
        <w:t>ho</w:t>
      </w:r>
      <w:r w:rsidRPr="00B50225">
        <w:rPr>
          <w:szCs w:val="18"/>
        </w:rPr>
        <w:t xml:space="preserve"> orgánu, ani členom dozorných orgánov  neboli v roku 20</w:t>
      </w:r>
      <w:r>
        <w:rPr>
          <w:szCs w:val="18"/>
        </w:rPr>
        <w:t>20</w:t>
      </w:r>
      <w:r w:rsidRPr="00B50225">
        <w:rPr>
          <w:szCs w:val="18"/>
        </w:rPr>
        <w:t xml:space="preserve"> poskytnuté žiadne pôžičky, záruky alebo iné formy zabezpečenia, ani finančné prostriedky alebo iné plnenia na súkromné účely členov, ktoré sa vyúčtovávajú             (v roku 20</w:t>
      </w:r>
      <w:r>
        <w:rPr>
          <w:szCs w:val="18"/>
        </w:rPr>
        <w:t>19</w:t>
      </w:r>
      <w:r w:rsidRPr="00B50225">
        <w:rPr>
          <w:szCs w:val="18"/>
        </w:rPr>
        <w:t>: žiadne).</w:t>
      </w:r>
    </w:p>
    <w:p w:rsidR="00A06D32" w:rsidRDefault="00A06D32" w:rsidP="00A06D32">
      <w:pPr>
        <w:pStyle w:val="Zkladntext"/>
        <w:rPr>
          <w:szCs w:val="18"/>
        </w:rPr>
      </w:pPr>
    </w:p>
    <w:p w:rsidR="00A06D32" w:rsidRPr="00FD3474" w:rsidRDefault="00A06D32" w:rsidP="00A06D32">
      <w:pPr>
        <w:pStyle w:val="Nadpis1"/>
        <w:tabs>
          <w:tab w:val="num" w:pos="360"/>
        </w:tabs>
        <w:ind w:left="360"/>
        <w:rPr>
          <w:szCs w:val="18"/>
        </w:rPr>
      </w:pPr>
      <w:bookmarkStart w:id="4" w:name="_Toc530739899"/>
      <w:bookmarkEnd w:id="3"/>
      <w:r w:rsidRPr="00FD3474">
        <w:rPr>
          <w:szCs w:val="18"/>
        </w:rPr>
        <w:t>Informácie o</w:t>
      </w:r>
      <w:r>
        <w:rPr>
          <w:szCs w:val="18"/>
        </w:rPr>
        <w:t xml:space="preserve"> PRIJATÝCH POSTUPOCH </w:t>
      </w:r>
      <w:bookmarkEnd w:id="4"/>
    </w:p>
    <w:p w:rsidR="00A06D32" w:rsidRPr="00891481" w:rsidRDefault="00A06D32" w:rsidP="00A06D32">
      <w:pPr>
        <w:pStyle w:val="Zkladntext"/>
        <w:ind w:left="786"/>
        <w:rPr>
          <w:szCs w:val="18"/>
        </w:rPr>
      </w:pPr>
    </w:p>
    <w:p w:rsidR="00A06D32" w:rsidRPr="00B50225" w:rsidRDefault="00A06D32" w:rsidP="00A06D32">
      <w:pPr>
        <w:pStyle w:val="Pismenka"/>
        <w:numPr>
          <w:ilvl w:val="0"/>
          <w:numId w:val="4"/>
        </w:numPr>
        <w:rPr>
          <w:szCs w:val="18"/>
        </w:rPr>
      </w:pPr>
      <w:r w:rsidRPr="008C0838">
        <w:rPr>
          <w:szCs w:val="18"/>
        </w:rPr>
        <w:t xml:space="preserve">Východiská pre </w:t>
      </w:r>
      <w:r w:rsidRPr="00B50225">
        <w:rPr>
          <w:szCs w:val="18"/>
        </w:rPr>
        <w:t>zostavenie účtovnej závierky</w:t>
      </w:r>
    </w:p>
    <w:p w:rsidR="00A06D32" w:rsidRDefault="00A06D32" w:rsidP="00A06D32">
      <w:pPr>
        <w:pStyle w:val="Zkladntext"/>
        <w:ind w:left="450"/>
        <w:rPr>
          <w:szCs w:val="18"/>
        </w:rPr>
      </w:pPr>
      <w:r w:rsidRPr="00B50225">
        <w:rPr>
          <w:szCs w:val="18"/>
        </w:rPr>
        <w:t>Účtovná závierka bola zostavená za predpokladu, že Spoločnosť bude nepretržite pokračovať vo svojej činnosti (going concern).</w:t>
      </w:r>
    </w:p>
    <w:p w:rsidR="00A06D32" w:rsidRDefault="00A06D32" w:rsidP="00A06D32">
      <w:pPr>
        <w:pStyle w:val="Zkladntext"/>
        <w:rPr>
          <w:szCs w:val="18"/>
        </w:rPr>
      </w:pPr>
    </w:p>
    <w:p w:rsidR="00A06D32" w:rsidRPr="0028408E" w:rsidRDefault="00A06D32" w:rsidP="00A06D32">
      <w:pPr>
        <w:pStyle w:val="Zkladntext"/>
        <w:rPr>
          <w:color w:val="0070C0"/>
          <w:szCs w:val="18"/>
        </w:rPr>
      </w:pPr>
      <w:r w:rsidRPr="00A31BBB">
        <w:rPr>
          <w:szCs w:val="18"/>
        </w:rPr>
        <w:t>Účtovné metódy a všeobecné účtovné zásady boli účtovnou jednotkou konzistentne aplikované.</w:t>
      </w:r>
    </w:p>
    <w:p w:rsidR="00A06D32" w:rsidRPr="00BC7633" w:rsidRDefault="00A06D32" w:rsidP="00A06D32">
      <w:pPr>
        <w:pStyle w:val="Zkladntext"/>
        <w:ind w:left="450"/>
      </w:pPr>
    </w:p>
    <w:p w:rsidR="00A06D32" w:rsidRPr="00A31BBB" w:rsidRDefault="00A06D32" w:rsidP="00A06D32">
      <w:pPr>
        <w:pStyle w:val="Pismenka"/>
        <w:numPr>
          <w:ilvl w:val="0"/>
          <w:numId w:val="4"/>
        </w:numPr>
        <w:rPr>
          <w:szCs w:val="18"/>
        </w:rPr>
      </w:pPr>
      <w:r w:rsidRPr="00A31BBB">
        <w:rPr>
          <w:szCs w:val="18"/>
        </w:rPr>
        <w:t>Použitie odhadov a úsudkov</w:t>
      </w:r>
    </w:p>
    <w:p w:rsidR="00A06D32" w:rsidRPr="00A31BBB" w:rsidRDefault="00A06D32" w:rsidP="00A06D32">
      <w:pPr>
        <w:pStyle w:val="Zkladntext"/>
        <w:ind w:left="450"/>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Pr>
          <w:szCs w:val="18"/>
        </w:rPr>
        <w:t xml:space="preserve">preto </w:t>
      </w:r>
      <w:r w:rsidRPr="00A31BBB">
        <w:rPr>
          <w:szCs w:val="18"/>
        </w:rPr>
        <w:t>môžu líšiť od odhadov.</w:t>
      </w:r>
    </w:p>
    <w:p w:rsidR="00A06D32" w:rsidRPr="00A31BBB" w:rsidRDefault="00A06D32" w:rsidP="00A06D32">
      <w:pPr>
        <w:pStyle w:val="Zkladntext"/>
        <w:ind w:left="450"/>
        <w:rPr>
          <w:szCs w:val="18"/>
        </w:rPr>
      </w:pPr>
    </w:p>
    <w:p w:rsidR="00A06D32" w:rsidRDefault="00A06D32" w:rsidP="00A06D32">
      <w:pPr>
        <w:pStyle w:val="Zkladntext"/>
        <w:ind w:left="450"/>
        <w:rPr>
          <w:szCs w:val="18"/>
        </w:rPr>
      </w:pPr>
      <w:r w:rsidRPr="00A31BBB">
        <w:rPr>
          <w:szCs w:val="18"/>
        </w:rPr>
        <w:t xml:space="preserve">Odhady a súvisiace predpoklady sú neustále prehodnocované. Korekcie účtovných odhadov </w:t>
      </w:r>
      <w:r>
        <w:rPr>
          <w:szCs w:val="18"/>
        </w:rPr>
        <w:t xml:space="preserve">nie sú vykázané retrospektívne, ale </w:t>
      </w:r>
      <w:r w:rsidRPr="00A31BBB">
        <w:rPr>
          <w:szCs w:val="18"/>
        </w:rPr>
        <w:t>sú vykázané  v období, v ktorom je odhad korigovaný, ak korekcia ovplyvňuje iba toto obdobie</w:t>
      </w:r>
      <w:r>
        <w:rPr>
          <w:szCs w:val="18"/>
        </w:rPr>
        <w:t>,</w:t>
      </w:r>
      <w:r w:rsidRPr="00A31BBB">
        <w:rPr>
          <w:szCs w:val="18"/>
        </w:rPr>
        <w:t xml:space="preserve"> alebo v období korekcie a v budúcich obdobiach, ak korekcia ovplyvňuje toto aj budúce obdobia. </w:t>
      </w:r>
    </w:p>
    <w:p w:rsidR="00A06D32" w:rsidRDefault="00A06D32" w:rsidP="00A06D32">
      <w:pPr>
        <w:spacing w:after="200" w:line="276" w:lineRule="auto"/>
        <w:rPr>
          <w:sz w:val="18"/>
          <w:szCs w:val="18"/>
        </w:rPr>
      </w:pPr>
      <w:r>
        <w:rPr>
          <w:szCs w:val="18"/>
        </w:rPr>
        <w:br w:type="page"/>
      </w:r>
    </w:p>
    <w:p w:rsidR="00A06D32" w:rsidRPr="00D06026" w:rsidRDefault="00A06D32" w:rsidP="00A06D32">
      <w:pPr>
        <w:pStyle w:val="Zkladntext"/>
        <w:rPr>
          <w:b/>
          <w:i/>
          <w:szCs w:val="18"/>
        </w:rPr>
      </w:pPr>
      <w:r w:rsidRPr="00D06026">
        <w:rPr>
          <w:b/>
          <w:i/>
          <w:szCs w:val="18"/>
        </w:rPr>
        <w:lastRenderedPageBreak/>
        <w:t>Úsudky</w:t>
      </w:r>
    </w:p>
    <w:p w:rsidR="00A06D32" w:rsidRDefault="00A06D32" w:rsidP="00A06D32">
      <w:pPr>
        <w:pStyle w:val="NormalLeft"/>
        <w:ind w:left="426"/>
        <w:rPr>
          <w:sz w:val="18"/>
          <w:szCs w:val="18"/>
        </w:rPr>
      </w:pPr>
      <w:r w:rsidRPr="00D06026">
        <w:rPr>
          <w:sz w:val="18"/>
          <w:szCs w:val="18"/>
        </w:rPr>
        <w:t>Informácie o úsudkoch použitých v súvislosti s aplikáciou účtovných metód a účtovných zásad, ktoré majú významný dopad na hodnoty vykázané v účtovnej závierke</w:t>
      </w:r>
      <w:r>
        <w:rPr>
          <w:sz w:val="18"/>
          <w:szCs w:val="18"/>
        </w:rPr>
        <w:t>.</w:t>
      </w:r>
    </w:p>
    <w:p w:rsidR="00A06D32" w:rsidRDefault="00A06D32" w:rsidP="00A06D32">
      <w:pPr>
        <w:pStyle w:val="Zkladntext"/>
        <w:ind w:left="450"/>
        <w:rPr>
          <w:szCs w:val="18"/>
        </w:rPr>
      </w:pPr>
    </w:p>
    <w:p w:rsidR="00A06D32" w:rsidRPr="00D06026" w:rsidRDefault="00A06D32" w:rsidP="00A06D32">
      <w:pPr>
        <w:pStyle w:val="Zkladntext"/>
        <w:rPr>
          <w:b/>
          <w:i/>
          <w:szCs w:val="18"/>
        </w:rPr>
      </w:pPr>
      <w:r w:rsidRPr="00D06026">
        <w:rPr>
          <w:b/>
          <w:i/>
          <w:szCs w:val="18"/>
        </w:rPr>
        <w:t>Neistoty v odhadoch a predpokladoch</w:t>
      </w:r>
    </w:p>
    <w:p w:rsidR="00A06D32" w:rsidRDefault="00A06D32" w:rsidP="00A06D32">
      <w:pPr>
        <w:pStyle w:val="NormalLeft"/>
        <w:ind w:left="426"/>
        <w:rPr>
          <w:sz w:val="18"/>
          <w:szCs w:val="18"/>
        </w:rPr>
      </w:pPr>
      <w:r w:rsidRPr="00756F2F">
        <w:rPr>
          <w:sz w:val="18"/>
          <w:szCs w:val="18"/>
        </w:rPr>
        <w:t>Spoločnosť neidentifikovala takú neistotu v odhadoch a predpokladoch, pri ktorej by existovalo signifikantné riziko, že by mohla viesť k ich významnej úprave v nasledujúcom účtovnom období.</w:t>
      </w:r>
    </w:p>
    <w:p w:rsidR="00A06D32" w:rsidRPr="00756F2F" w:rsidRDefault="00A06D32" w:rsidP="00A06D32">
      <w:pPr>
        <w:pStyle w:val="NormalLeft"/>
        <w:ind w:left="426"/>
        <w:rPr>
          <w:sz w:val="18"/>
          <w:szCs w:val="18"/>
        </w:rPr>
      </w:pPr>
    </w:p>
    <w:p w:rsidR="00A06D32" w:rsidRPr="00B50225" w:rsidRDefault="00A06D32" w:rsidP="00A06D32">
      <w:pPr>
        <w:pStyle w:val="Pismenka"/>
        <w:numPr>
          <w:ilvl w:val="0"/>
          <w:numId w:val="4"/>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A06D32" w:rsidRPr="00B50225" w:rsidRDefault="00A06D32" w:rsidP="00A06D32">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A06D32" w:rsidRPr="00B50225" w:rsidRDefault="00A06D32" w:rsidP="00A06D32">
      <w:pPr>
        <w:pStyle w:val="Zkladntext"/>
        <w:rPr>
          <w:szCs w:val="18"/>
        </w:rPr>
      </w:pPr>
    </w:p>
    <w:p w:rsidR="00A06D32" w:rsidRDefault="00A06D32" w:rsidP="00A06D32">
      <w:pPr>
        <w:pStyle w:val="Zkladntext"/>
        <w:rPr>
          <w:szCs w:val="18"/>
        </w:rPr>
      </w:pPr>
      <w:r w:rsidRPr="00B50225">
        <w:rPr>
          <w:szCs w:val="18"/>
        </w:rPr>
        <w:t xml:space="preserve">Súčasťou obstarávacej ceny dlhodobého majetku </w:t>
      </w:r>
      <w:r w:rsidRPr="00756F2F">
        <w:rPr>
          <w:szCs w:val="18"/>
        </w:rPr>
        <w:t>nie sú</w:t>
      </w:r>
      <w:r w:rsidRPr="0028408E">
        <w:rPr>
          <w:color w:val="0070C0"/>
          <w:szCs w:val="18"/>
        </w:rPr>
        <w:t xml:space="preserve"> </w:t>
      </w:r>
      <w:r w:rsidRPr="00B3143B">
        <w:rPr>
          <w:szCs w:val="18"/>
        </w:rPr>
        <w:t>úroky z </w:t>
      </w:r>
      <w:r w:rsidRPr="00AE62D9">
        <w:rPr>
          <w:szCs w:val="18"/>
        </w:rPr>
        <w:t>úverov,</w:t>
      </w:r>
      <w:r w:rsidRPr="00B3143B">
        <w:rPr>
          <w:szCs w:val="18"/>
        </w:rPr>
        <w:t xml:space="preserve"> ktoré vznikli</w:t>
      </w:r>
      <w:r>
        <w:rPr>
          <w:szCs w:val="18"/>
        </w:rPr>
        <w:t xml:space="preserve"> do momentu uvedenia dlhodobého majetku do používania. </w:t>
      </w:r>
    </w:p>
    <w:p w:rsidR="00A06D32" w:rsidRDefault="00A06D32" w:rsidP="00A06D32">
      <w:pPr>
        <w:pStyle w:val="Zkladntext"/>
        <w:rPr>
          <w:szCs w:val="18"/>
        </w:rPr>
      </w:pPr>
    </w:p>
    <w:p w:rsidR="00A06D32" w:rsidRDefault="00A06D32" w:rsidP="00A06D32">
      <w:pPr>
        <w:pStyle w:val="Zkladn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A06D32" w:rsidRDefault="00A06D32" w:rsidP="00A06D32">
      <w:pPr>
        <w:pStyle w:val="Zkladntext"/>
        <w:rPr>
          <w:szCs w:val="18"/>
        </w:rPr>
      </w:pPr>
      <w:r>
        <w:rPr>
          <w:szCs w:val="18"/>
        </w:rPr>
        <w:tab/>
      </w:r>
    </w:p>
    <w:p w:rsidR="00A06D32" w:rsidRDefault="00A06D32" w:rsidP="00A06D32">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A06D32" w:rsidRDefault="00A06D32" w:rsidP="00A06D32">
      <w:pPr>
        <w:pStyle w:val="Zkladntext"/>
        <w:rPr>
          <w:szCs w:val="18"/>
        </w:rPr>
      </w:pPr>
    </w:p>
    <w:p w:rsidR="00A06D32" w:rsidRDefault="00A06D32" w:rsidP="00A06D32">
      <w:pPr>
        <w:pStyle w:val="Zkladntext"/>
        <w:rPr>
          <w:color w:val="0070C0"/>
          <w:szCs w:val="18"/>
        </w:rPr>
      </w:pPr>
      <w:r w:rsidRPr="00756F2F">
        <w:rPr>
          <w:szCs w:val="18"/>
        </w:rPr>
        <w:t>Odpisovať sa začína v mesiaci uvedenia dlhodobého majetku do používania. Drobný dlhodobý nehmotný majetok, ktorého obstarávacia cena (resp. vlastné náklady) je 2 400 EUR a nižšia,</w:t>
      </w:r>
      <w:r>
        <w:rPr>
          <w:szCs w:val="18"/>
        </w:rPr>
        <w:t xml:space="preserve"> </w:t>
      </w:r>
      <w:r w:rsidRPr="00756F2F">
        <w:rPr>
          <w:szCs w:val="18"/>
        </w:rPr>
        <w:t>sa považuje za náklad a účtuje sa na účet 518 – Ostatné služby.</w:t>
      </w:r>
    </w:p>
    <w:p w:rsidR="00A06D32" w:rsidRDefault="00A06D32" w:rsidP="00A06D32">
      <w:pPr>
        <w:pStyle w:val="Zkladntext"/>
        <w:rPr>
          <w:color w:val="0070C0"/>
          <w:szCs w:val="18"/>
        </w:rPr>
      </w:pPr>
    </w:p>
    <w:p w:rsidR="00A06D32" w:rsidRPr="00B50225" w:rsidRDefault="00A06D32" w:rsidP="00A06D32">
      <w:pPr>
        <w:pStyle w:val="Zkladntext"/>
        <w:rPr>
          <w:szCs w:val="18"/>
        </w:rPr>
      </w:pPr>
      <w:r w:rsidRPr="00B50225">
        <w:rPr>
          <w:szCs w:val="18"/>
        </w:rPr>
        <w:t>Predpokladaná doba používania, metóda odpisovania a odpisová sadzba sú uvedené v nasledujúcej tabuľke:</w:t>
      </w:r>
    </w:p>
    <w:p w:rsidR="00A06D32" w:rsidRDefault="00A06D32" w:rsidP="00A06D32">
      <w:pPr>
        <w:pStyle w:val="Zkladntext"/>
        <w:rPr>
          <w:szCs w:val="18"/>
        </w:rPr>
      </w:pPr>
    </w:p>
    <w:bookmarkStart w:id="5" w:name="_MON_1508924653"/>
    <w:bookmarkEnd w:id="5"/>
    <w:p w:rsidR="00A06D32" w:rsidRDefault="00A06D32" w:rsidP="00A06D32">
      <w:pPr>
        <w:pStyle w:val="Zkladntext"/>
        <w:rPr>
          <w:szCs w:val="18"/>
        </w:rPr>
      </w:pPr>
      <w:r>
        <w:rPr>
          <w:szCs w:val="18"/>
        </w:rPr>
        <w:object w:dxaOrig="8901" w:dyaOrig="17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87pt" o:ole="">
            <v:imagedata r:id="rId8" o:title=""/>
          </v:shape>
          <o:OLEObject Type="Embed" ProgID="Excel.Sheet.12" ShapeID="_x0000_i1025" DrawAspect="Content" ObjectID="_1681490892" r:id="rId9"/>
        </w:object>
      </w:r>
    </w:p>
    <w:p w:rsidR="00A06D32" w:rsidRDefault="00A06D32" w:rsidP="00A06D32">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A06D32" w:rsidRPr="00A31BBB" w:rsidRDefault="00A06D32" w:rsidP="00A06D32">
      <w:pPr>
        <w:pStyle w:val="Zkladntext"/>
        <w:rPr>
          <w:szCs w:val="18"/>
        </w:rPr>
      </w:pPr>
    </w:p>
    <w:p w:rsidR="00A06D32" w:rsidRDefault="00A06D32" w:rsidP="00A06D32">
      <w:pPr>
        <w:pStyle w:val="Zkladntext"/>
        <w:rPr>
          <w:szCs w:val="18"/>
        </w:rPr>
      </w:pPr>
      <w:r w:rsidRPr="00891481">
        <w:rPr>
          <w:szCs w:val="18"/>
        </w:rPr>
        <w:t xml:space="preserve">Odpisy dlhodobého hmotného majetku sú stanovené vychádzajúc z predpokladanej doby jeho používania a predpokladaného priebehu jeho </w:t>
      </w:r>
      <w:r>
        <w:rPr>
          <w:szCs w:val="18"/>
        </w:rPr>
        <w:t>opotrebenia.</w:t>
      </w:r>
    </w:p>
    <w:p w:rsidR="00A06D32" w:rsidRDefault="00A06D32" w:rsidP="00A06D32">
      <w:pPr>
        <w:pStyle w:val="Zkladntext"/>
        <w:rPr>
          <w:i/>
          <w:color w:val="0070C0"/>
          <w:szCs w:val="18"/>
        </w:rPr>
      </w:pPr>
    </w:p>
    <w:p w:rsidR="00A06D32" w:rsidRPr="0028408E" w:rsidRDefault="00A06D32" w:rsidP="00A06D32">
      <w:pPr>
        <w:pStyle w:val="Zkladntext"/>
        <w:rPr>
          <w:i/>
          <w:color w:val="0070C0"/>
          <w:szCs w:val="18"/>
        </w:rPr>
      </w:pPr>
    </w:p>
    <w:p w:rsidR="00A06D32" w:rsidRPr="00756F2F" w:rsidRDefault="00A06D32" w:rsidP="00A06D32">
      <w:pPr>
        <w:pStyle w:val="Zkladntext"/>
        <w:rPr>
          <w:szCs w:val="18"/>
        </w:rPr>
      </w:pPr>
      <w:r w:rsidRPr="00756F2F">
        <w:rPr>
          <w:szCs w:val="18"/>
        </w:rPr>
        <w:t xml:space="preserve">Odpisovať sa začína prvým dňom mesiaca nasledujúceho po uvedení dlhodobého majetku do používania. Drobný dlhodobý hmotný majetok, ktorého obstarávacia cena (resp. vlastné náklady) je 1 700 EUR a nižšia, sa považuje za zásoby a účtuje sa do nákladov pri jeho vydaní do spotreby. </w:t>
      </w:r>
    </w:p>
    <w:p w:rsidR="00A06D32" w:rsidRPr="00FE335D" w:rsidRDefault="00A06D32" w:rsidP="00A06D32">
      <w:pPr>
        <w:pStyle w:val="Zkladntext"/>
        <w:rPr>
          <w:color w:val="00B0F0"/>
          <w:szCs w:val="18"/>
        </w:rPr>
      </w:pPr>
    </w:p>
    <w:p w:rsidR="00A06D32" w:rsidRPr="0028408E" w:rsidRDefault="00A06D32" w:rsidP="00A06D32">
      <w:pPr>
        <w:pStyle w:val="Zkladntext"/>
        <w:rPr>
          <w:szCs w:val="18"/>
        </w:rPr>
      </w:pPr>
      <w:r w:rsidRPr="0028408E">
        <w:rPr>
          <w:szCs w:val="18"/>
        </w:rPr>
        <w:t xml:space="preserve">Pozemky sa neodpisujú. </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r w:rsidRPr="00B50225">
        <w:rPr>
          <w:szCs w:val="18"/>
        </w:rPr>
        <w:lastRenderedPageBreak/>
        <w:t>Predpokladaná doba používania, metóda odpisovania a odpisová sadzba sú uvedené v nasledujúcej tabuľke:</w:t>
      </w:r>
    </w:p>
    <w:p w:rsidR="00A06D32" w:rsidRDefault="00A06D32" w:rsidP="00A06D32">
      <w:pPr>
        <w:pStyle w:val="Zkladntext"/>
        <w:rPr>
          <w:szCs w:val="18"/>
        </w:rPr>
      </w:pPr>
    </w:p>
    <w:p w:rsidR="00A06D32" w:rsidRPr="00B50225" w:rsidRDefault="00A06D32" w:rsidP="00A06D32">
      <w:pPr>
        <w:pStyle w:val="Zkladntext"/>
        <w:rPr>
          <w:szCs w:val="18"/>
        </w:rPr>
      </w:pPr>
    </w:p>
    <w:bookmarkStart w:id="6" w:name="_MON_1500299770"/>
    <w:bookmarkEnd w:id="6"/>
    <w:p w:rsidR="00A06D32" w:rsidRDefault="00A06D32" w:rsidP="00A06D32">
      <w:pPr>
        <w:pStyle w:val="Zkladntext"/>
        <w:rPr>
          <w:szCs w:val="18"/>
        </w:rPr>
      </w:pPr>
      <w:r>
        <w:rPr>
          <w:szCs w:val="18"/>
        </w:rPr>
        <w:object w:dxaOrig="8829" w:dyaOrig="1754">
          <v:shape id="_x0000_i1026" type="#_x0000_t75" style="width:441pt;height:87.75pt" o:ole="">
            <v:imagedata r:id="rId10" o:title=""/>
          </v:shape>
          <o:OLEObject Type="Embed" ProgID="Excel.Sheet.12" ShapeID="_x0000_i1026" DrawAspect="Content" ObjectID="_1681490893" r:id="rId11"/>
        </w:object>
      </w:r>
    </w:p>
    <w:p w:rsidR="00A06D32" w:rsidRPr="00A31BBB" w:rsidRDefault="00A06D32" w:rsidP="00A06D32">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A06D32" w:rsidRDefault="00A06D32" w:rsidP="00A06D32">
      <w:pPr>
        <w:pStyle w:val="Zkladntext"/>
        <w:rPr>
          <w:szCs w:val="18"/>
        </w:rPr>
      </w:pPr>
    </w:p>
    <w:p w:rsidR="00A06D32" w:rsidRPr="009B57D6" w:rsidRDefault="00A06D32" w:rsidP="00A06D32">
      <w:pPr>
        <w:pStyle w:val="Zkladntext"/>
        <w:rPr>
          <w:i/>
          <w:szCs w:val="18"/>
        </w:rPr>
      </w:pPr>
      <w:r w:rsidRPr="00D06026">
        <w:rPr>
          <w:b/>
          <w:i/>
          <w:szCs w:val="18"/>
        </w:rPr>
        <w:t>Posúdenie zníženia hodnoty majetku</w:t>
      </w:r>
    </w:p>
    <w:p w:rsidR="00A06D32" w:rsidRPr="009B57D6" w:rsidRDefault="00A06D32" w:rsidP="00A06D32">
      <w:pPr>
        <w:pStyle w:val="Zkladntext"/>
        <w:rPr>
          <w:i/>
          <w:szCs w:val="18"/>
        </w:rPr>
      </w:pPr>
    </w:p>
    <w:p w:rsidR="00A06D32" w:rsidRPr="00D06026" w:rsidRDefault="00A06D32" w:rsidP="00A06D32">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A06D32" w:rsidRPr="009E0040" w:rsidRDefault="00A06D32" w:rsidP="00A06D32">
      <w:pPr>
        <w:pStyle w:val="AccountingPolicy"/>
        <w:jc w:val="both"/>
        <w:rPr>
          <w:rFonts w:ascii="Arial" w:hAnsi="Arial" w:cs="Arial"/>
          <w:lang w:val="sk-SK"/>
        </w:rPr>
      </w:pPr>
    </w:p>
    <w:p w:rsidR="00A06D32" w:rsidRPr="00D06026" w:rsidRDefault="00A06D32" w:rsidP="00A06D32">
      <w:pPr>
        <w:pStyle w:val="Zkladntext"/>
      </w:pPr>
      <w:r w:rsidRPr="00D06026">
        <w:t xml:space="preserve">Faktory, ktoré sú považované za dôležité pri  posudzovaní zníženia hodnoty majetku sú: </w:t>
      </w:r>
    </w:p>
    <w:p w:rsidR="00A06D32" w:rsidRPr="00D06026" w:rsidRDefault="00A06D32" w:rsidP="00A06D32">
      <w:pPr>
        <w:pStyle w:val="Zkladntext"/>
        <w:numPr>
          <w:ilvl w:val="0"/>
          <w:numId w:val="7"/>
        </w:numPr>
        <w:tabs>
          <w:tab w:val="clear" w:pos="340"/>
          <w:tab w:val="num" w:pos="766"/>
        </w:tabs>
        <w:ind w:left="766"/>
      </w:pPr>
      <w:r w:rsidRPr="00D06026">
        <w:t>technologický pokrok,</w:t>
      </w:r>
    </w:p>
    <w:p w:rsidR="00A06D32" w:rsidRPr="00D06026" w:rsidRDefault="00A06D32" w:rsidP="00A06D32">
      <w:pPr>
        <w:pStyle w:val="Zkladntext"/>
        <w:numPr>
          <w:ilvl w:val="0"/>
          <w:numId w:val="7"/>
        </w:numPr>
        <w:tabs>
          <w:tab w:val="clear" w:pos="340"/>
          <w:tab w:val="num" w:pos="766"/>
        </w:tabs>
        <w:ind w:left="766"/>
      </w:pPr>
      <w:r w:rsidRPr="00D06026">
        <w:t>významne nedostatočné prevádzkové výsledky v porovnaní s historickými alebo plánovanými prevádzkovými výsledkami,</w:t>
      </w:r>
    </w:p>
    <w:p w:rsidR="00A06D32" w:rsidRPr="00D06026" w:rsidRDefault="00A06D32" w:rsidP="00A06D32">
      <w:pPr>
        <w:pStyle w:val="Zkladntext"/>
        <w:numPr>
          <w:ilvl w:val="0"/>
          <w:numId w:val="7"/>
        </w:numPr>
        <w:tabs>
          <w:tab w:val="clear" w:pos="340"/>
          <w:tab w:val="num" w:pos="766"/>
        </w:tabs>
        <w:ind w:left="766"/>
      </w:pPr>
      <w:r w:rsidRPr="00D06026">
        <w:t>významné zmeny v spôsobe použitia majetku Spoločnosti alebo celkovej zmeny stratégie Spoločnosti,</w:t>
      </w:r>
    </w:p>
    <w:p w:rsidR="00A06D32" w:rsidRDefault="00A06D32" w:rsidP="00A06D32">
      <w:pPr>
        <w:pStyle w:val="Zkladntext"/>
        <w:numPr>
          <w:ilvl w:val="0"/>
          <w:numId w:val="7"/>
        </w:numPr>
        <w:tabs>
          <w:tab w:val="clear" w:pos="340"/>
          <w:tab w:val="num" w:pos="766"/>
        </w:tabs>
        <w:ind w:left="766"/>
      </w:pPr>
      <w:r w:rsidRPr="00D06026">
        <w:t>zastaralosť produktov.</w:t>
      </w:r>
    </w:p>
    <w:p w:rsidR="00A06D32" w:rsidRPr="00D06026" w:rsidRDefault="00A06D32" w:rsidP="00A06D32">
      <w:pPr>
        <w:pStyle w:val="Zkladntext"/>
      </w:pPr>
    </w:p>
    <w:p w:rsidR="00A06D32" w:rsidRPr="009B57D6" w:rsidRDefault="00A06D32" w:rsidP="00A06D32">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r>
        <w:t>.</w:t>
      </w:r>
    </w:p>
    <w:p w:rsidR="00A06D32" w:rsidRPr="00B50225" w:rsidRDefault="00A06D32" w:rsidP="00A06D32">
      <w:pPr>
        <w:pStyle w:val="Zkladntext"/>
        <w:rPr>
          <w:szCs w:val="18"/>
        </w:rPr>
      </w:pPr>
    </w:p>
    <w:p w:rsidR="00A06D32" w:rsidRPr="00B50225" w:rsidRDefault="00A06D32" w:rsidP="00A06D32">
      <w:pPr>
        <w:pStyle w:val="Pismenka"/>
        <w:numPr>
          <w:ilvl w:val="0"/>
          <w:numId w:val="4"/>
        </w:numPr>
        <w:rPr>
          <w:szCs w:val="18"/>
        </w:rPr>
      </w:pPr>
      <w:r w:rsidRPr="00B50225">
        <w:rPr>
          <w:szCs w:val="18"/>
        </w:rPr>
        <w:t>Pohľadávky</w:t>
      </w:r>
    </w:p>
    <w:p w:rsidR="00A06D32" w:rsidRDefault="00A06D32" w:rsidP="00A06D32">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A06D32" w:rsidRDefault="00A06D32" w:rsidP="00A06D32">
      <w:pPr>
        <w:pStyle w:val="Zkladntext"/>
        <w:rPr>
          <w:szCs w:val="18"/>
        </w:rPr>
      </w:pPr>
    </w:p>
    <w:p w:rsidR="00A06D32" w:rsidRPr="00B50225" w:rsidRDefault="00A06D32" w:rsidP="00A06D32">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A06D32" w:rsidRPr="00FE0F76" w:rsidRDefault="00A06D32" w:rsidP="00A06D32">
      <w:pPr>
        <w:pStyle w:val="Zkladntext"/>
        <w:ind w:left="0"/>
        <w:rPr>
          <w:szCs w:val="18"/>
        </w:rPr>
      </w:pPr>
    </w:p>
    <w:p w:rsidR="00A06D32" w:rsidRDefault="00A06D32" w:rsidP="00A06D32">
      <w:pPr>
        <w:pStyle w:val="Pismenka"/>
        <w:numPr>
          <w:ilvl w:val="0"/>
          <w:numId w:val="4"/>
        </w:numPr>
        <w:rPr>
          <w:szCs w:val="18"/>
        </w:rPr>
      </w:pPr>
      <w:r>
        <w:rPr>
          <w:szCs w:val="18"/>
        </w:rPr>
        <w:t>Finančné účty</w:t>
      </w:r>
    </w:p>
    <w:p w:rsidR="00A06D32" w:rsidRPr="0028408E" w:rsidRDefault="00A06D32" w:rsidP="00A06D32">
      <w:pPr>
        <w:pStyle w:val="Pismenka"/>
        <w:numPr>
          <w:ilvl w:val="0"/>
          <w:numId w:val="0"/>
        </w:numPr>
        <w:ind w:left="426"/>
        <w:rPr>
          <w:b w:val="0"/>
          <w:szCs w:val="18"/>
        </w:rPr>
      </w:pPr>
      <w:r w:rsidRPr="0028408E">
        <w:rPr>
          <w:b w:val="0"/>
          <w:szCs w:val="18"/>
        </w:rPr>
        <w:t xml:space="preserve">Finančné účty tvorí </w:t>
      </w:r>
      <w:r w:rsidRPr="00756F2F">
        <w:rPr>
          <w:b w:val="0"/>
          <w:szCs w:val="18"/>
        </w:rPr>
        <w:t>peňažná hotovosť, ceniny, zostatky na bankových účtoch</w:t>
      </w:r>
      <w:r w:rsidRPr="0028408E">
        <w:rPr>
          <w:b w:val="0"/>
          <w:color w:val="0070C0"/>
          <w:szCs w:val="18"/>
        </w:rPr>
        <w:t xml:space="preserve"> </w:t>
      </w:r>
      <w:r w:rsidRPr="0028408E">
        <w:rPr>
          <w:b w:val="0"/>
          <w:szCs w:val="18"/>
        </w:rPr>
        <w:t xml:space="preserve">a oceňujú sa menovitou hodnotou. Zníženie ich hodnoty sa vyjadruje opravnou položkou. </w:t>
      </w:r>
    </w:p>
    <w:p w:rsidR="00A06D32" w:rsidRDefault="00A06D32" w:rsidP="00A06D32">
      <w:pPr>
        <w:pStyle w:val="odstavec"/>
      </w:pPr>
    </w:p>
    <w:p w:rsidR="00A06D32" w:rsidRPr="00B50225" w:rsidRDefault="00A06D32" w:rsidP="00A06D32">
      <w:pPr>
        <w:pStyle w:val="Pismenka"/>
        <w:numPr>
          <w:ilvl w:val="0"/>
          <w:numId w:val="4"/>
        </w:numPr>
        <w:rPr>
          <w:szCs w:val="18"/>
        </w:rPr>
      </w:pPr>
      <w:r w:rsidRPr="00B50225">
        <w:rPr>
          <w:szCs w:val="18"/>
        </w:rPr>
        <w:t>Náklady budúcich období a príjmy budúcich období</w:t>
      </w:r>
    </w:p>
    <w:p w:rsidR="00A06D32" w:rsidRDefault="00A06D32" w:rsidP="00A06D32">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A06D32" w:rsidRDefault="00A06D32" w:rsidP="00A06D32">
      <w:pPr>
        <w:pStyle w:val="Zkladntext"/>
        <w:rPr>
          <w:szCs w:val="18"/>
        </w:rPr>
      </w:pPr>
    </w:p>
    <w:p w:rsidR="00A06D32" w:rsidRPr="00992FAC" w:rsidRDefault="00A06D32" w:rsidP="00A06D32">
      <w:pPr>
        <w:pStyle w:val="Pismenka"/>
        <w:numPr>
          <w:ilvl w:val="0"/>
          <w:numId w:val="4"/>
        </w:numPr>
        <w:rPr>
          <w:szCs w:val="18"/>
        </w:rPr>
      </w:pPr>
      <w:r w:rsidRPr="00992FAC">
        <w:rPr>
          <w:szCs w:val="18"/>
        </w:rPr>
        <w:t>Zníženie hodnoty majetku a opravné položky</w:t>
      </w:r>
    </w:p>
    <w:p w:rsidR="00A06D32" w:rsidRDefault="00A06D32" w:rsidP="00A06D32">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A06D32" w:rsidRDefault="00A06D32" w:rsidP="00A06D32">
      <w:pPr>
        <w:pStyle w:val="Pismenka"/>
        <w:numPr>
          <w:ilvl w:val="0"/>
          <w:numId w:val="0"/>
        </w:numPr>
        <w:ind w:left="426"/>
        <w:rPr>
          <w:b w:val="0"/>
        </w:rPr>
      </w:pPr>
    </w:p>
    <w:p w:rsidR="00A06D32" w:rsidRDefault="00A06D32" w:rsidP="00A06D32">
      <w:pPr>
        <w:pStyle w:val="Pismenka"/>
        <w:numPr>
          <w:ilvl w:val="0"/>
          <w:numId w:val="0"/>
        </w:numPr>
        <w:ind w:left="426"/>
        <w:rPr>
          <w:b w:val="0"/>
        </w:rPr>
      </w:pPr>
    </w:p>
    <w:p w:rsidR="00A06D32" w:rsidRPr="00D06026" w:rsidRDefault="00A06D32" w:rsidP="00A06D32">
      <w:pPr>
        <w:pStyle w:val="Pismenka"/>
        <w:numPr>
          <w:ilvl w:val="0"/>
          <w:numId w:val="0"/>
        </w:numPr>
        <w:ind w:left="426"/>
        <w:rPr>
          <w:i/>
        </w:rPr>
      </w:pPr>
      <w:r w:rsidRPr="00D06026">
        <w:rPr>
          <w:i/>
        </w:rPr>
        <w:lastRenderedPageBreak/>
        <w:t>Zníženie hodnoty dlhodobého majetku a zásob</w:t>
      </w:r>
    </w:p>
    <w:p w:rsidR="00A06D32" w:rsidRPr="00D06026" w:rsidRDefault="00A06D32" w:rsidP="00A06D32">
      <w:pPr>
        <w:pStyle w:val="Pismenka"/>
        <w:numPr>
          <w:ilvl w:val="0"/>
          <w:numId w:val="0"/>
        </w:numPr>
        <w:ind w:left="426"/>
        <w:rPr>
          <w:b w:val="0"/>
        </w:rPr>
      </w:pPr>
      <w:r w:rsidRPr="00D06026">
        <w:rPr>
          <w:b w:val="0"/>
        </w:rPr>
        <w:t xml:space="preserve">Ku každému dňu, ku ktorému sa zostavuje účtovná závierka, je účtovná hodnota majetku Spoločnosti, iného ako odloženej daňovej pohľadávky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A06D32" w:rsidRPr="00D06026" w:rsidRDefault="00A06D32" w:rsidP="00A06D32">
      <w:pPr>
        <w:pStyle w:val="Pismenka"/>
        <w:numPr>
          <w:ilvl w:val="0"/>
          <w:numId w:val="0"/>
        </w:numPr>
        <w:ind w:left="426"/>
        <w:rPr>
          <w:b w:val="0"/>
        </w:rPr>
      </w:pPr>
    </w:p>
    <w:p w:rsidR="00A06D32" w:rsidRPr="00AB3D9A" w:rsidRDefault="00A06D32" w:rsidP="00A06D32">
      <w:pPr>
        <w:pStyle w:val="Pismenka"/>
        <w:numPr>
          <w:ilvl w:val="0"/>
          <w:numId w:val="0"/>
        </w:numPr>
        <w:ind w:left="426"/>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rsidR="00A06D32" w:rsidRPr="00D06026" w:rsidRDefault="00A06D32" w:rsidP="00A06D32">
      <w:pPr>
        <w:pStyle w:val="Pismenka"/>
        <w:numPr>
          <w:ilvl w:val="0"/>
          <w:numId w:val="0"/>
        </w:numPr>
        <w:ind w:left="426"/>
        <w:rPr>
          <w:b w:val="0"/>
        </w:rPr>
      </w:pPr>
    </w:p>
    <w:p w:rsidR="00A06D32" w:rsidRPr="00CC23EC" w:rsidRDefault="00A06D32" w:rsidP="00A06D32">
      <w:pPr>
        <w:pStyle w:val="Pismenka"/>
        <w:numPr>
          <w:ilvl w:val="0"/>
          <w:numId w:val="0"/>
        </w:numPr>
        <w:ind w:left="426"/>
        <w:rPr>
          <w:i/>
        </w:rPr>
      </w:pPr>
      <w:r w:rsidRPr="00D06026">
        <w:rPr>
          <w:i/>
        </w:rPr>
        <w:t>Zníženie hodnoty finančného majetku a pohľadávok</w:t>
      </w:r>
      <w:r w:rsidRPr="00CC23EC">
        <w:rPr>
          <w:i/>
        </w:rPr>
        <w:t xml:space="preserve"> </w:t>
      </w:r>
    </w:p>
    <w:p w:rsidR="00A06D32" w:rsidRPr="00D06026" w:rsidRDefault="00A06D32" w:rsidP="00A06D32">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A06D32" w:rsidRPr="00D06026" w:rsidRDefault="00A06D32" w:rsidP="00A06D32">
      <w:pPr>
        <w:pStyle w:val="Pismenka"/>
        <w:numPr>
          <w:ilvl w:val="0"/>
          <w:numId w:val="0"/>
        </w:numPr>
        <w:ind w:left="426"/>
        <w:rPr>
          <w:b w:val="0"/>
        </w:rPr>
      </w:pPr>
    </w:p>
    <w:p w:rsidR="00A06D32" w:rsidRPr="00D06026" w:rsidRDefault="00A06D32" w:rsidP="00A06D32">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A06D32" w:rsidRPr="00D06026" w:rsidRDefault="00A06D32" w:rsidP="00A06D32">
      <w:pPr>
        <w:pStyle w:val="Pismenka"/>
        <w:numPr>
          <w:ilvl w:val="0"/>
          <w:numId w:val="0"/>
        </w:numPr>
        <w:ind w:left="426"/>
        <w:rPr>
          <w:b w:val="0"/>
          <w:i/>
          <w:szCs w:val="18"/>
        </w:rPr>
      </w:pPr>
    </w:p>
    <w:p w:rsidR="00A06D32" w:rsidRPr="00D06026" w:rsidRDefault="00A06D32" w:rsidP="00A06D32">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kolaterálov a záruk od tretích strán.</w:t>
      </w:r>
    </w:p>
    <w:p w:rsidR="00A06D32" w:rsidRPr="00D06026" w:rsidRDefault="00A06D32" w:rsidP="00A06D32">
      <w:pPr>
        <w:pStyle w:val="Pismenka"/>
        <w:numPr>
          <w:ilvl w:val="0"/>
          <w:numId w:val="0"/>
        </w:numPr>
        <w:ind w:left="426"/>
        <w:rPr>
          <w:b w:val="0"/>
        </w:rPr>
      </w:pPr>
    </w:p>
    <w:p w:rsidR="00A06D32" w:rsidRDefault="00A06D32" w:rsidP="00A06D32">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A06D32" w:rsidRPr="00A31BBB" w:rsidRDefault="00A06D32" w:rsidP="00A06D32">
      <w:pPr>
        <w:pStyle w:val="Pismenka"/>
        <w:numPr>
          <w:ilvl w:val="0"/>
          <w:numId w:val="0"/>
        </w:numPr>
        <w:ind w:left="426"/>
        <w:rPr>
          <w:b w:val="0"/>
        </w:rPr>
      </w:pPr>
    </w:p>
    <w:p w:rsidR="00A06D32" w:rsidRPr="00B50225" w:rsidRDefault="00A06D32" w:rsidP="00A06D32">
      <w:pPr>
        <w:pStyle w:val="Pismenka"/>
        <w:numPr>
          <w:ilvl w:val="0"/>
          <w:numId w:val="4"/>
        </w:numPr>
        <w:rPr>
          <w:szCs w:val="18"/>
        </w:rPr>
      </w:pPr>
      <w:r w:rsidRPr="00B50225">
        <w:rPr>
          <w:szCs w:val="18"/>
        </w:rPr>
        <w:t>Záväzky</w:t>
      </w:r>
    </w:p>
    <w:p w:rsidR="00A06D32" w:rsidRPr="00B50225" w:rsidRDefault="00A06D32" w:rsidP="00A06D32">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A06D32" w:rsidRPr="00B50225" w:rsidRDefault="00A06D32" w:rsidP="00A06D32">
      <w:pPr>
        <w:pStyle w:val="Zkladntext"/>
        <w:rPr>
          <w:szCs w:val="18"/>
        </w:rPr>
      </w:pPr>
    </w:p>
    <w:p w:rsidR="00A06D32" w:rsidRPr="0028408E" w:rsidRDefault="00A06D32" w:rsidP="00A06D32">
      <w:pPr>
        <w:pStyle w:val="Pismenka"/>
        <w:numPr>
          <w:ilvl w:val="0"/>
          <w:numId w:val="4"/>
        </w:numPr>
        <w:rPr>
          <w:szCs w:val="18"/>
        </w:rPr>
      </w:pPr>
      <w:r w:rsidRPr="00032D7F">
        <w:rPr>
          <w:szCs w:val="18"/>
        </w:rPr>
        <w:t>Rezervy</w:t>
      </w:r>
    </w:p>
    <w:p w:rsidR="00A06D32" w:rsidRPr="00736771" w:rsidRDefault="00A06D32" w:rsidP="00A06D32">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A06D32" w:rsidRPr="00736771" w:rsidRDefault="00A06D32" w:rsidP="00A06D32">
      <w:pPr>
        <w:pStyle w:val="Zkladntext"/>
        <w:rPr>
          <w:b/>
          <w:szCs w:val="18"/>
        </w:rPr>
      </w:pPr>
    </w:p>
    <w:p w:rsidR="00A06D32" w:rsidRPr="00736771" w:rsidRDefault="00A06D32" w:rsidP="00A06D32">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A06D32" w:rsidRPr="00736771" w:rsidRDefault="00A06D32" w:rsidP="00A06D32">
      <w:pPr>
        <w:pStyle w:val="Zkladntext"/>
        <w:rPr>
          <w:b/>
          <w:szCs w:val="18"/>
        </w:rPr>
      </w:pPr>
    </w:p>
    <w:p w:rsidR="00A06D32" w:rsidRPr="00736771" w:rsidRDefault="00A06D32" w:rsidP="00A06D32">
      <w:pPr>
        <w:pStyle w:val="Zkladntext"/>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A06D32" w:rsidRDefault="00A06D32" w:rsidP="00A06D32">
      <w:pPr>
        <w:pStyle w:val="Zkladntext"/>
      </w:pPr>
    </w:p>
    <w:p w:rsidR="00A06D32" w:rsidRPr="00B50225" w:rsidRDefault="00A06D32" w:rsidP="00A06D32">
      <w:pPr>
        <w:pStyle w:val="Zkladntext"/>
        <w:jc w:val="left"/>
        <w:rPr>
          <w:b/>
          <w:szCs w:val="18"/>
        </w:rPr>
      </w:pPr>
      <w:r w:rsidRPr="00B50225">
        <w:rPr>
          <w:b/>
          <w:szCs w:val="18"/>
        </w:rPr>
        <w:t>Nevyfakturované dodávky majetku</w:t>
      </w:r>
    </w:p>
    <w:p w:rsidR="00A06D32" w:rsidRDefault="00A06D32" w:rsidP="00A06D32">
      <w:pPr>
        <w:pStyle w:val="Zkladntext"/>
        <w:rPr>
          <w:szCs w:val="18"/>
        </w:rPr>
      </w:pPr>
      <w:r w:rsidRPr="00B50225">
        <w:rPr>
          <w:szCs w:val="18"/>
        </w:rPr>
        <w:t>Rezervy na nevyfakturované dodávky majetku sa nevykazujú s vp</w:t>
      </w:r>
      <w:r>
        <w:rPr>
          <w:szCs w:val="18"/>
        </w:rPr>
        <w:t>lyvom na výsledok hospodárenia a oceňujú sa v odhadovanej výške záväzku.</w:t>
      </w:r>
    </w:p>
    <w:p w:rsidR="00A06D32" w:rsidRPr="00B50225" w:rsidRDefault="00A06D32" w:rsidP="00A06D32">
      <w:pPr>
        <w:pStyle w:val="Zkladntext"/>
        <w:rPr>
          <w:szCs w:val="18"/>
        </w:rPr>
      </w:pPr>
    </w:p>
    <w:p w:rsidR="00A06D32" w:rsidRPr="00B50225" w:rsidRDefault="00A06D32" w:rsidP="00A06D32">
      <w:pPr>
        <w:pStyle w:val="Pismenka"/>
        <w:numPr>
          <w:ilvl w:val="0"/>
          <w:numId w:val="4"/>
        </w:numPr>
        <w:rPr>
          <w:szCs w:val="18"/>
        </w:rPr>
      </w:pPr>
      <w:r w:rsidRPr="00B50225">
        <w:rPr>
          <w:szCs w:val="18"/>
        </w:rPr>
        <w:t>Výdavky budúcich období a výnosy budúcich období</w:t>
      </w:r>
    </w:p>
    <w:p w:rsidR="00A06D32" w:rsidRPr="00B50225" w:rsidRDefault="00A06D32" w:rsidP="00A06D32">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p w:rsidR="00A06D32" w:rsidRPr="00891481" w:rsidRDefault="00A06D32" w:rsidP="00A06D32">
      <w:pPr>
        <w:pStyle w:val="Pismenka"/>
        <w:numPr>
          <w:ilvl w:val="0"/>
          <w:numId w:val="4"/>
        </w:numPr>
        <w:rPr>
          <w:szCs w:val="18"/>
        </w:rPr>
      </w:pPr>
      <w:r>
        <w:rPr>
          <w:szCs w:val="18"/>
        </w:rPr>
        <w:t>C</w:t>
      </w:r>
      <w:r w:rsidRPr="00FD3474">
        <w:rPr>
          <w:szCs w:val="18"/>
        </w:rPr>
        <w:t>udzia mena</w:t>
      </w:r>
    </w:p>
    <w:p w:rsidR="00A06D32" w:rsidRDefault="00A06D32" w:rsidP="00A06D32">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A06D32" w:rsidRDefault="00A06D32" w:rsidP="00A06D32">
      <w:pPr>
        <w:pStyle w:val="Zkladntext"/>
        <w:rPr>
          <w:szCs w:val="18"/>
        </w:rPr>
      </w:pPr>
    </w:p>
    <w:p w:rsidR="00A06D32" w:rsidRPr="00B50225" w:rsidRDefault="00A06D32" w:rsidP="00A06D32">
      <w:pPr>
        <w:pStyle w:val="Zkladntext"/>
        <w:rPr>
          <w:szCs w:val="18"/>
        </w:rPr>
      </w:pPr>
      <w:r w:rsidRPr="00B50225">
        <w:rPr>
          <w:szCs w:val="18"/>
        </w:rPr>
        <w:t>Na ocenenie prírastku cudzej meny nakúpenej za euro sa použije kurz, za ktorý bola táto cudzia mena nakúpená.</w:t>
      </w:r>
    </w:p>
    <w:p w:rsidR="00A06D32" w:rsidRDefault="00A06D32" w:rsidP="00A06D32">
      <w:pPr>
        <w:pStyle w:val="Zkladntext"/>
        <w:rPr>
          <w:szCs w:val="18"/>
        </w:rPr>
      </w:pPr>
    </w:p>
    <w:p w:rsidR="00A06D32" w:rsidRDefault="00A06D32" w:rsidP="00A06D32">
      <w:pPr>
        <w:pStyle w:val="Zkladntext"/>
        <w:rPr>
          <w:szCs w:val="18"/>
        </w:rPr>
      </w:pPr>
      <w:r w:rsidRPr="00B50225">
        <w:rPr>
          <w:szCs w:val="18"/>
        </w:rPr>
        <w:t>Na ocenenie prírastku cudzej meny</w:t>
      </w:r>
      <w:r w:rsidRPr="0028408E">
        <w:rPr>
          <w:color w:val="0070C0"/>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A06D32" w:rsidRDefault="00A06D32" w:rsidP="00A06D32">
      <w:pPr>
        <w:pStyle w:val="Zkladntext"/>
        <w:rPr>
          <w:szCs w:val="18"/>
        </w:rPr>
      </w:pPr>
    </w:p>
    <w:p w:rsidR="00A06D32" w:rsidRDefault="00A06D32" w:rsidP="00A06D32">
      <w:pPr>
        <w:pStyle w:val="Zkladntext"/>
        <w:rPr>
          <w:szCs w:val="18"/>
        </w:rPr>
      </w:pPr>
      <w:r>
        <w:rPr>
          <w:szCs w:val="18"/>
        </w:rPr>
        <w:t xml:space="preserve">Na ocenenie cudzej meny obstarávanej v rámci menového derivátu </w:t>
      </w:r>
    </w:p>
    <w:p w:rsidR="00A06D32" w:rsidRDefault="00A06D32" w:rsidP="00A06D32">
      <w:pPr>
        <w:pStyle w:val="Zkladntext"/>
        <w:numPr>
          <w:ilvl w:val="0"/>
          <w:numId w:val="5"/>
        </w:numPr>
        <w:tabs>
          <w:tab w:val="clear" w:pos="340"/>
          <w:tab w:val="num" w:pos="766"/>
        </w:tabs>
        <w:ind w:left="766"/>
        <w:rPr>
          <w:szCs w:val="18"/>
        </w:rPr>
      </w:pPr>
      <w:r>
        <w:rPr>
          <w:szCs w:val="18"/>
        </w:rPr>
        <w:t>ak je zmluvnou stranou banka alebo pobočka zahraničnej banky, použije sa ku dňu ocenenia kurz banky alebo pobočky zahraničnej banky, ktorá je zmluvnou stranou tohto menového derivátu alebo sa použije referenčný kurz ku dňu ocenenia,</w:t>
      </w:r>
    </w:p>
    <w:p w:rsidR="00A06D32" w:rsidRDefault="00A06D32" w:rsidP="00A06D32">
      <w:pPr>
        <w:pStyle w:val="Zkladntext"/>
        <w:numPr>
          <w:ilvl w:val="0"/>
          <w:numId w:val="5"/>
        </w:numPr>
        <w:tabs>
          <w:tab w:val="clear" w:pos="340"/>
          <w:tab w:val="num" w:pos="766"/>
        </w:tabs>
        <w:ind w:left="766"/>
        <w:rPr>
          <w:szCs w:val="18"/>
        </w:rPr>
      </w:pPr>
      <w:r>
        <w:rPr>
          <w:szCs w:val="18"/>
        </w:rPr>
        <w:t>ak zmluvnou stranou nie je banka alebo pobočka zahraničnej banky, použije sa na ocenenie referenčný kurz ku dňu ocenenia.</w:t>
      </w:r>
    </w:p>
    <w:p w:rsidR="00A06D32" w:rsidRDefault="00A06D32" w:rsidP="00A06D32">
      <w:pPr>
        <w:pStyle w:val="Zkladntext"/>
        <w:rPr>
          <w:szCs w:val="18"/>
        </w:rPr>
      </w:pPr>
    </w:p>
    <w:p w:rsidR="00A06D32" w:rsidRDefault="00A06D32" w:rsidP="00A06D32">
      <w:pPr>
        <w:pStyle w:val="Zkladntext"/>
        <w:rPr>
          <w:szCs w:val="18"/>
        </w:rPr>
      </w:pPr>
      <w:r w:rsidRPr="00B50225">
        <w:rPr>
          <w:szCs w:val="18"/>
        </w:rPr>
        <w:t xml:space="preserve">Na úbytok rovnakej cudzej meny v hotovosti alebo z devízového účtu sa na prepočet cudzej meny na eurá použije </w:t>
      </w:r>
    </w:p>
    <w:p w:rsidR="00A06D32" w:rsidRDefault="00A06D32" w:rsidP="00A06D32">
      <w:pPr>
        <w:pStyle w:val="Zkladntext"/>
        <w:numPr>
          <w:ilvl w:val="0"/>
          <w:numId w:val="6"/>
        </w:numPr>
        <w:tabs>
          <w:tab w:val="clear" w:pos="340"/>
          <w:tab w:val="num" w:pos="766"/>
        </w:tabs>
        <w:ind w:left="766"/>
        <w:rPr>
          <w:szCs w:val="18"/>
        </w:rPr>
      </w:pPr>
      <w:r>
        <w:rPr>
          <w:szCs w:val="18"/>
        </w:rPr>
        <w:t>cena zistená váženým aritmetickým priemerom.</w:t>
      </w:r>
    </w:p>
    <w:p w:rsidR="00A06D32" w:rsidRDefault="00A06D32" w:rsidP="00A06D32">
      <w:pPr>
        <w:pStyle w:val="Zkladntext"/>
        <w:rPr>
          <w:szCs w:val="18"/>
        </w:rPr>
      </w:pPr>
    </w:p>
    <w:p w:rsidR="00A06D32" w:rsidRPr="00092E6F" w:rsidRDefault="00A06D32" w:rsidP="00A06D32">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 xml:space="preserve">Ku dňu, ku ktorému sa zostavuje účtovná závierka, sa už neprepočítavajú. </w:t>
      </w:r>
    </w:p>
    <w:p w:rsidR="00A06D32" w:rsidRPr="000106BA" w:rsidRDefault="00A06D32" w:rsidP="00A06D32">
      <w:pPr>
        <w:pStyle w:val="Pismenka"/>
        <w:numPr>
          <w:ilvl w:val="0"/>
          <w:numId w:val="0"/>
        </w:numPr>
        <w:ind w:left="360"/>
      </w:pPr>
    </w:p>
    <w:p w:rsidR="00A06D32" w:rsidRPr="00092E6F" w:rsidRDefault="00A06D32" w:rsidP="00A06D32">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06D32" w:rsidRPr="00B50225" w:rsidRDefault="00A06D32" w:rsidP="00A06D32">
      <w:pPr>
        <w:pStyle w:val="Zkladntext"/>
        <w:rPr>
          <w:szCs w:val="18"/>
        </w:rPr>
      </w:pPr>
    </w:p>
    <w:p w:rsidR="00A06D32" w:rsidRDefault="00A06D32" w:rsidP="00A06D32">
      <w:pPr>
        <w:pStyle w:val="Pismenka"/>
        <w:numPr>
          <w:ilvl w:val="0"/>
          <w:numId w:val="4"/>
        </w:numPr>
        <w:ind w:hanging="436"/>
        <w:rPr>
          <w:szCs w:val="18"/>
        </w:rPr>
      </w:pPr>
      <w:r w:rsidRPr="00A31BBB">
        <w:rPr>
          <w:szCs w:val="18"/>
        </w:rPr>
        <w:t>Výnosy</w:t>
      </w:r>
    </w:p>
    <w:p w:rsidR="00A06D32" w:rsidRDefault="00A06D32" w:rsidP="00A06D32">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A06D32" w:rsidRDefault="00A06D32" w:rsidP="00A06D32">
      <w:pPr>
        <w:pStyle w:val="Pismenka"/>
        <w:numPr>
          <w:ilvl w:val="0"/>
          <w:numId w:val="0"/>
        </w:numPr>
        <w:ind w:left="360"/>
        <w:rPr>
          <w:b w:val="0"/>
        </w:rPr>
      </w:pPr>
    </w:p>
    <w:p w:rsidR="00A06D32" w:rsidRPr="00534982" w:rsidRDefault="00A06D32" w:rsidP="00A06D32">
      <w:pPr>
        <w:pStyle w:val="Pismenka"/>
        <w:numPr>
          <w:ilvl w:val="0"/>
          <w:numId w:val="0"/>
        </w:numPr>
        <w:ind w:left="360"/>
        <w:rPr>
          <w:b w:val="0"/>
        </w:rPr>
      </w:pPr>
      <w:r w:rsidRPr="00E963F8">
        <w:rPr>
          <w:b w:val="0"/>
        </w:rPr>
        <w:t xml:space="preserve">Tržby z predaja výrobkov a tovaru </w:t>
      </w:r>
      <w:r w:rsidRPr="008D38F3">
        <w:rPr>
          <w:b w:val="0"/>
        </w:rPr>
        <w:t>sa vyka</w:t>
      </w:r>
      <w:r w:rsidRPr="00D06026">
        <w:rPr>
          <w:b w:val="0"/>
        </w:rPr>
        <w:t xml:space="preserve">zujú </w:t>
      </w:r>
      <w:r w:rsidRPr="00534982">
        <w:rPr>
          <w:b w:val="0"/>
        </w:rPr>
        <w:t xml:space="preserve">v deň splnenia dodávky podľa Obchodného zákonníka, podľa Incoterms alebo iných podmienok dohodnutých v zmluve. </w:t>
      </w:r>
    </w:p>
    <w:p w:rsidR="00A06D32" w:rsidRDefault="00A06D32" w:rsidP="00A06D32">
      <w:pPr>
        <w:pStyle w:val="Pismenka"/>
        <w:numPr>
          <w:ilvl w:val="0"/>
          <w:numId w:val="0"/>
        </w:numPr>
        <w:ind w:left="360"/>
        <w:rPr>
          <w:b w:val="0"/>
        </w:rPr>
      </w:pPr>
    </w:p>
    <w:p w:rsidR="00A06D32" w:rsidRDefault="00A06D32" w:rsidP="00A06D32">
      <w:pPr>
        <w:pStyle w:val="Pismenka"/>
        <w:numPr>
          <w:ilvl w:val="0"/>
          <w:numId w:val="0"/>
        </w:numPr>
        <w:ind w:left="360"/>
        <w:rPr>
          <w:b w:val="0"/>
        </w:rPr>
      </w:pPr>
      <w:r>
        <w:rPr>
          <w:b w:val="0"/>
        </w:rPr>
        <w:t>Tržby z predaja služieb sa vykazujú v účtovnom období, v ktorom boli služby poskytnuté.</w:t>
      </w:r>
    </w:p>
    <w:p w:rsidR="00A06D32" w:rsidRPr="00534982" w:rsidRDefault="00A06D32" w:rsidP="00A06D32">
      <w:pPr>
        <w:pStyle w:val="Pismenka"/>
        <w:numPr>
          <w:ilvl w:val="0"/>
          <w:numId w:val="0"/>
        </w:numPr>
        <w:ind w:left="426"/>
        <w:rPr>
          <w:b w:val="0"/>
        </w:rPr>
      </w:pPr>
      <w:r>
        <w:rPr>
          <w:b w:val="0"/>
        </w:rPr>
        <w:t xml:space="preserve">Výnosové úroky sa účtujú </w:t>
      </w:r>
      <w:r w:rsidRPr="00534982">
        <w:rPr>
          <w:b w:val="0"/>
        </w:rPr>
        <w:t>rovnomerne v účtovných obdobiach, ktorých sa vecne a časovo týkajú / na základe časového rozlíšenia metódou efektívnej úrokovej miery.</w:t>
      </w:r>
    </w:p>
    <w:p w:rsidR="00A06D32" w:rsidRDefault="00A06D32" w:rsidP="00A06D32">
      <w:pPr>
        <w:pStyle w:val="Pismenka"/>
        <w:numPr>
          <w:ilvl w:val="0"/>
          <w:numId w:val="0"/>
        </w:numPr>
        <w:ind w:left="426"/>
        <w:rPr>
          <w:b w:val="0"/>
        </w:rPr>
      </w:pPr>
    </w:p>
    <w:p w:rsidR="00A06D32" w:rsidRDefault="00A06D32" w:rsidP="00A06D32">
      <w:pPr>
        <w:pStyle w:val="Pismenka"/>
        <w:numPr>
          <w:ilvl w:val="0"/>
          <w:numId w:val="4"/>
        </w:numPr>
        <w:rPr>
          <w:szCs w:val="18"/>
        </w:rPr>
      </w:pPr>
      <w:bookmarkStart w:id="7" w:name="_Toc530739900"/>
      <w:r w:rsidRPr="00A31BBB">
        <w:rPr>
          <w:szCs w:val="18"/>
        </w:rPr>
        <w:t>Porovnateľné údaje</w:t>
      </w:r>
    </w:p>
    <w:p w:rsidR="00A06D32" w:rsidRPr="00AB1CF7" w:rsidRDefault="00A06D32" w:rsidP="00A06D32">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A06D32" w:rsidRDefault="00A06D32" w:rsidP="00A06D32">
      <w:pPr>
        <w:pStyle w:val="Pismenka"/>
        <w:numPr>
          <w:ilvl w:val="0"/>
          <w:numId w:val="0"/>
        </w:numPr>
        <w:ind w:left="360"/>
        <w:rPr>
          <w:b w:val="0"/>
          <w:szCs w:val="18"/>
        </w:rPr>
      </w:pPr>
    </w:p>
    <w:p w:rsidR="00A06D32" w:rsidRPr="00032D7F" w:rsidRDefault="00A06D32" w:rsidP="00A06D32">
      <w:pPr>
        <w:pStyle w:val="Pismenka"/>
        <w:numPr>
          <w:ilvl w:val="0"/>
          <w:numId w:val="4"/>
        </w:numPr>
        <w:rPr>
          <w:szCs w:val="18"/>
        </w:rPr>
      </w:pPr>
      <w:r w:rsidRPr="00032D7F">
        <w:rPr>
          <w:szCs w:val="18"/>
        </w:rPr>
        <w:t>Oprava chýb minulých období</w:t>
      </w:r>
    </w:p>
    <w:p w:rsidR="00A06D32" w:rsidRDefault="00A06D32" w:rsidP="00A06D32">
      <w:pPr>
        <w:pStyle w:val="Zkladntext"/>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rsidR="00A06D32" w:rsidRDefault="00A06D32" w:rsidP="00A06D32">
      <w:pPr>
        <w:pStyle w:val="Zkladntext"/>
        <w:rPr>
          <w:szCs w:val="18"/>
        </w:rPr>
      </w:pPr>
    </w:p>
    <w:p w:rsidR="00A06D32" w:rsidRDefault="00A06D32" w:rsidP="00A06D32">
      <w:pPr>
        <w:pStyle w:val="Zkladntext"/>
        <w:rPr>
          <w:color w:val="00B050"/>
          <w:szCs w:val="18"/>
        </w:rPr>
      </w:pPr>
      <w:r w:rsidRPr="00534982">
        <w:rPr>
          <w:szCs w:val="18"/>
        </w:rPr>
        <w:t>V roku 201</w:t>
      </w:r>
      <w:r>
        <w:rPr>
          <w:szCs w:val="18"/>
        </w:rPr>
        <w:t>9</w:t>
      </w:r>
      <w:r w:rsidRPr="00534982">
        <w:rPr>
          <w:szCs w:val="18"/>
        </w:rPr>
        <w:t xml:space="preserve"> Spoločnosť neúčtovala o oprave významných chýb minulých období</w:t>
      </w:r>
      <w:r w:rsidRPr="00282F28">
        <w:rPr>
          <w:color w:val="00B050"/>
          <w:szCs w:val="18"/>
        </w:rPr>
        <w:t xml:space="preserve"> </w:t>
      </w:r>
    </w:p>
    <w:p w:rsidR="00A06D32" w:rsidRDefault="00A06D32" w:rsidP="00A06D32">
      <w:pPr>
        <w:pStyle w:val="Zkladntext"/>
        <w:rPr>
          <w:color w:val="00B050"/>
          <w:szCs w:val="18"/>
        </w:rPr>
      </w:pPr>
    </w:p>
    <w:p w:rsidR="00A06D32" w:rsidRDefault="00A06D32" w:rsidP="00A06D32">
      <w:pPr>
        <w:pStyle w:val="Zkladntext"/>
        <w:rPr>
          <w:color w:val="00B050"/>
          <w:szCs w:val="18"/>
        </w:rPr>
      </w:pPr>
    </w:p>
    <w:p w:rsidR="00A06D32" w:rsidRPr="00B50225" w:rsidRDefault="00A06D32" w:rsidP="00A06D32">
      <w:pPr>
        <w:pStyle w:val="Nadpis1"/>
        <w:tabs>
          <w:tab w:val="num" w:pos="360"/>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bookmarkEnd w:id="7"/>
      <w:r>
        <w:rPr>
          <w:szCs w:val="18"/>
        </w:rPr>
        <w:t xml:space="preserve"> a VÝKAZU ZISKOV A STRÁT</w:t>
      </w:r>
    </w:p>
    <w:p w:rsidR="00A06D32" w:rsidRPr="00FC603B" w:rsidRDefault="00A06D32" w:rsidP="00A06D32">
      <w:pPr>
        <w:pStyle w:val="Hlavika"/>
        <w:numPr>
          <w:ilvl w:val="12"/>
          <w:numId w:val="0"/>
        </w:numPr>
        <w:jc w:val="both"/>
        <w:rPr>
          <w:sz w:val="18"/>
          <w:szCs w:val="18"/>
        </w:rPr>
      </w:pPr>
    </w:p>
    <w:p w:rsidR="00A06D32" w:rsidRPr="00E602D1" w:rsidRDefault="00A06D32" w:rsidP="00A06D32">
      <w:pPr>
        <w:pStyle w:val="Nadpis2"/>
        <w:numPr>
          <w:ilvl w:val="0"/>
          <w:numId w:val="8"/>
        </w:numPr>
        <w:rPr>
          <w:szCs w:val="18"/>
        </w:rPr>
      </w:pPr>
      <w:bookmarkStart w:id="8" w:name="_Toc530739909"/>
      <w:r w:rsidRPr="00E602D1">
        <w:rPr>
          <w:szCs w:val="18"/>
        </w:rPr>
        <w:t>Záväzky</w:t>
      </w:r>
      <w:bookmarkEnd w:id="8"/>
    </w:p>
    <w:p w:rsidR="00A06D32" w:rsidRDefault="00A06D32" w:rsidP="00A06D32">
      <w:pPr>
        <w:pStyle w:val="Zkladntext"/>
        <w:rPr>
          <w:szCs w:val="18"/>
        </w:rPr>
      </w:pPr>
      <w:r w:rsidRPr="00EB5698">
        <w:rPr>
          <w:szCs w:val="18"/>
        </w:rPr>
        <w:t xml:space="preserve">Štruktúra záväzkov (okrem </w:t>
      </w:r>
      <w:r>
        <w:rPr>
          <w:szCs w:val="18"/>
        </w:rPr>
        <w:t>záväzkov zo sociálneho fondu a odloženého daňového záväzku</w:t>
      </w:r>
      <w:r w:rsidRPr="00EB5698">
        <w:rPr>
          <w:szCs w:val="18"/>
        </w:rPr>
        <w:t>) podľa zostatkovej doby splatnosti je uvedená v nasledujúcom prehľade:</w:t>
      </w:r>
    </w:p>
    <w:p w:rsidR="00A06D32" w:rsidRDefault="00A06D32" w:rsidP="00A06D32">
      <w:pPr>
        <w:pStyle w:val="Zkladntext"/>
        <w:rPr>
          <w:szCs w:val="18"/>
        </w:rPr>
      </w:pPr>
    </w:p>
    <w:bookmarkStart w:id="9" w:name="_MON_1508918652"/>
    <w:bookmarkEnd w:id="9"/>
    <w:p w:rsidR="00A06D32" w:rsidRDefault="00A06D32" w:rsidP="00A06D32">
      <w:pPr>
        <w:pStyle w:val="Zkladntext"/>
        <w:rPr>
          <w:szCs w:val="18"/>
        </w:rPr>
      </w:pPr>
      <w:r>
        <w:rPr>
          <w:szCs w:val="18"/>
        </w:rPr>
        <w:object w:dxaOrig="8753" w:dyaOrig="2371">
          <v:shape id="_x0000_i1027" type="#_x0000_t75" style="width:436.5pt;height:118.5pt" o:ole="">
            <v:imagedata r:id="rId12" o:title=""/>
          </v:shape>
          <o:OLEObject Type="Embed" ProgID="Excel.Sheet.12" ShapeID="_x0000_i1027" DrawAspect="Content" ObjectID="_1681490894" r:id="rId13"/>
        </w:object>
      </w:r>
    </w:p>
    <w:p w:rsidR="00A06D32" w:rsidRDefault="00A06D32" w:rsidP="00A06D32">
      <w:pPr>
        <w:pStyle w:val="Zkladntext"/>
        <w:numPr>
          <w:ilvl w:val="0"/>
          <w:numId w:val="8"/>
        </w:numPr>
        <w:rPr>
          <w:b/>
          <w:szCs w:val="18"/>
        </w:rPr>
      </w:pPr>
      <w:r w:rsidRPr="00947D31">
        <w:rPr>
          <w:b/>
          <w:szCs w:val="18"/>
        </w:rPr>
        <w:t>Tržby za vlastné výkony a</w:t>
      </w:r>
      <w:r>
        <w:rPr>
          <w:b/>
          <w:szCs w:val="18"/>
        </w:rPr>
        <w:t> </w:t>
      </w:r>
      <w:r w:rsidRPr="00947D31">
        <w:rPr>
          <w:b/>
          <w:szCs w:val="18"/>
        </w:rPr>
        <w:t>tovar</w:t>
      </w:r>
    </w:p>
    <w:p w:rsidR="00A06D32" w:rsidRDefault="00A06D32" w:rsidP="00A06D32">
      <w:pPr>
        <w:pStyle w:val="Zkladntext"/>
        <w:rPr>
          <w:szCs w:val="18"/>
        </w:rPr>
      </w:pPr>
      <w:r w:rsidRPr="00947D31">
        <w:rPr>
          <w:szCs w:val="18"/>
        </w:rPr>
        <w:t>Tržby za vl</w:t>
      </w:r>
      <w:r>
        <w:rPr>
          <w:szCs w:val="18"/>
        </w:rPr>
        <w:t>a</w:t>
      </w:r>
      <w:r w:rsidRPr="00947D31">
        <w:rPr>
          <w:szCs w:val="18"/>
        </w:rPr>
        <w:t xml:space="preserve">stné výkony a tovar podľa </w:t>
      </w:r>
      <w:r>
        <w:rPr>
          <w:szCs w:val="18"/>
        </w:rPr>
        <w:t>jednotlivých segmentoch, t.j. podľa typov výrobkov a služieb, sú uvedené v nasledujúcom prehľade:</w:t>
      </w:r>
    </w:p>
    <w:p w:rsidR="00A06D32" w:rsidRDefault="00A06D32" w:rsidP="00A06D32">
      <w:pPr>
        <w:pStyle w:val="Zkladntext"/>
        <w:rPr>
          <w:szCs w:val="18"/>
        </w:rPr>
      </w:pPr>
    </w:p>
    <w:p w:rsidR="00A06D32" w:rsidRDefault="00A06D32" w:rsidP="00A06D32">
      <w:pPr>
        <w:pStyle w:val="Zkladntext"/>
        <w:rPr>
          <w:szCs w:val="18"/>
        </w:rPr>
      </w:pPr>
    </w:p>
    <w:p w:rsidR="00A06D32" w:rsidRDefault="00A06D32" w:rsidP="00A06D32">
      <w:pPr>
        <w:pStyle w:val="Zkladntext"/>
        <w:rPr>
          <w:szCs w:val="18"/>
        </w:rPr>
      </w:pPr>
    </w:p>
    <w:bookmarkStart w:id="10" w:name="_MON_1500447348"/>
    <w:bookmarkEnd w:id="10"/>
    <w:p w:rsidR="00A06D32" w:rsidRDefault="00A06D32" w:rsidP="00A06D32">
      <w:pPr>
        <w:pStyle w:val="Zkladntext"/>
        <w:rPr>
          <w:szCs w:val="18"/>
        </w:rPr>
      </w:pPr>
      <w:r w:rsidRPr="00302042">
        <w:rPr>
          <w:szCs w:val="18"/>
        </w:rPr>
        <w:object w:dxaOrig="8868" w:dyaOrig="1779">
          <v:shape id="_x0000_i1028" type="#_x0000_t75" style="width:442.5pt;height:88.5pt" o:ole="">
            <v:imagedata r:id="rId14" o:title=""/>
          </v:shape>
          <o:OLEObject Type="Embed" ProgID="Excel.Sheet.12" ShapeID="_x0000_i1028" DrawAspect="Content" ObjectID="_1681490895" r:id="rId15"/>
        </w:object>
      </w:r>
    </w:p>
    <w:p w:rsidR="00A06D32" w:rsidRDefault="00A06D32" w:rsidP="00A06D32">
      <w:pPr>
        <w:pStyle w:val="Nadpis1"/>
        <w:tabs>
          <w:tab w:val="num" w:pos="360"/>
        </w:tabs>
        <w:spacing w:before="240" w:after="60"/>
        <w:ind w:left="360"/>
        <w:rPr>
          <w:szCs w:val="18"/>
        </w:rPr>
      </w:pPr>
      <w:bookmarkStart w:id="11" w:name="_MON_1405949598"/>
      <w:bookmarkStart w:id="12" w:name="_MON_1500378563"/>
      <w:bookmarkEnd w:id="11"/>
      <w:bookmarkEnd w:id="12"/>
      <w:r w:rsidRPr="00B50225">
        <w:rPr>
          <w:szCs w:val="18"/>
        </w:rPr>
        <w:t>Informácie o iných aktívach a iných pasívach</w:t>
      </w:r>
    </w:p>
    <w:p w:rsidR="00A06D32" w:rsidRPr="00F53D2F" w:rsidRDefault="00A06D32" w:rsidP="00A06D32">
      <w:pPr>
        <w:pStyle w:val="Zkladntext"/>
        <w:rPr>
          <w:szCs w:val="18"/>
        </w:rPr>
      </w:pPr>
      <w:r w:rsidRPr="00B50225">
        <w:rPr>
          <w:szCs w:val="18"/>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t>
      </w:r>
      <w:r w:rsidRPr="00F53D2F">
        <w:rPr>
          <w:szCs w:val="18"/>
        </w:rPr>
        <w:t>Vedenie Spoločnosti si nie je vedomé žiadnych okolností, v dôsledku ktorých by jej vznikol významný náklad.</w:t>
      </w:r>
    </w:p>
    <w:p w:rsidR="00A06D32" w:rsidRPr="00282F28" w:rsidRDefault="00A06D32" w:rsidP="00A06D32">
      <w:pPr>
        <w:pStyle w:val="Zkladntext"/>
        <w:ind w:left="766"/>
        <w:rPr>
          <w:color w:val="0070C0"/>
          <w:szCs w:val="18"/>
        </w:rPr>
      </w:pPr>
    </w:p>
    <w:p w:rsidR="00A06D32" w:rsidRPr="00B50225" w:rsidRDefault="00A06D32" w:rsidP="00A06D32">
      <w:pPr>
        <w:pStyle w:val="Nadpis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A06D32" w:rsidRDefault="00A06D32" w:rsidP="00A06D32">
      <w:pPr>
        <w:pStyle w:val="Zkladntext"/>
        <w:rPr>
          <w:szCs w:val="18"/>
        </w:rPr>
      </w:pPr>
    </w:p>
    <w:p w:rsidR="00A06D32" w:rsidRDefault="00A06D32" w:rsidP="00A06D32">
      <w:pPr>
        <w:autoSpaceDE w:val="0"/>
        <w:autoSpaceDN w:val="0"/>
        <w:adjustRightInd w:val="0"/>
        <w:ind w:left="360"/>
        <w:jc w:val="both"/>
        <w:rPr>
          <w:rFonts w:eastAsia="TimesNewRomanPSMT"/>
          <w:sz w:val="18"/>
          <w:szCs w:val="18"/>
        </w:rPr>
      </w:pPr>
      <w:r w:rsidRPr="00BA0F2E">
        <w:rPr>
          <w:rFonts w:eastAsia="TimesNewRomanPSMT"/>
          <w:sz w:val="18"/>
          <w:szCs w:val="18"/>
        </w:rPr>
        <w:t>Svetová zdravotnícka organizácia vyhlásila 11. marca 2020 situáciu súvisiacu s koronavírusom za pandémiu, v</w:t>
      </w:r>
      <w:r>
        <w:rPr>
          <w:rFonts w:eastAsia="TimesNewRomanPSMT"/>
          <w:sz w:val="18"/>
          <w:szCs w:val="18"/>
        </w:rPr>
        <w:t> </w:t>
      </w:r>
      <w:r w:rsidRPr="00BA0F2E">
        <w:rPr>
          <w:rFonts w:eastAsia="TimesNewRomanPSMT"/>
          <w:sz w:val="18"/>
          <w:szCs w:val="18"/>
        </w:rPr>
        <w:t>nadväznosti</w:t>
      </w:r>
      <w:r>
        <w:rPr>
          <w:rFonts w:eastAsia="TimesNewRomanPSMT"/>
          <w:sz w:val="18"/>
          <w:szCs w:val="18"/>
        </w:rPr>
        <w:t xml:space="preserve"> </w:t>
      </w:r>
      <w:r w:rsidRPr="00BA0F2E">
        <w:rPr>
          <w:rFonts w:eastAsia="TimesNewRomanPSMT"/>
          <w:sz w:val="18"/>
          <w:szCs w:val="18"/>
        </w:rPr>
        <w:t>na čo vyhlásila slovenská vláda dňa 16. marca 2020 núdzový stav. V reakcii na potenciálne vážne ohrozenie zdravia</w:t>
      </w:r>
      <w:r>
        <w:rPr>
          <w:rFonts w:eastAsia="TimesNewRomanPSMT"/>
          <w:sz w:val="18"/>
          <w:szCs w:val="18"/>
        </w:rPr>
        <w:t xml:space="preserve"> </w:t>
      </w:r>
      <w:r w:rsidRPr="00BA0F2E">
        <w:rPr>
          <w:rFonts w:eastAsia="TimesNewRomanPSMT"/>
          <w:sz w:val="18"/>
          <w:szCs w:val="18"/>
        </w:rPr>
        <w:t>verejnosti, ktoré predstavuje choroba COVID - 19, slovenská vláda prijala opatrenia s cieľom zabrániť prepuknutiu nákazy,vrátane zavedenia obmedzení týkajúcich sa cezhraničného pohybu osôb, obmedzení vstupu zahraničných návštevníkov a</w:t>
      </w:r>
      <w:r>
        <w:rPr>
          <w:rFonts w:eastAsia="TimesNewRomanPSMT"/>
          <w:sz w:val="18"/>
          <w:szCs w:val="18"/>
        </w:rPr>
        <w:t xml:space="preserve"> </w:t>
      </w:r>
      <w:r w:rsidRPr="00BA0F2E">
        <w:rPr>
          <w:rFonts w:eastAsia="TimesNewRomanPSMT"/>
          <w:sz w:val="18"/>
          <w:szCs w:val="18"/>
        </w:rPr>
        <w:t>„blokovania“ určitých odvetví, až do ďalšieho vývoja situácie. Najmä letecké spoločnosti a železnice pozastavili</w:t>
      </w:r>
      <w:r>
        <w:rPr>
          <w:rFonts w:eastAsia="TimesNewRomanPSMT"/>
          <w:sz w:val="18"/>
          <w:szCs w:val="18"/>
        </w:rPr>
        <w:t xml:space="preserve"> </w:t>
      </w:r>
      <w:r w:rsidRPr="00BA0F2E">
        <w:rPr>
          <w:rFonts w:eastAsia="TimesNewRomanPSMT"/>
          <w:sz w:val="18"/>
          <w:szCs w:val="18"/>
        </w:rPr>
        <w:t>medzinárodnú prepravu osôb, školy, univerzity, reštaurácie, kiná, divadlá, múzeá, športové zariadenia, maloobchodníci s</w:t>
      </w:r>
      <w:r>
        <w:rPr>
          <w:rFonts w:eastAsia="TimesNewRomanPSMT"/>
          <w:sz w:val="18"/>
          <w:szCs w:val="18"/>
        </w:rPr>
        <w:t xml:space="preserve"> </w:t>
      </w:r>
      <w:r w:rsidRPr="00BA0F2E">
        <w:rPr>
          <w:rFonts w:eastAsia="TimesNewRomanPSMT"/>
          <w:sz w:val="18"/>
          <w:szCs w:val="18"/>
        </w:rPr>
        <w:t>výnimkou maloobchodov s potravinami, potravín a lekární, ostali zatvorené. Rovnako hlavní producenti v</w:t>
      </w:r>
      <w:r>
        <w:rPr>
          <w:rFonts w:eastAsia="TimesNewRomanPSMT"/>
          <w:szCs w:val="18"/>
        </w:rPr>
        <w:t> </w:t>
      </w:r>
      <w:r w:rsidRPr="00BA0F2E">
        <w:rPr>
          <w:rFonts w:eastAsia="TimesNewRomanPSMT"/>
          <w:sz w:val="18"/>
          <w:szCs w:val="18"/>
        </w:rPr>
        <w:t>automobilovom priemysle pozastavili svoju činnosť v slovenských, aj iných európskych krajinách. Niektoré podniky na Slovensku tiež</w:t>
      </w:r>
      <w:r>
        <w:rPr>
          <w:rFonts w:eastAsia="TimesNewRomanPSMT"/>
          <w:sz w:val="18"/>
          <w:szCs w:val="18"/>
        </w:rPr>
        <w:t xml:space="preserve"> </w:t>
      </w:r>
      <w:r w:rsidRPr="00BA0F2E">
        <w:rPr>
          <w:rFonts w:eastAsia="TimesNewRomanPSMT"/>
          <w:sz w:val="18"/>
          <w:szCs w:val="18"/>
        </w:rPr>
        <w:t>nariadili svojim zamestnancom prácu z domu a obmedzili alebo dočasne pozastavili svoje obchodné aktivity</w:t>
      </w:r>
    </w:p>
    <w:p w:rsidR="00A06D32" w:rsidRPr="00BA0F2E" w:rsidRDefault="00A06D32" w:rsidP="00A06D32">
      <w:pPr>
        <w:autoSpaceDE w:val="0"/>
        <w:autoSpaceDN w:val="0"/>
        <w:adjustRightInd w:val="0"/>
        <w:ind w:left="360"/>
        <w:jc w:val="both"/>
        <w:rPr>
          <w:rFonts w:eastAsia="TimesNewRomanPSMT"/>
          <w:sz w:val="18"/>
          <w:szCs w:val="18"/>
        </w:rPr>
      </w:pP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Hospodárske dopady týchto udalostí v širšom kontexte zahŕňajú:</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 narušenie podnikateľských činností a ekonomickej aktivity na Slovensku s kaskádovitým dopadom na dodávateľské</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aj odberateľské reťazce;</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 významné narušenie podnikateľských činností v určitých odvetviach a to nielen v rámci Slovenska a aj na trhoch s</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lastRenderedPageBreak/>
        <w:t>vysokou závislosťou od zahraničných dodávateľských reťazcov, ako aj podnikov výrazne orientovaných na vývoz s</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vysokou závislosťou od zahraničných trhov. Medzi postihnuté odvetvia patrí najmä obchod a doprava, cestovný ruch,</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zábavný priemysel, výroba, stavebníctvo, maloobchod, poisťovníctvo, vzdelávanie a finančný sektor;</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 výrazné zníženie dopytu po tovaroch a službách, ktoré nie sú nevyhnutné;</w:t>
      </w:r>
    </w:p>
    <w:p w:rsidR="00A06D32" w:rsidRPr="00BA0F2E" w:rsidRDefault="00A06D32" w:rsidP="00A06D32">
      <w:pPr>
        <w:autoSpaceDE w:val="0"/>
        <w:autoSpaceDN w:val="0"/>
        <w:adjustRightInd w:val="0"/>
        <w:ind w:firstLine="360"/>
        <w:jc w:val="both"/>
        <w:rPr>
          <w:rFonts w:eastAsia="TimesNewRomanPSMT"/>
          <w:sz w:val="18"/>
          <w:szCs w:val="18"/>
        </w:rPr>
      </w:pPr>
      <w:r w:rsidRPr="00BA0F2E">
        <w:rPr>
          <w:rFonts w:eastAsia="TimesNewRomanPSMT"/>
          <w:sz w:val="18"/>
          <w:szCs w:val="18"/>
        </w:rPr>
        <w:t>– nárast hospodárskej neistoty, s vplyvom na nárast volatility cien aktív či výmenných kurzov mien.</w:t>
      </w:r>
    </w:p>
    <w:p w:rsidR="00A06D32" w:rsidRDefault="00A06D32" w:rsidP="00A06D32">
      <w:pPr>
        <w:autoSpaceDE w:val="0"/>
        <w:autoSpaceDN w:val="0"/>
        <w:adjustRightInd w:val="0"/>
        <w:ind w:firstLine="360"/>
        <w:jc w:val="both"/>
        <w:rPr>
          <w:rFonts w:eastAsia="TimesNewRomanPSMT"/>
          <w:sz w:val="18"/>
          <w:szCs w:val="18"/>
        </w:rPr>
      </w:pPr>
    </w:p>
    <w:p w:rsidR="00A06D32" w:rsidRPr="00BA0F2E" w:rsidRDefault="00A06D32" w:rsidP="00A06D32">
      <w:pPr>
        <w:autoSpaceDE w:val="0"/>
        <w:autoSpaceDN w:val="0"/>
        <w:adjustRightInd w:val="0"/>
        <w:ind w:left="360"/>
        <w:jc w:val="both"/>
        <w:rPr>
          <w:rFonts w:eastAsia="TimesNewRomanPSMT"/>
          <w:sz w:val="18"/>
          <w:szCs w:val="18"/>
        </w:rPr>
      </w:pPr>
      <w:r w:rsidRPr="00BA0F2E">
        <w:rPr>
          <w:rFonts w:eastAsia="TimesNewRomanPSMT"/>
          <w:sz w:val="18"/>
          <w:szCs w:val="18"/>
        </w:rPr>
        <w:t>Spoločnosť pôsob</w:t>
      </w:r>
      <w:r>
        <w:rPr>
          <w:rFonts w:eastAsia="TimesNewRomanPSMT"/>
          <w:sz w:val="18"/>
          <w:szCs w:val="18"/>
        </w:rPr>
        <w:t>í</w:t>
      </w:r>
      <w:r w:rsidRPr="00BA0F2E">
        <w:rPr>
          <w:rFonts w:eastAsia="TimesNewRomanPSMT"/>
          <w:sz w:val="18"/>
          <w:szCs w:val="18"/>
        </w:rPr>
        <w:t xml:space="preserve"> v </w:t>
      </w:r>
      <w:r>
        <w:rPr>
          <w:rFonts w:eastAsia="TimesNewRomanPSMT"/>
          <w:sz w:val="18"/>
          <w:szCs w:val="18"/>
        </w:rPr>
        <w:t>stavebnom</w:t>
      </w:r>
      <w:r w:rsidRPr="00BA0F2E">
        <w:rPr>
          <w:rFonts w:eastAsia="TimesNewRomanPSMT"/>
          <w:sz w:val="18"/>
          <w:szCs w:val="18"/>
        </w:rPr>
        <w:t xml:space="preserve"> sektore, ktorý bol vypuknutím COVID-19 ovplyvnený</w:t>
      </w:r>
      <w:r>
        <w:rPr>
          <w:rFonts w:eastAsia="TimesNewRomanPSMT"/>
          <w:sz w:val="18"/>
          <w:szCs w:val="18"/>
        </w:rPr>
        <w:t xml:space="preserve"> </w:t>
      </w:r>
      <w:r w:rsidRPr="00BA0F2E">
        <w:rPr>
          <w:rFonts w:eastAsia="TimesNewRomanPSMT"/>
          <w:sz w:val="18"/>
          <w:szCs w:val="18"/>
        </w:rPr>
        <w:t>nepriamo, činnosť Spoločnosti, nebola prerušená. Za prvý kvartál 202</w:t>
      </w:r>
      <w:r>
        <w:rPr>
          <w:rFonts w:eastAsia="TimesNewRomanPSMT"/>
          <w:sz w:val="18"/>
          <w:szCs w:val="18"/>
        </w:rPr>
        <w:t>1</w:t>
      </w:r>
      <w:r w:rsidRPr="00BA0F2E">
        <w:rPr>
          <w:rFonts w:eastAsia="TimesNewRomanPSMT"/>
          <w:sz w:val="18"/>
          <w:szCs w:val="18"/>
        </w:rPr>
        <w:t xml:space="preserve"> Spoločnosť očakáva</w:t>
      </w:r>
      <w:r>
        <w:rPr>
          <w:rFonts w:eastAsia="TimesNewRomanPSMT"/>
          <w:sz w:val="18"/>
          <w:szCs w:val="18"/>
        </w:rPr>
        <w:t xml:space="preserve"> </w:t>
      </w:r>
      <w:r w:rsidRPr="00BA0F2E">
        <w:rPr>
          <w:rFonts w:eastAsia="TimesNewRomanPSMT"/>
          <w:sz w:val="18"/>
          <w:szCs w:val="18"/>
        </w:rPr>
        <w:t>relatívne stabilné výnosy. Na základe verejne dostupných informácií ku dňu zostavenia individuálnej</w:t>
      </w:r>
      <w:r>
        <w:rPr>
          <w:rFonts w:eastAsia="TimesNewRomanPSMT"/>
          <w:sz w:val="18"/>
          <w:szCs w:val="18"/>
        </w:rPr>
        <w:t xml:space="preserve"> </w:t>
      </w:r>
      <w:r w:rsidRPr="00BA0F2E">
        <w:rPr>
          <w:rFonts w:eastAsia="TimesNewRomanPSMT"/>
          <w:sz w:val="18"/>
          <w:szCs w:val="18"/>
        </w:rPr>
        <w:t>účtovnej závierky vedenie Spoločnosti zvážilo potenciálny vývoj nákazy a jeho očakávaný dopad na Spoločnosť a</w:t>
      </w:r>
      <w:r>
        <w:rPr>
          <w:rFonts w:eastAsia="TimesNewRomanPSMT"/>
          <w:sz w:val="18"/>
          <w:szCs w:val="18"/>
        </w:rPr>
        <w:t xml:space="preserve"> </w:t>
      </w:r>
      <w:r w:rsidRPr="00BA0F2E">
        <w:rPr>
          <w:rFonts w:eastAsia="TimesNewRomanPSMT"/>
          <w:sz w:val="18"/>
          <w:szCs w:val="18"/>
        </w:rPr>
        <w:t>hospodárske prostredie, v ktorom Spoločnosť pôsobí, vrátane opatrení, ktoré už boli prijaté slovenskou vládou a</w:t>
      </w:r>
      <w:r>
        <w:rPr>
          <w:rFonts w:eastAsia="TimesNewRomanPSMT"/>
          <w:sz w:val="18"/>
          <w:szCs w:val="18"/>
        </w:rPr>
        <w:t> </w:t>
      </w:r>
      <w:r w:rsidRPr="00BA0F2E">
        <w:rPr>
          <w:rFonts w:eastAsia="TimesNewRomanPSMT"/>
          <w:sz w:val="18"/>
          <w:szCs w:val="18"/>
        </w:rPr>
        <w:t>vládami</w:t>
      </w:r>
      <w:r>
        <w:rPr>
          <w:rFonts w:eastAsia="TimesNewRomanPSMT"/>
          <w:sz w:val="18"/>
          <w:szCs w:val="18"/>
        </w:rPr>
        <w:t xml:space="preserve"> </w:t>
      </w:r>
      <w:r w:rsidRPr="00BA0F2E">
        <w:rPr>
          <w:rFonts w:eastAsia="TimesNewRomanPSMT"/>
          <w:sz w:val="18"/>
          <w:szCs w:val="18"/>
        </w:rPr>
        <w:t>iných krajín</w:t>
      </w:r>
      <w:r>
        <w:rPr>
          <w:rFonts w:eastAsia="TimesNewRomanPSMT"/>
          <w:sz w:val="18"/>
          <w:szCs w:val="18"/>
        </w:rPr>
        <w:t>.</w:t>
      </w:r>
    </w:p>
    <w:p w:rsidR="00A06D32" w:rsidRDefault="00A06D32" w:rsidP="00A06D32">
      <w:pPr>
        <w:autoSpaceDE w:val="0"/>
        <w:autoSpaceDN w:val="0"/>
        <w:adjustRightInd w:val="0"/>
        <w:ind w:firstLine="360"/>
        <w:jc w:val="both"/>
        <w:rPr>
          <w:rFonts w:eastAsia="TimesNewRomanPSMT"/>
          <w:sz w:val="18"/>
          <w:szCs w:val="18"/>
        </w:rPr>
      </w:pPr>
    </w:p>
    <w:p w:rsidR="00A06D32" w:rsidRPr="00BA0F2E" w:rsidRDefault="00A06D32" w:rsidP="00A06D32">
      <w:pPr>
        <w:autoSpaceDE w:val="0"/>
        <w:autoSpaceDN w:val="0"/>
        <w:adjustRightInd w:val="0"/>
        <w:ind w:left="360"/>
        <w:jc w:val="both"/>
        <w:rPr>
          <w:rFonts w:eastAsia="TimesNewRomanPSMT"/>
          <w:szCs w:val="18"/>
        </w:rPr>
      </w:pPr>
      <w:r w:rsidRPr="00BA0F2E">
        <w:rPr>
          <w:rFonts w:eastAsia="TimesNewRomanPSMT"/>
          <w:sz w:val="18"/>
          <w:szCs w:val="18"/>
        </w:rPr>
        <w:t>Na základe aktuálne verejne dostupných informácií, ako i</w:t>
      </w:r>
      <w:r>
        <w:rPr>
          <w:rFonts w:eastAsia="TimesNewRomanPSMT"/>
          <w:sz w:val="18"/>
          <w:szCs w:val="18"/>
        </w:rPr>
        <w:t> </w:t>
      </w:r>
      <w:r w:rsidRPr="00BA0F2E">
        <w:rPr>
          <w:rFonts w:eastAsia="TimesNewRomanPSMT"/>
          <w:sz w:val="18"/>
          <w:szCs w:val="18"/>
        </w:rPr>
        <w:t>napriek</w:t>
      </w:r>
      <w:r>
        <w:rPr>
          <w:rFonts w:eastAsia="TimesNewRomanPSMT"/>
          <w:sz w:val="18"/>
          <w:szCs w:val="18"/>
        </w:rPr>
        <w:t xml:space="preserve"> </w:t>
      </w:r>
      <w:r w:rsidRPr="00BA0F2E">
        <w:rPr>
          <w:rFonts w:eastAsia="TimesNewRomanPSMT"/>
          <w:sz w:val="18"/>
          <w:szCs w:val="18"/>
        </w:rPr>
        <w:t>krokom podniknutými vedením Spoločnosti, predpokladáme nepriaznivý vplyv prepuknutia COVID - 19 na Spoločnosť v</w:t>
      </w:r>
      <w:r>
        <w:rPr>
          <w:rFonts w:eastAsia="TimesNewRomanPSMT"/>
          <w:sz w:val="18"/>
          <w:szCs w:val="18"/>
        </w:rPr>
        <w:t xml:space="preserve"> </w:t>
      </w:r>
      <w:r w:rsidRPr="00BA0F2E">
        <w:rPr>
          <w:rFonts w:eastAsia="TimesNewRomanPSMT"/>
          <w:sz w:val="18"/>
          <w:szCs w:val="18"/>
        </w:rPr>
        <w:t>roku 202</w:t>
      </w:r>
      <w:r>
        <w:rPr>
          <w:rFonts w:eastAsia="TimesNewRomanPSMT"/>
          <w:sz w:val="18"/>
          <w:szCs w:val="18"/>
        </w:rPr>
        <w:t>1</w:t>
      </w:r>
      <w:r w:rsidRPr="00BA0F2E">
        <w:rPr>
          <w:rFonts w:eastAsia="TimesNewRomanPSMT"/>
          <w:sz w:val="18"/>
          <w:szCs w:val="18"/>
        </w:rPr>
        <w:t>, jej prevádzku, finančnú situáciu a prevádzkové výsledky. Nemôžeme však vylúčiť možnosť, že predĺženie</w:t>
      </w:r>
      <w:r>
        <w:rPr>
          <w:rFonts w:eastAsia="TimesNewRomanPSMT"/>
          <w:sz w:val="18"/>
          <w:szCs w:val="18"/>
        </w:rPr>
        <w:t xml:space="preserve"> </w:t>
      </w:r>
      <w:r w:rsidRPr="00BA0F2E">
        <w:rPr>
          <w:rFonts w:eastAsia="TimesNewRomanPSMT"/>
          <w:sz w:val="18"/>
          <w:szCs w:val="18"/>
        </w:rPr>
        <w:t>obmedzeného režimu, stupňovanie závažnosti takýchto opatrení alebo následný nepriaznivý vplyv takýchto opatrení na</w:t>
      </w:r>
      <w:r>
        <w:rPr>
          <w:rFonts w:eastAsia="TimesNewRomanPSMT"/>
          <w:sz w:val="18"/>
          <w:szCs w:val="18"/>
        </w:rPr>
        <w:t xml:space="preserve"> </w:t>
      </w:r>
      <w:r w:rsidRPr="00BA0F2E">
        <w:rPr>
          <w:rFonts w:eastAsia="TimesNewRomanPSMT"/>
          <w:sz w:val="18"/>
          <w:szCs w:val="18"/>
        </w:rPr>
        <w:t>hospodárske prostredie, v ktorom Spoločnosť</w:t>
      </w:r>
      <w:r>
        <w:rPr>
          <w:rFonts w:eastAsia="TimesNewRomanPSMT"/>
          <w:sz w:val="18"/>
          <w:szCs w:val="18"/>
        </w:rPr>
        <w:t xml:space="preserve"> </w:t>
      </w:r>
      <w:r w:rsidRPr="00BA0F2E">
        <w:rPr>
          <w:rFonts w:eastAsia="TimesNewRomanPSMT"/>
          <w:sz w:val="18"/>
          <w:szCs w:val="18"/>
        </w:rPr>
        <w:t>pôsob</w:t>
      </w:r>
      <w:r>
        <w:rPr>
          <w:rFonts w:eastAsia="TimesNewRomanPSMT"/>
          <w:sz w:val="18"/>
          <w:szCs w:val="18"/>
        </w:rPr>
        <w:t>í</w:t>
      </w:r>
      <w:r w:rsidRPr="00BA0F2E">
        <w:rPr>
          <w:rFonts w:eastAsia="TimesNewRomanPSMT"/>
          <w:sz w:val="18"/>
          <w:szCs w:val="18"/>
        </w:rPr>
        <w:t>, nebude mať významnejšie nepriaznivý</w:t>
      </w:r>
      <w:r>
        <w:rPr>
          <w:rFonts w:eastAsia="TimesNewRomanPSMT"/>
          <w:sz w:val="18"/>
          <w:szCs w:val="18"/>
        </w:rPr>
        <w:t xml:space="preserve"> </w:t>
      </w:r>
      <w:r w:rsidRPr="00BA0F2E">
        <w:rPr>
          <w:rFonts w:eastAsia="TimesNewRomanPSMT"/>
          <w:sz w:val="18"/>
          <w:szCs w:val="18"/>
        </w:rPr>
        <w:t xml:space="preserve">vplyv na Spoločnosť, ich finančnú situáciu a prevádzkové výsledky. </w:t>
      </w:r>
    </w:p>
    <w:p w:rsidR="00A06D32" w:rsidRPr="00BA0F2E" w:rsidRDefault="00A06D32" w:rsidP="00A06D32">
      <w:pPr>
        <w:pStyle w:val="Zkladntext"/>
        <w:rPr>
          <w:szCs w:val="18"/>
        </w:rPr>
      </w:pPr>
    </w:p>
    <w:p w:rsidR="00A06D32" w:rsidRDefault="00A06D32" w:rsidP="00A06D32">
      <w:pPr>
        <w:pStyle w:val="Zkladntext"/>
        <w:rPr>
          <w:szCs w:val="18"/>
        </w:rPr>
      </w:pPr>
      <w:r>
        <w:rPr>
          <w:szCs w:val="18"/>
        </w:rPr>
        <w:t>Okrem vyššie uvedeného, p</w:t>
      </w:r>
      <w:r w:rsidRPr="00B50225">
        <w:rPr>
          <w:szCs w:val="18"/>
        </w:rPr>
        <w:t xml:space="preserve">o 31. decembri </w:t>
      </w:r>
      <w:r>
        <w:rPr>
          <w:szCs w:val="18"/>
        </w:rPr>
        <w:t>2020</w:t>
      </w:r>
      <w:r w:rsidRPr="00B50225">
        <w:rPr>
          <w:szCs w:val="18"/>
        </w:rPr>
        <w:t xml:space="preserve"> </w:t>
      </w:r>
      <w:r w:rsidRPr="00CD7AD0">
        <w:rPr>
          <w:szCs w:val="18"/>
        </w:rPr>
        <w:t>nenastali žiadne udalosti majúce významný vplyv na verné zobrazenie skutočností, ktoré sú predmetom účtovníctva.</w:t>
      </w:r>
    </w:p>
    <w:p w:rsidR="00A06D32" w:rsidRDefault="00A06D32" w:rsidP="00A06D32">
      <w:pPr>
        <w:pStyle w:val="Zkladntext"/>
        <w:rPr>
          <w:szCs w:val="18"/>
        </w:rPr>
      </w:pPr>
      <w:bookmarkStart w:id="13" w:name="_Toc530739926"/>
      <w:bookmarkEnd w:id="13"/>
    </w:p>
    <w:p w:rsidR="00BE2400" w:rsidRDefault="00BE2400"/>
    <w:sectPr w:rsidR="00BE2400" w:rsidSect="00C72F57">
      <w:headerReference w:type="even" r:id="rId16"/>
      <w:headerReference w:type="default" r:id="rId17"/>
      <w:footerReference w:type="even" r:id="rId18"/>
      <w:footerReference w:type="default" r:id="rId19"/>
      <w:headerReference w:type="first" r:id="rId20"/>
      <w:footerReference w:type="first" r:id="rId21"/>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43F" w:rsidRDefault="001F243F" w:rsidP="00A06D32">
      <w:r>
        <w:separator/>
      </w:r>
    </w:p>
  </w:endnote>
  <w:endnote w:type="continuationSeparator" w:id="0">
    <w:p w:rsidR="001F243F" w:rsidRDefault="001F243F" w:rsidP="00A0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Univers 45 Light">
    <w:charset w:val="00"/>
    <w:family w:val="auto"/>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32" w:rsidRDefault="00A06D32">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614740"/>
      <w:docPartObj>
        <w:docPartGallery w:val="Page Numbers (Bottom of Page)"/>
        <w:docPartUnique/>
      </w:docPartObj>
    </w:sdtPr>
    <w:sdtEndPr/>
    <w:sdtContent>
      <w:p w:rsidR="00F511E8" w:rsidRDefault="001F243F">
        <w:pPr>
          <w:pStyle w:val="Pta"/>
          <w:jc w:val="right"/>
        </w:pPr>
        <w:r>
          <w:fldChar w:fldCharType="begin"/>
        </w:r>
        <w:r>
          <w:instrText>PAGE   \* MERGEFORMAT</w:instrText>
        </w:r>
        <w:r>
          <w:fldChar w:fldCharType="separate"/>
        </w:r>
        <w:r w:rsidR="00A06D32">
          <w:rPr>
            <w:noProof/>
          </w:rPr>
          <w:t>17</w:t>
        </w:r>
        <w:r>
          <w:fldChar w:fldCharType="end"/>
        </w:r>
      </w:p>
    </w:sdtContent>
  </w:sdt>
  <w:p w:rsidR="004F0081" w:rsidRDefault="001F243F">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FEC" w:rsidRDefault="001F243F"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Slovensko, spol. s r. o. V</w:t>
    </w:r>
    <w:r w:rsidRPr="00803D2C">
      <w:rPr>
        <w:sz w:val="16"/>
        <w:szCs w:val="16"/>
      </w:rPr>
      <w:t>šetky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rsidR="00A44FEC" w:rsidRDefault="001F243F" w:rsidP="00F70C00">
    <w:pPr>
      <w:pStyle w:val="Pta"/>
      <w:tabs>
        <w:tab w:val="clear" w:pos="9072"/>
        <w:tab w:val="right" w:pos="9214"/>
      </w:tabs>
      <w:rPr>
        <w:sz w:val="16"/>
        <w:szCs w:val="16"/>
      </w:rPr>
    </w:pPr>
  </w:p>
  <w:p w:rsidR="00A44FEC" w:rsidRPr="00F70C00" w:rsidRDefault="001F243F"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43F" w:rsidRDefault="001F243F" w:rsidP="00A06D32">
      <w:r>
        <w:separator/>
      </w:r>
    </w:p>
  </w:footnote>
  <w:footnote w:type="continuationSeparator" w:id="0">
    <w:p w:rsidR="001F243F" w:rsidRDefault="001F243F" w:rsidP="00A06D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D32" w:rsidRDefault="00A06D32">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165" w:rsidRDefault="001F243F" w:rsidP="00650498">
    <w:pPr>
      <w:pStyle w:val="Hlavika"/>
      <w:tabs>
        <w:tab w:val="clear" w:pos="4536"/>
        <w:tab w:val="clear" w:pos="9072"/>
        <w:tab w:val="center" w:pos="3969"/>
        <w:tab w:val="right" w:pos="9213"/>
      </w:tabs>
      <w:spacing w:after="120"/>
      <w:jc w:val="right"/>
      <w:rPr>
        <w:b/>
        <w:bCs/>
        <w:sz w:val="18"/>
        <w:szCs w:val="18"/>
      </w:rPr>
    </w:pPr>
  </w:p>
  <w:p w:rsidR="002715DB" w:rsidRDefault="00A06D32" w:rsidP="002715DB">
    <w:pPr>
      <w:pStyle w:val="Hlavika"/>
      <w:tabs>
        <w:tab w:val="clear" w:pos="4536"/>
        <w:tab w:val="clear" w:pos="9072"/>
        <w:tab w:val="center" w:pos="3969"/>
        <w:tab w:val="right" w:pos="9213"/>
      </w:tabs>
      <w:spacing w:after="120"/>
      <w:jc w:val="center"/>
      <w:rPr>
        <w:b/>
        <w:bCs/>
        <w:sz w:val="18"/>
        <w:szCs w:val="18"/>
      </w:rPr>
    </w:pPr>
    <w:r>
      <w:rPr>
        <w:b/>
        <w:bCs/>
        <w:sz w:val="18"/>
        <w:szCs w:val="18"/>
      </w:rPr>
      <w:t>ING CONSTRUCT</w:t>
    </w:r>
    <w:r w:rsidR="001F243F">
      <w:rPr>
        <w:b/>
        <w:bCs/>
        <w:sz w:val="18"/>
        <w:szCs w:val="18"/>
      </w:rPr>
      <w:t xml:space="preserve"> s.r.o.</w:t>
    </w:r>
  </w:p>
  <w:p w:rsidR="002715DB" w:rsidRPr="007120F4" w:rsidRDefault="001F243F" w:rsidP="002715DB">
    <w:pPr>
      <w:pStyle w:val="Hlavika"/>
      <w:tabs>
        <w:tab w:val="clear" w:pos="4536"/>
        <w:tab w:val="clear" w:pos="9072"/>
        <w:tab w:val="center" w:pos="3969"/>
        <w:tab w:val="right" w:pos="9213"/>
      </w:tabs>
      <w:jc w:val="center"/>
      <w:rPr>
        <w:bCs/>
        <w:sz w:val="14"/>
        <w:szCs w:val="18"/>
      </w:rPr>
    </w:pPr>
    <w:r>
      <w:rPr>
        <w:bCs/>
        <w:sz w:val="14"/>
        <w:szCs w:val="18"/>
      </w:rPr>
      <w:tab/>
    </w:r>
    <w:r>
      <w:rPr>
        <w:bCs/>
        <w:sz w:val="14"/>
        <w:szCs w:val="18"/>
      </w:rPr>
      <w:tab/>
    </w:r>
    <w:r w:rsidRPr="00EE53A8">
      <w:rPr>
        <w:bCs/>
        <w:sz w:val="14"/>
        <w:szCs w:val="18"/>
      </w:rPr>
      <w:t>Účtovná závierka zostavená k 31.12.20</w:t>
    </w:r>
    <w:r w:rsidR="00A06D32">
      <w:rPr>
        <w:bCs/>
        <w:sz w:val="14"/>
        <w:szCs w:val="18"/>
      </w:rPr>
      <w:t>20</w:t>
    </w:r>
    <w:r w:rsidRPr="00E95128">
      <w:rPr>
        <w:b/>
        <w:bCs/>
        <w:sz w:val="18"/>
        <w:szCs w:val="18"/>
      </w:rPr>
      <w:t xml:space="preserve"> </w:t>
    </w:r>
  </w:p>
  <w:p w:rsidR="00A44FEC" w:rsidRDefault="001F243F" w:rsidP="002715DB">
    <w:pPr>
      <w:pStyle w:val="Hlavika"/>
      <w:tabs>
        <w:tab w:val="clear" w:pos="4536"/>
        <w:tab w:val="clear" w:pos="9072"/>
        <w:tab w:val="center" w:pos="3969"/>
        <w:tab w:val="right" w:pos="9213"/>
      </w:tabs>
      <w:spacing w:after="120"/>
      <w:jc w:val="center"/>
      <w:rPr>
        <w:sz w:val="18"/>
        <w:szCs w:val="18"/>
      </w:rPr>
    </w:pP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A44FEC" w:rsidRPr="00C14925" w:rsidTr="0028408E">
      <w:trPr>
        <w:trHeight w:hRule="exact" w:val="278"/>
      </w:trPr>
      <w:tc>
        <w:tcPr>
          <w:tcW w:w="2062" w:type="dxa"/>
          <w:tcBorders>
            <w:top w:val="nil"/>
            <w:left w:val="nil"/>
            <w:bottom w:val="nil"/>
            <w:right w:val="nil"/>
          </w:tcBorders>
          <w:vAlign w:val="center"/>
        </w:tcPr>
        <w:p w:rsidR="00A44FEC" w:rsidRPr="00C14925" w:rsidRDefault="001F243F" w:rsidP="001B3829">
          <w:pPr>
            <w:pStyle w:val="Hlavika"/>
            <w:tabs>
              <w:tab w:val="clear" w:pos="4536"/>
              <w:tab w:val="center" w:pos="4253"/>
              <w:tab w:val="right" w:pos="9213"/>
            </w:tabs>
            <w:spacing w:line="276" w:lineRule="auto"/>
            <w:ind w:right="-276" w:firstLine="2"/>
            <w:rPr>
              <w:sz w:val="18"/>
              <w:szCs w:val="18"/>
            </w:rPr>
          </w:pPr>
          <w:r w:rsidRPr="00C14925">
            <w:rPr>
              <w:sz w:val="18"/>
              <w:szCs w:val="18"/>
            </w:rPr>
            <w:t>Poznámky Úč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rsidR="00A44FEC" w:rsidRPr="00C14925" w:rsidRDefault="001F243F" w:rsidP="00D94BB3">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A44FEC" w:rsidRPr="00833D0C" w:rsidRDefault="001F243F"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A44FEC" w:rsidRPr="00833D0C" w:rsidRDefault="001F243F"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1</w:t>
          </w:r>
        </w:p>
      </w:tc>
    </w:tr>
  </w:tbl>
  <w:p w:rsidR="00A44FEC" w:rsidRPr="00833D0C" w:rsidRDefault="001F243F"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A44FEC" w:rsidRPr="00C14925" w:rsidTr="008C19C4">
      <w:trPr>
        <w:trHeight w:val="127"/>
      </w:trPr>
      <w:tc>
        <w:tcPr>
          <w:tcW w:w="2012" w:type="dxa"/>
          <w:tcBorders>
            <w:top w:val="nil"/>
            <w:left w:val="nil"/>
            <w:bottom w:val="nil"/>
            <w:right w:val="nil"/>
          </w:tcBorders>
          <w:vAlign w:val="center"/>
          <w:hideMark/>
        </w:tcPr>
        <w:p w:rsidR="00A44FEC" w:rsidRPr="00C14925" w:rsidRDefault="001F243F"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A44FEC" w:rsidRPr="00C14925" w:rsidRDefault="001F243F"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1F243F"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rsidR="00A44FEC" w:rsidRPr="00833D0C" w:rsidRDefault="00A06D32" w:rsidP="00A06D32">
          <w:pPr>
            <w:pStyle w:val="Hlavika"/>
            <w:tabs>
              <w:tab w:val="clear" w:pos="4536"/>
              <w:tab w:val="center" w:pos="4253"/>
              <w:tab w:val="right" w:pos="9213"/>
            </w:tabs>
            <w:spacing w:line="276" w:lineRule="auto"/>
            <w:jc w:val="center"/>
            <w:rPr>
              <w:sz w:val="18"/>
              <w:szCs w:val="18"/>
            </w:rPr>
          </w:pPr>
          <w:r>
            <w:rPr>
              <w:sz w:val="18"/>
              <w:szCs w:val="18"/>
            </w:rPr>
            <w:t>8</w:t>
          </w:r>
          <w:bookmarkStart w:id="14" w:name="_GoBack"/>
          <w:bookmarkEnd w:id="14"/>
        </w:p>
      </w:tc>
    </w:tr>
  </w:tbl>
  <w:p w:rsidR="00A44FEC" w:rsidRDefault="001F243F" w:rsidP="00B50225">
    <w:pPr>
      <w:pStyle w:val="Hlavika"/>
      <w:tabs>
        <w:tab w:val="clear" w:pos="4536"/>
        <w:tab w:val="clear" w:pos="9072"/>
        <w:tab w:val="center" w:pos="3969"/>
        <w:tab w:val="right" w:pos="9214"/>
      </w:tabs>
    </w:pPr>
  </w:p>
  <w:p w:rsidR="00A44FEC" w:rsidRPr="00E95128" w:rsidRDefault="001F243F" w:rsidP="00B50225">
    <w:pPr>
      <w:pStyle w:val="Hlavika"/>
      <w:tabs>
        <w:tab w:val="clear" w:pos="4536"/>
        <w:tab w:val="clear" w:pos="9072"/>
        <w:tab w:val="center" w:pos="3969"/>
        <w:tab w:val="right" w:pos="9214"/>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FEC" w:rsidRDefault="001F243F" w:rsidP="008A2D79">
    <w:pPr>
      <w:pStyle w:val="Hlavika"/>
      <w:tabs>
        <w:tab w:val="center" w:pos="4820"/>
        <w:tab w:val="right" w:pos="9214"/>
      </w:tabs>
      <w:jc w:val="right"/>
      <w:rPr>
        <w:sz w:val="18"/>
      </w:rPr>
    </w:pPr>
  </w:p>
  <w:p w:rsidR="00A44FEC" w:rsidRPr="00E95128" w:rsidRDefault="001F243F"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59264" behindDoc="1" locked="0" layoutInCell="1" allowOverlap="1" wp14:anchorId="7D19F515" wp14:editId="67DC1C6A">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A44FEC" w:rsidRDefault="001F243F"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A44FEC" w:rsidRPr="00E95128" w:rsidRDefault="001F243F"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A44FEC" w:rsidTr="00D34B3E">
      <w:trPr>
        <w:trHeight w:val="299"/>
      </w:trPr>
      <w:tc>
        <w:tcPr>
          <w:tcW w:w="2251" w:type="dxa"/>
          <w:vAlign w:val="center"/>
        </w:tcPr>
        <w:p w:rsidR="00A44FEC" w:rsidRDefault="001F243F" w:rsidP="00D34B3E">
          <w:pPr>
            <w:pStyle w:val="Hlavika"/>
            <w:tabs>
              <w:tab w:val="clear" w:pos="4536"/>
              <w:tab w:val="center" w:pos="4253"/>
              <w:tab w:val="right" w:pos="9214"/>
            </w:tabs>
            <w:jc w:val="center"/>
            <w:rPr>
              <w:sz w:val="22"/>
            </w:rPr>
          </w:pPr>
          <w:r>
            <w:rPr>
              <w:rFonts w:cs="Arial"/>
              <w:szCs w:val="22"/>
              <w:lang w:eastAsia="sk-SK"/>
            </w:rPr>
            <w:t>Poznámky Úč POD 3 - 04</w:t>
          </w:r>
        </w:p>
      </w:tc>
      <w:tc>
        <w:tcPr>
          <w:tcW w:w="4252" w:type="dxa"/>
          <w:tcBorders>
            <w:top w:val="nil"/>
            <w:bottom w:val="nil"/>
          </w:tcBorders>
          <w:vAlign w:val="center"/>
        </w:tcPr>
        <w:p w:rsidR="00A44FEC" w:rsidRDefault="001F243F" w:rsidP="00D34B3E">
          <w:pPr>
            <w:pStyle w:val="Hlavika"/>
            <w:tabs>
              <w:tab w:val="clear" w:pos="4536"/>
              <w:tab w:val="center" w:pos="4253"/>
              <w:tab w:val="right" w:pos="9214"/>
            </w:tabs>
            <w:jc w:val="right"/>
            <w:rPr>
              <w:sz w:val="22"/>
            </w:rPr>
          </w:pPr>
          <w:r>
            <w:rPr>
              <w:sz w:val="22"/>
            </w:rPr>
            <w:t>DIČ</w:t>
          </w:r>
        </w:p>
      </w:tc>
      <w:tc>
        <w:tcPr>
          <w:tcW w:w="284" w:type="dxa"/>
          <w:vAlign w:val="center"/>
        </w:tcPr>
        <w:p w:rsidR="00A44FEC" w:rsidRDefault="001F243F" w:rsidP="00D34B3E">
          <w:pPr>
            <w:pStyle w:val="Hlavika"/>
            <w:tabs>
              <w:tab w:val="clear" w:pos="4536"/>
              <w:tab w:val="center" w:pos="4253"/>
              <w:tab w:val="right" w:pos="9214"/>
            </w:tabs>
            <w:jc w:val="center"/>
            <w:rPr>
              <w:sz w:val="22"/>
            </w:rPr>
          </w:pPr>
        </w:p>
      </w:tc>
      <w:tc>
        <w:tcPr>
          <w:tcW w:w="283" w:type="dxa"/>
          <w:vAlign w:val="center"/>
        </w:tcPr>
        <w:p w:rsidR="00A44FEC" w:rsidRDefault="001F243F" w:rsidP="00D34B3E">
          <w:pPr>
            <w:pStyle w:val="Hlavika"/>
            <w:tabs>
              <w:tab w:val="clear" w:pos="4536"/>
              <w:tab w:val="center" w:pos="4253"/>
              <w:tab w:val="right" w:pos="9214"/>
            </w:tabs>
            <w:jc w:val="center"/>
            <w:rPr>
              <w:sz w:val="22"/>
            </w:rPr>
          </w:pPr>
        </w:p>
      </w:tc>
      <w:tc>
        <w:tcPr>
          <w:tcW w:w="284" w:type="dxa"/>
          <w:vAlign w:val="center"/>
        </w:tcPr>
        <w:p w:rsidR="00A44FEC" w:rsidRDefault="001F243F" w:rsidP="00D34B3E">
          <w:pPr>
            <w:pStyle w:val="Hlavika"/>
            <w:tabs>
              <w:tab w:val="clear" w:pos="4536"/>
              <w:tab w:val="center" w:pos="4253"/>
              <w:tab w:val="right" w:pos="9214"/>
            </w:tabs>
            <w:jc w:val="center"/>
            <w:rPr>
              <w:sz w:val="22"/>
            </w:rPr>
          </w:pPr>
        </w:p>
      </w:tc>
      <w:tc>
        <w:tcPr>
          <w:tcW w:w="283" w:type="dxa"/>
          <w:vAlign w:val="center"/>
        </w:tcPr>
        <w:p w:rsidR="00A44FEC" w:rsidRDefault="001F243F" w:rsidP="00D34B3E">
          <w:pPr>
            <w:pStyle w:val="Hlavika"/>
            <w:tabs>
              <w:tab w:val="clear" w:pos="4536"/>
              <w:tab w:val="center" w:pos="4253"/>
              <w:tab w:val="right" w:pos="9214"/>
            </w:tabs>
            <w:jc w:val="center"/>
            <w:rPr>
              <w:sz w:val="22"/>
            </w:rPr>
          </w:pPr>
        </w:p>
      </w:tc>
      <w:tc>
        <w:tcPr>
          <w:tcW w:w="284" w:type="dxa"/>
          <w:vAlign w:val="center"/>
        </w:tcPr>
        <w:p w:rsidR="00A44FEC" w:rsidRDefault="001F243F" w:rsidP="00D34B3E">
          <w:pPr>
            <w:pStyle w:val="Hlavika"/>
            <w:tabs>
              <w:tab w:val="clear" w:pos="4536"/>
              <w:tab w:val="center" w:pos="4253"/>
              <w:tab w:val="right" w:pos="9214"/>
            </w:tabs>
            <w:jc w:val="center"/>
            <w:rPr>
              <w:sz w:val="22"/>
            </w:rPr>
          </w:pPr>
        </w:p>
      </w:tc>
      <w:tc>
        <w:tcPr>
          <w:tcW w:w="283" w:type="dxa"/>
          <w:vAlign w:val="center"/>
        </w:tcPr>
        <w:p w:rsidR="00A44FEC" w:rsidRDefault="001F243F" w:rsidP="00D34B3E">
          <w:pPr>
            <w:pStyle w:val="Hlavika"/>
            <w:tabs>
              <w:tab w:val="clear" w:pos="4536"/>
              <w:tab w:val="center" w:pos="4253"/>
              <w:tab w:val="right" w:pos="9214"/>
            </w:tabs>
            <w:jc w:val="center"/>
            <w:rPr>
              <w:sz w:val="22"/>
            </w:rPr>
          </w:pPr>
        </w:p>
      </w:tc>
      <w:tc>
        <w:tcPr>
          <w:tcW w:w="284" w:type="dxa"/>
          <w:vAlign w:val="center"/>
        </w:tcPr>
        <w:p w:rsidR="00A44FEC" w:rsidRDefault="001F243F" w:rsidP="00D34B3E">
          <w:pPr>
            <w:pStyle w:val="Hlavika"/>
            <w:tabs>
              <w:tab w:val="clear" w:pos="4536"/>
              <w:tab w:val="center" w:pos="4253"/>
              <w:tab w:val="right" w:pos="9214"/>
            </w:tabs>
            <w:jc w:val="center"/>
            <w:rPr>
              <w:sz w:val="22"/>
            </w:rPr>
          </w:pPr>
        </w:p>
      </w:tc>
      <w:tc>
        <w:tcPr>
          <w:tcW w:w="283" w:type="dxa"/>
          <w:vAlign w:val="center"/>
        </w:tcPr>
        <w:p w:rsidR="00A44FEC" w:rsidRDefault="001F243F" w:rsidP="00D34B3E">
          <w:pPr>
            <w:pStyle w:val="Hlavika"/>
            <w:tabs>
              <w:tab w:val="clear" w:pos="4536"/>
              <w:tab w:val="center" w:pos="4253"/>
              <w:tab w:val="right" w:pos="9214"/>
            </w:tabs>
            <w:jc w:val="center"/>
            <w:rPr>
              <w:sz w:val="22"/>
            </w:rPr>
          </w:pPr>
        </w:p>
      </w:tc>
      <w:tc>
        <w:tcPr>
          <w:tcW w:w="284" w:type="dxa"/>
          <w:vAlign w:val="center"/>
        </w:tcPr>
        <w:p w:rsidR="00A44FEC" w:rsidRDefault="001F243F" w:rsidP="00D34B3E">
          <w:pPr>
            <w:pStyle w:val="Hlavika"/>
            <w:tabs>
              <w:tab w:val="clear" w:pos="4536"/>
              <w:tab w:val="center" w:pos="4253"/>
              <w:tab w:val="right" w:pos="9214"/>
            </w:tabs>
            <w:jc w:val="center"/>
            <w:rPr>
              <w:sz w:val="22"/>
            </w:rPr>
          </w:pPr>
        </w:p>
      </w:tc>
      <w:tc>
        <w:tcPr>
          <w:tcW w:w="283" w:type="dxa"/>
          <w:vAlign w:val="center"/>
        </w:tcPr>
        <w:p w:rsidR="00A44FEC" w:rsidRDefault="001F243F" w:rsidP="00D34B3E">
          <w:pPr>
            <w:pStyle w:val="Hlavika"/>
            <w:tabs>
              <w:tab w:val="clear" w:pos="4536"/>
              <w:tab w:val="center" w:pos="4253"/>
              <w:tab w:val="right" w:pos="9214"/>
            </w:tabs>
            <w:jc w:val="center"/>
            <w:rPr>
              <w:sz w:val="22"/>
            </w:rPr>
          </w:pPr>
        </w:p>
      </w:tc>
    </w:tr>
  </w:tbl>
  <w:p w:rsidR="00A44FEC" w:rsidRPr="00E95128" w:rsidRDefault="001F243F"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1">
    <w:nsid w:val="153F3BED"/>
    <w:multiLevelType w:val="hybridMultilevel"/>
    <w:tmpl w:val="485A2F64"/>
    <w:lvl w:ilvl="0" w:tplc="363C1F0A">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36BE61C3"/>
    <w:multiLevelType w:val="singleLevel"/>
    <w:tmpl w:val="041B000F"/>
    <w:lvl w:ilvl="0">
      <w:start w:val="1"/>
      <w:numFmt w:val="decimal"/>
      <w:lvlText w:val="%1."/>
      <w:lvlJc w:val="left"/>
      <w:pPr>
        <w:ind w:left="720" w:hanging="360"/>
      </w:pPr>
      <w:rPr>
        <w:rFonts w:hint="default"/>
      </w:rPr>
    </w:lvl>
  </w:abstractNum>
  <w:abstractNum w:abstractNumId="4">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73473C13"/>
    <w:multiLevelType w:val="singleLevel"/>
    <w:tmpl w:val="3080EF0E"/>
    <w:lvl w:ilvl="0">
      <w:start w:val="1"/>
      <w:numFmt w:val="upperLetter"/>
      <w:pStyle w:val="Nadpis1"/>
      <w:lvlText w:val="%1."/>
      <w:lvlJc w:val="left"/>
      <w:pPr>
        <w:tabs>
          <w:tab w:val="num" w:pos="2062"/>
        </w:tabs>
        <w:ind w:left="2062" w:hanging="360"/>
      </w:pPr>
      <w:rPr>
        <w:rFonts w:cs="Times New Roman" w:hint="default"/>
      </w:rPr>
    </w:lvl>
  </w:abstractNum>
  <w:abstractNum w:abstractNumId="7">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6"/>
  </w:num>
  <w:num w:numId="2">
    <w:abstractNumId w:val="3"/>
  </w:num>
  <w:num w:numId="3">
    <w:abstractNumId w:val="7"/>
  </w:num>
  <w:num w:numId="4">
    <w:abstractNumId w:val="5"/>
  </w:num>
  <w:num w:numId="5">
    <w:abstractNumId w:val="4"/>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2F7"/>
    <w:rsid w:val="001612F7"/>
    <w:rsid w:val="001F243F"/>
    <w:rsid w:val="00A06D32"/>
    <w:rsid w:val="00BE24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6D32"/>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A06D32"/>
    <w:pPr>
      <w:keepNext/>
      <w:numPr>
        <w:numId w:val="1"/>
      </w:numPr>
      <w:outlineLvl w:val="0"/>
    </w:pPr>
    <w:rPr>
      <w:b/>
      <w:caps/>
      <w:sz w:val="18"/>
    </w:rPr>
  </w:style>
  <w:style w:type="paragraph" w:styleId="Nadpis2">
    <w:name w:val="heading 2"/>
    <w:basedOn w:val="Normlny"/>
    <w:next w:val="Normlny"/>
    <w:link w:val="Nadpis2Char"/>
    <w:uiPriority w:val="9"/>
    <w:qFormat/>
    <w:rsid w:val="00A06D32"/>
    <w:pPr>
      <w:keepNext/>
      <w:outlineLvl w:val="1"/>
    </w:pPr>
    <w:rPr>
      <w:b/>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06D32"/>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A06D32"/>
    <w:rPr>
      <w:rFonts w:ascii="Times New Roman" w:eastAsia="Times New Roman" w:hAnsi="Times New Roman" w:cs="Times New Roman"/>
      <w:b/>
      <w:sz w:val="18"/>
      <w:szCs w:val="20"/>
    </w:rPr>
  </w:style>
  <w:style w:type="paragraph" w:styleId="Hlavika">
    <w:name w:val="header"/>
    <w:basedOn w:val="Normlny"/>
    <w:link w:val="HlavikaChar"/>
    <w:uiPriority w:val="99"/>
    <w:unhideWhenUsed/>
    <w:rsid w:val="00A06D32"/>
    <w:pPr>
      <w:tabs>
        <w:tab w:val="center" w:pos="4536"/>
        <w:tab w:val="right" w:pos="9072"/>
      </w:tabs>
    </w:pPr>
  </w:style>
  <w:style w:type="character" w:customStyle="1" w:styleId="HlavikaChar">
    <w:name w:val="Hlavička Char"/>
    <w:basedOn w:val="Predvolenpsmoodseku"/>
    <w:link w:val="Hlavika"/>
    <w:uiPriority w:val="99"/>
    <w:rsid w:val="00A06D32"/>
    <w:rPr>
      <w:rFonts w:ascii="Times New Roman" w:eastAsia="Times New Roman" w:hAnsi="Times New Roman" w:cs="Times New Roman"/>
      <w:sz w:val="20"/>
      <w:szCs w:val="20"/>
    </w:rPr>
  </w:style>
  <w:style w:type="paragraph" w:styleId="Pta">
    <w:name w:val="footer"/>
    <w:basedOn w:val="Normlny"/>
    <w:link w:val="PtaChar"/>
    <w:uiPriority w:val="99"/>
    <w:unhideWhenUsed/>
    <w:rsid w:val="00A06D32"/>
    <w:pPr>
      <w:tabs>
        <w:tab w:val="center" w:pos="4536"/>
        <w:tab w:val="right" w:pos="9072"/>
      </w:tabs>
    </w:pPr>
  </w:style>
  <w:style w:type="character" w:customStyle="1" w:styleId="PtaChar">
    <w:name w:val="Päta Char"/>
    <w:basedOn w:val="Predvolenpsmoodseku"/>
    <w:link w:val="Pta"/>
    <w:uiPriority w:val="99"/>
    <w:rsid w:val="00A06D32"/>
    <w:rPr>
      <w:rFonts w:ascii="Times New Roman" w:eastAsia="Times New Roman" w:hAnsi="Times New Roman" w:cs="Times New Roman"/>
      <w:sz w:val="20"/>
      <w:szCs w:val="20"/>
    </w:rPr>
  </w:style>
  <w:style w:type="paragraph" w:styleId="Zkladntext">
    <w:name w:val="Body Text"/>
    <w:basedOn w:val="Normlny"/>
    <w:link w:val="ZkladntextChar"/>
    <w:rsid w:val="00A06D32"/>
    <w:pPr>
      <w:ind w:left="426"/>
      <w:jc w:val="both"/>
    </w:pPr>
    <w:rPr>
      <w:sz w:val="18"/>
    </w:rPr>
  </w:style>
  <w:style w:type="character" w:customStyle="1" w:styleId="ZkladntextChar">
    <w:name w:val="Základný text Char"/>
    <w:basedOn w:val="Predvolenpsmoodseku"/>
    <w:link w:val="Zkladntext"/>
    <w:rsid w:val="00A06D32"/>
    <w:rPr>
      <w:rFonts w:ascii="Times New Roman" w:eastAsia="Times New Roman" w:hAnsi="Times New Roman" w:cs="Times New Roman"/>
      <w:sz w:val="18"/>
      <w:szCs w:val="20"/>
    </w:rPr>
  </w:style>
  <w:style w:type="paragraph" w:customStyle="1" w:styleId="Pismenka">
    <w:name w:val="Pismenka"/>
    <w:basedOn w:val="Zkladntext"/>
    <w:rsid w:val="00A06D32"/>
    <w:pPr>
      <w:numPr>
        <w:numId w:val="3"/>
      </w:numPr>
    </w:pPr>
    <w:rPr>
      <w:b/>
    </w:rPr>
  </w:style>
  <w:style w:type="paragraph" w:customStyle="1" w:styleId="AccountingPolicy">
    <w:name w:val="Accounting Policy"/>
    <w:basedOn w:val="Normlny"/>
    <w:link w:val="AccountingPolicyChar"/>
    <w:uiPriority w:val="99"/>
    <w:rsid w:val="00A06D3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A06D32"/>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A06D32"/>
    <w:rPr>
      <w:rFonts w:ascii="Times New Roman" w:hAnsi="Times New Roman" w:cs="Times New Roman"/>
      <w:bCs/>
      <w:iCs/>
      <w:sz w:val="18"/>
      <w:szCs w:val="18"/>
    </w:rPr>
  </w:style>
  <w:style w:type="paragraph" w:customStyle="1" w:styleId="odstavec">
    <w:name w:val="odstavec"/>
    <w:basedOn w:val="Normlny"/>
    <w:link w:val="odstavecChar"/>
    <w:autoRedefine/>
    <w:rsid w:val="00A06D32"/>
    <w:pPr>
      <w:suppressAutoHyphens/>
      <w:ind w:left="426"/>
      <w:jc w:val="both"/>
    </w:pPr>
    <w:rPr>
      <w:rFonts w:eastAsiaTheme="minorHAnsi"/>
      <w:bCs/>
      <w:iCs/>
      <w:sz w:val="18"/>
      <w:szCs w:val="18"/>
    </w:rPr>
  </w:style>
  <w:style w:type="paragraph" w:customStyle="1" w:styleId="NormalLeft">
    <w:name w:val="Normal Left"/>
    <w:basedOn w:val="Normlny"/>
    <w:link w:val="NormalLeftChar"/>
    <w:uiPriority w:val="99"/>
    <w:rsid w:val="00A06D32"/>
    <w:pPr>
      <w:spacing w:after="120"/>
      <w:ind w:left="624"/>
      <w:jc w:val="both"/>
    </w:pPr>
    <w:rPr>
      <w:sz w:val="22"/>
    </w:rPr>
  </w:style>
  <w:style w:type="character" w:customStyle="1" w:styleId="NormalLeftChar">
    <w:name w:val="Normal Left Char"/>
    <w:link w:val="NormalLeft"/>
    <w:uiPriority w:val="99"/>
    <w:locked/>
    <w:rsid w:val="00A06D32"/>
    <w:rPr>
      <w:rFonts w:ascii="Times New Roman" w:eastAsia="Times New Roman" w:hAnsi="Times New Roman" w:cs="Times New Roman"/>
      <w:szCs w:val="20"/>
    </w:rPr>
  </w:style>
  <w:style w:type="character" w:customStyle="1" w:styleId="ra">
    <w:name w:val="ra"/>
    <w:basedOn w:val="Predvolenpsmoodseku"/>
    <w:rsid w:val="00A06D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6D32"/>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A06D32"/>
    <w:pPr>
      <w:keepNext/>
      <w:numPr>
        <w:numId w:val="1"/>
      </w:numPr>
      <w:outlineLvl w:val="0"/>
    </w:pPr>
    <w:rPr>
      <w:b/>
      <w:caps/>
      <w:sz w:val="18"/>
    </w:rPr>
  </w:style>
  <w:style w:type="paragraph" w:styleId="Nadpis2">
    <w:name w:val="heading 2"/>
    <w:basedOn w:val="Normlny"/>
    <w:next w:val="Normlny"/>
    <w:link w:val="Nadpis2Char"/>
    <w:uiPriority w:val="9"/>
    <w:qFormat/>
    <w:rsid w:val="00A06D32"/>
    <w:pPr>
      <w:keepNext/>
      <w:outlineLvl w:val="1"/>
    </w:pPr>
    <w:rPr>
      <w:b/>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06D32"/>
    <w:rPr>
      <w:rFonts w:ascii="Times New Roman" w:eastAsia="Times New Roman" w:hAnsi="Times New Roman" w:cs="Times New Roman"/>
      <w:b/>
      <w:caps/>
      <w:sz w:val="18"/>
      <w:szCs w:val="20"/>
    </w:rPr>
  </w:style>
  <w:style w:type="character" w:customStyle="1" w:styleId="Nadpis2Char">
    <w:name w:val="Nadpis 2 Char"/>
    <w:basedOn w:val="Predvolenpsmoodseku"/>
    <w:link w:val="Nadpis2"/>
    <w:uiPriority w:val="9"/>
    <w:rsid w:val="00A06D32"/>
    <w:rPr>
      <w:rFonts w:ascii="Times New Roman" w:eastAsia="Times New Roman" w:hAnsi="Times New Roman" w:cs="Times New Roman"/>
      <w:b/>
      <w:sz w:val="18"/>
      <w:szCs w:val="20"/>
    </w:rPr>
  </w:style>
  <w:style w:type="paragraph" w:styleId="Hlavika">
    <w:name w:val="header"/>
    <w:basedOn w:val="Normlny"/>
    <w:link w:val="HlavikaChar"/>
    <w:uiPriority w:val="99"/>
    <w:unhideWhenUsed/>
    <w:rsid w:val="00A06D32"/>
    <w:pPr>
      <w:tabs>
        <w:tab w:val="center" w:pos="4536"/>
        <w:tab w:val="right" w:pos="9072"/>
      </w:tabs>
    </w:pPr>
  </w:style>
  <w:style w:type="character" w:customStyle="1" w:styleId="HlavikaChar">
    <w:name w:val="Hlavička Char"/>
    <w:basedOn w:val="Predvolenpsmoodseku"/>
    <w:link w:val="Hlavika"/>
    <w:uiPriority w:val="99"/>
    <w:rsid w:val="00A06D32"/>
    <w:rPr>
      <w:rFonts w:ascii="Times New Roman" w:eastAsia="Times New Roman" w:hAnsi="Times New Roman" w:cs="Times New Roman"/>
      <w:sz w:val="20"/>
      <w:szCs w:val="20"/>
    </w:rPr>
  </w:style>
  <w:style w:type="paragraph" w:styleId="Pta">
    <w:name w:val="footer"/>
    <w:basedOn w:val="Normlny"/>
    <w:link w:val="PtaChar"/>
    <w:uiPriority w:val="99"/>
    <w:unhideWhenUsed/>
    <w:rsid w:val="00A06D32"/>
    <w:pPr>
      <w:tabs>
        <w:tab w:val="center" w:pos="4536"/>
        <w:tab w:val="right" w:pos="9072"/>
      </w:tabs>
    </w:pPr>
  </w:style>
  <w:style w:type="character" w:customStyle="1" w:styleId="PtaChar">
    <w:name w:val="Päta Char"/>
    <w:basedOn w:val="Predvolenpsmoodseku"/>
    <w:link w:val="Pta"/>
    <w:uiPriority w:val="99"/>
    <w:rsid w:val="00A06D32"/>
    <w:rPr>
      <w:rFonts w:ascii="Times New Roman" w:eastAsia="Times New Roman" w:hAnsi="Times New Roman" w:cs="Times New Roman"/>
      <w:sz w:val="20"/>
      <w:szCs w:val="20"/>
    </w:rPr>
  </w:style>
  <w:style w:type="paragraph" w:styleId="Zkladntext">
    <w:name w:val="Body Text"/>
    <w:basedOn w:val="Normlny"/>
    <w:link w:val="ZkladntextChar"/>
    <w:rsid w:val="00A06D32"/>
    <w:pPr>
      <w:ind w:left="426"/>
      <w:jc w:val="both"/>
    </w:pPr>
    <w:rPr>
      <w:sz w:val="18"/>
    </w:rPr>
  </w:style>
  <w:style w:type="character" w:customStyle="1" w:styleId="ZkladntextChar">
    <w:name w:val="Základný text Char"/>
    <w:basedOn w:val="Predvolenpsmoodseku"/>
    <w:link w:val="Zkladntext"/>
    <w:rsid w:val="00A06D32"/>
    <w:rPr>
      <w:rFonts w:ascii="Times New Roman" w:eastAsia="Times New Roman" w:hAnsi="Times New Roman" w:cs="Times New Roman"/>
      <w:sz w:val="18"/>
      <w:szCs w:val="20"/>
    </w:rPr>
  </w:style>
  <w:style w:type="paragraph" w:customStyle="1" w:styleId="Pismenka">
    <w:name w:val="Pismenka"/>
    <w:basedOn w:val="Zkladntext"/>
    <w:rsid w:val="00A06D32"/>
    <w:pPr>
      <w:numPr>
        <w:numId w:val="3"/>
      </w:numPr>
    </w:pPr>
    <w:rPr>
      <w:b/>
    </w:rPr>
  </w:style>
  <w:style w:type="paragraph" w:customStyle="1" w:styleId="AccountingPolicy">
    <w:name w:val="Accounting Policy"/>
    <w:basedOn w:val="Normlny"/>
    <w:link w:val="AccountingPolicyChar"/>
    <w:uiPriority w:val="99"/>
    <w:rsid w:val="00A06D3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A06D32"/>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Predvolenpsmoodseku"/>
    <w:link w:val="odstavec"/>
    <w:locked/>
    <w:rsid w:val="00A06D32"/>
    <w:rPr>
      <w:rFonts w:ascii="Times New Roman" w:hAnsi="Times New Roman" w:cs="Times New Roman"/>
      <w:bCs/>
      <w:iCs/>
      <w:sz w:val="18"/>
      <w:szCs w:val="18"/>
    </w:rPr>
  </w:style>
  <w:style w:type="paragraph" w:customStyle="1" w:styleId="odstavec">
    <w:name w:val="odstavec"/>
    <w:basedOn w:val="Normlny"/>
    <w:link w:val="odstavecChar"/>
    <w:autoRedefine/>
    <w:rsid w:val="00A06D32"/>
    <w:pPr>
      <w:suppressAutoHyphens/>
      <w:ind w:left="426"/>
      <w:jc w:val="both"/>
    </w:pPr>
    <w:rPr>
      <w:rFonts w:eastAsiaTheme="minorHAnsi"/>
      <w:bCs/>
      <w:iCs/>
      <w:sz w:val="18"/>
      <w:szCs w:val="18"/>
    </w:rPr>
  </w:style>
  <w:style w:type="paragraph" w:customStyle="1" w:styleId="NormalLeft">
    <w:name w:val="Normal Left"/>
    <w:basedOn w:val="Normlny"/>
    <w:link w:val="NormalLeftChar"/>
    <w:uiPriority w:val="99"/>
    <w:rsid w:val="00A06D32"/>
    <w:pPr>
      <w:spacing w:after="120"/>
      <w:ind w:left="624"/>
      <w:jc w:val="both"/>
    </w:pPr>
    <w:rPr>
      <w:sz w:val="22"/>
    </w:rPr>
  </w:style>
  <w:style w:type="character" w:customStyle="1" w:styleId="NormalLeftChar">
    <w:name w:val="Normal Left Char"/>
    <w:link w:val="NormalLeft"/>
    <w:uiPriority w:val="99"/>
    <w:locked/>
    <w:rsid w:val="00A06D32"/>
    <w:rPr>
      <w:rFonts w:ascii="Times New Roman" w:eastAsia="Times New Roman" w:hAnsi="Times New Roman" w:cs="Times New Roman"/>
      <w:szCs w:val="20"/>
    </w:rPr>
  </w:style>
  <w:style w:type="character" w:customStyle="1" w:styleId="ra">
    <w:name w:val="ra"/>
    <w:basedOn w:val="Predvolenpsmoodseku"/>
    <w:rsid w:val="00A06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3.xlsx"/><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Microsoft_Excel_Worksheet2.xlsx"/><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package" Target="embeddings/Microsoft_Excel_Worksheet1.xlsx"/><Relationship Id="rId14" Type="http://schemas.openxmlformats.org/officeDocument/2006/relationships/image" Target="media/image4.emf"/><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2943</Words>
  <Characters>16780</Characters>
  <Application>Microsoft Office Word</Application>
  <DocSecurity>0</DocSecurity>
  <Lines>139</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2</cp:revision>
  <dcterms:created xsi:type="dcterms:W3CDTF">2021-05-02T18:02:00Z</dcterms:created>
  <dcterms:modified xsi:type="dcterms:W3CDTF">2021-05-02T18:02:00Z</dcterms:modified>
</cp:coreProperties>
</file>