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_rels/chart1.xml.rels" ContentType="application/vnd.openxmlformats-package.relationships+xml"/>
  <Override PartName="/word/charts/_rels/chart2.xml.rels" ContentType="application/vnd.openxmlformats-package.relationships+xml"/>
  <Override PartName="/word/charts/_rels/chart3.xml.rels" ContentType="application/vnd.openxmlformats-package.relationships+xml"/>
  <Override PartName="/word/embeddings/Microsoft_Excel_Worksheet3.xlsx" ContentType="application/vnd.openxmlformats-officedocument.spreadsheetml.sheet"/>
  <Override PartName="/word/embeddings/Microsoft_Excel_Worksheet.xlsx" ContentType="application/vnd.openxmlformats-officedocument.spreadsheetml.sheet"/>
  <Override PartName="/word/embeddings/Microsoft_Excel_Worksheet2.xlsx" ContentType="application/vnd.openxmlformats-officedocument.spreadsheetml.sheet"/>
  <Override PartName="/word/embeddings/Microsoft_Excel_Worksheet1.xlsx" ContentType="application/vnd.openxmlformats-officedocument.spreadsheetml.sheet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FELIX Mi, s.r.o.  </w:t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b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>V Ý R O Č N Á    S P R Á V A</w:t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b/>
          <w:b/>
          <w:sz w:val="56"/>
          <w:szCs w:val="56"/>
        </w:rPr>
      </w:pPr>
      <w:r>
        <w:rPr>
          <w:rFonts w:ascii="Times New Roman" w:hAnsi="Times New Roman"/>
          <w:b/>
          <w:sz w:val="40"/>
          <w:szCs w:val="40"/>
        </w:rPr>
        <w:t xml:space="preserve">Z A  R O K  2 0 2 0  </w:t>
      </w:r>
    </w:p>
    <w:p>
      <w:pPr>
        <w:pStyle w:val="Normal"/>
        <w:tabs>
          <w:tab w:val="left" w:pos="1872" w:leader="none"/>
          <w:tab w:val="left" w:pos="2160" w:leader="none"/>
          <w:tab w:val="left" w:pos="4752" w:leader="none"/>
        </w:tabs>
        <w:spacing w:lineRule="atLeast" w:line="480" w:before="0" w:after="1440"/>
        <w:ind w:right="-12" w:hanging="0"/>
        <w:jc w:val="center"/>
        <w:rPr>
          <w:rFonts w:ascii="Times New Roman" w:hAnsi="Times New Roman"/>
          <w:b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Adresa:</w:t>
        <w:tab/>
        <w:t xml:space="preserve">FELIX Mi, s.r.o., Továrenská 2, 071 01 Michalovce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IČO:</w:t>
        <w:tab/>
        <w:tab/>
        <w:t>36 574 520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Telefón:</w:t>
        <w:tab/>
        <w:t>056/688 47 41</w:t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ind w:right="15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ind w:right="15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ind w:right="15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ind w:right="15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ind w:right="15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ind w:right="15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 B S A H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PREHĽAD FINANČNÝCH ÚDAJOV ZA ROKY 2018 - 2020</w:t>
        <w:tab/>
        <w:t xml:space="preserve">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SPRÁVA KONATEĽA O PODNIKATEĽSKEJ </w:t>
        <w:tab/>
        <w:t xml:space="preserve">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ČINNOSTI V ROKU 2020: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a) Informácie o vývoji účtovnej jednotky, o stave v ktorom sa nachádza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a o významných rizikách a neistotách, ktorým je účtovná jednotka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vystavená.</w:t>
      </w:r>
    </w:p>
    <w:p>
      <w:pPr>
        <w:pStyle w:val="Normal"/>
        <w:tabs>
          <w:tab w:val="left" w:pos="993" w:leader="none"/>
          <w:tab w:val="left" w:pos="1418" w:leader="none"/>
          <w:tab w:val="left" w:pos="2977" w:leader="none"/>
          <w:tab w:val="left" w:pos="7938" w:leader="none"/>
        </w:tabs>
        <w:ind w:left="993" w:right="152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b) Informácie o udalostiach osobitného významu, ktoré nastali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po skončení účtovného obdobia, za ktoré sa vyhotovuje výročná správa.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c) Informácie o predpokladanom budúcom vývoji činnosti účtovnej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jednotky.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d) Informácia o nákladoch na činnosť v oblasti výskumu a vývoja.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e) Informácia o nadobúdaní vlastných obchodných podielov.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f) Návrh na schválenie účtovnej závierky a na rozdelenie zisku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alebo vyrovnanie straty.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g) Informácie o údajoch požadovaných podľa osobitných predpisov.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h) Informácie o tom, či účtovná jednotka má organizačnú zložku v zahraničí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ÚČTOVNÁ ZÁVIERKA ZA ROK 2020</w:t>
        <w:tab/>
        <w:tab/>
        <w:t xml:space="preserve">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- Bilancia (súvaha)</w:t>
        <w:tab/>
        <w:tab/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- Výkaz ziskov a strát</w:t>
        <w:tab/>
        <w:tab/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0" w:leader="none"/>
          <w:tab w:val="left" w:pos="2977" w:leader="none"/>
          <w:tab w:val="left" w:pos="7938" w:leader="none"/>
        </w:tabs>
        <w:ind w:right="152" w:firstLine="142"/>
        <w:jc w:val="right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0" w:leader="none"/>
          <w:tab w:val="left" w:pos="2977" w:leader="none"/>
          <w:tab w:val="left" w:pos="7938" w:leader="none"/>
        </w:tabs>
        <w:ind w:right="152" w:firstLine="142"/>
        <w:jc w:val="right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0" w:leader="none"/>
          <w:tab w:val="left" w:pos="2977" w:leader="none"/>
          <w:tab w:val="left" w:pos="7938" w:leader="none"/>
        </w:tabs>
        <w:ind w:right="152" w:firstLine="142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PREHĽAD FINANČNÝCH ÚDAJOV ZA ROK 2018-2020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T R Ž B Y,  P R I D A N Á  H O D N O T A,  H O S P.   V Ý S L E D O K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 0 1 8 – 2 0 2 0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  <w:tab w:val="right" w:pos="9203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>
        <w:rPr>
          <w:rFonts w:ascii="Times New Roman" w:hAnsi="Times New Roman"/>
          <w:sz w:val="26"/>
          <w:szCs w:val="26"/>
        </w:rPr>
        <w:drawing>
          <wp:inline distT="0" distB="0" distL="0" distR="0">
            <wp:extent cx="5241925" cy="4725670"/>
            <wp:effectExtent l="0" t="0" r="0" b="0"/>
            <wp:docPr id="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"/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ab/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A K T Í VA  2018 – 2020                                 P A S Í V A 2018 – 2020</w:t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/>
        <w:drawing>
          <wp:inline distT="0" distB="0" distL="0" distR="0">
            <wp:extent cx="2628900" cy="3977640"/>
            <wp:effectExtent l="0" t="0" r="0" b="0"/>
            <wp:docPr id="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"/>
              </a:graphicData>
            </a:graphic>
          </wp:inline>
        </w:drawing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center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PREHĽAD PEŇAŽNÝCH TOKOV 2020</w:t>
      </w:r>
    </w:p>
    <w:p>
      <w:pPr>
        <w:pStyle w:val="Normal"/>
        <w:tabs>
          <w:tab w:val="left" w:pos="6440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ab/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/>
        <w:drawing>
          <wp:inline distT="0" distB="0" distL="0" distR="0">
            <wp:extent cx="5539740" cy="2979420"/>
            <wp:effectExtent l="0" t="0" r="0" b="0"/>
            <wp:docPr id="3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SPRÁVA KONATEĽA O PODNIKATEĽSKEJ ČINNOSTI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 ROKU 2020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________________________________________________________________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a) Informácie o vývoji účtovnej jednotky, o stave v ktorom sa nachádza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>a o významných rizikách a neistotách, ktorým je účtovná jednotka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>vystavená.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426" w:right="152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426" w:right="152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Účtovná jednotka FELIX Mi s.r.o. v priebehu roka 2020 vykonávala svoju činnosť v štandardnom režime bez mimoriadnych výkyvov, rizík a neistôt.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426" w:right="152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426" w:right="152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Odberateľom dodávala svoju produkciu v dohodnutých termínoch a štandardnej kvalite. Finančné záväzky voči svojím dodávateľom uhrádzala v termínoch splatnosti.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426" w:right="152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426" w:right="152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Pri úhrade vlastných pohľadávok sa nevyskytli problémy a pohľadávky boli uhrádzané dlžníkmi v termínoch splatnosti.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426" w:right="152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426" w:right="152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Celkovo možno hodnotiť vývoj spoločnosti ako štandardný a bezrizikový.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VÝKAZ ZISKOV A STRÁT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Ukazovatele efektívnosti hospodárenia:</w:t>
      </w:r>
    </w:p>
    <w:p>
      <w:pPr>
        <w:pStyle w:val="Normal"/>
        <w:tabs>
          <w:tab w:val="left" w:pos="2127" w:leader="none"/>
          <w:tab w:val="left" w:pos="3686" w:leader="none"/>
          <w:tab w:val="left" w:pos="4962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ab/>
        <w:tab/>
        <w:t>k 31.12.2020</w:t>
        <w:tab/>
        <w:t xml:space="preserve">  k 31.12.2019</w:t>
      </w:r>
      <w:r>
        <w:rPr>
          <w:rFonts w:ascii="Times New Roman" w:hAnsi="Times New Roman"/>
          <w:sz w:val="22"/>
          <w:szCs w:val="22"/>
        </w:rPr>
        <w:tab/>
        <w:t xml:space="preserve">                                                                                                                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a) Rentabilita celkového kapitálu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Použiteľný zisk+úroky     1 404 762            </w:t>
      </w:r>
    </w:p>
    <w:p>
      <w:pPr>
        <w:pStyle w:val="Normal"/>
        <w:tabs>
          <w:tab w:val="left" w:pos="2127" w:leader="none"/>
          <w:tab w:val="left" w:pos="3686" w:leader="none"/>
          <w:tab w:val="left" w:pos="5670" w:leader="none"/>
          <w:tab w:val="left" w:pos="6946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–––––––––––––––––– </w:t>
      </w:r>
      <w:r>
        <w:rPr>
          <w:rFonts w:ascii="Times New Roman" w:hAnsi="Times New Roman"/>
          <w:sz w:val="22"/>
          <w:szCs w:val="22"/>
        </w:rPr>
        <w:t>= ––––––––––  x  100  =                         4,87 %</w:t>
        <w:tab/>
        <w:t xml:space="preserve">    3,72 %       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Celkový kapitál k 1.1.      28 826 177               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b) Rentabilita vlastného kapitálu;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Použiteľný zisk                1 404 762                   </w:t>
      </w:r>
    </w:p>
    <w:p>
      <w:pPr>
        <w:pStyle w:val="Normal"/>
        <w:tabs>
          <w:tab w:val="left" w:pos="2127" w:leader="none"/>
          <w:tab w:val="left" w:pos="3686" w:leader="none"/>
          <w:tab w:val="left" w:pos="5670" w:leader="none"/>
          <w:tab w:val="left" w:pos="6946" w:leader="none"/>
        </w:tabs>
        <w:ind w:right="-1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––––––––––––––––– </w:t>
      </w:r>
      <w:r>
        <w:rPr>
          <w:rFonts w:ascii="Times New Roman" w:hAnsi="Times New Roman"/>
          <w:sz w:val="22"/>
          <w:szCs w:val="22"/>
        </w:rPr>
        <w:t>= –––––––––––  x  100  =                          5,07 %</w:t>
        <w:tab/>
        <w:t xml:space="preserve">    2,74 %   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Vlastný kapitál  k 1.1.     27 713 362                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c) Nákladová rentabilita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Hosp.výsledok               1 404 762             </w:t>
      </w:r>
    </w:p>
    <w:p>
      <w:pPr>
        <w:pStyle w:val="Normal"/>
        <w:tabs>
          <w:tab w:val="left" w:pos="2127" w:leader="none"/>
          <w:tab w:val="left" w:pos="3686" w:leader="none"/>
          <w:tab w:val="left" w:pos="5670" w:leader="none"/>
          <w:tab w:val="left" w:pos="6946" w:leader="none"/>
        </w:tabs>
        <w:ind w:right="-1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    </w:t>
      </w:r>
      <w:r>
        <w:rPr>
          <w:rFonts w:ascii="Times New Roman" w:hAnsi="Times New Roman"/>
          <w:sz w:val="22"/>
          <w:szCs w:val="22"/>
        </w:rPr>
        <w:t>=  ––––––––––   x   100    =                       420,52 %</w:t>
        <w:tab/>
        <w:t xml:space="preserve">  340,20 %      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Celkové náklady              334 056              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d) Nákladovosť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Náklady celkom            334 056               </w:t>
      </w:r>
    </w:p>
    <w:p>
      <w:pPr>
        <w:pStyle w:val="Normal"/>
        <w:tabs>
          <w:tab w:val="left" w:pos="2127" w:leader="none"/>
          <w:tab w:val="left" w:pos="3686" w:leader="none"/>
          <w:tab w:val="left" w:pos="5529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 </w:t>
      </w:r>
      <w:r>
        <w:rPr>
          <w:rFonts w:ascii="Times New Roman" w:hAnsi="Times New Roman"/>
          <w:sz w:val="22"/>
          <w:szCs w:val="22"/>
        </w:rPr>
        <w:t xml:space="preserve">= ––––––––––––  x   100     =                       19,21 % </w:t>
        <w:tab/>
        <w:t xml:space="preserve">     22,71 %        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Výnosy celkom           1 738 818      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BILANCIA  (SÚVAHA)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Analýza štruktúry majetku (aktív), popis obchodného majetku, stálych aktív, obežného majetku, ostatných aktív, %-tuálne zloženie,  medziročný pohyb. Analýza zdrojov (pasív), vlastného imania, cudzích zdrojov, ostatných pasív.</w:t>
      </w:r>
    </w:p>
    <w:p>
      <w:pPr>
        <w:pStyle w:val="Normal"/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ŠTRUKTÚRA MAJETKU A ZDROJOV</w:t>
      </w:r>
    </w:p>
    <w:tbl>
      <w:tblPr>
        <w:tblW w:w="9039" w:type="dxa"/>
        <w:jc w:val="left"/>
        <w:tblInd w:w="0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8" w:space="0" w:color="00000A"/>
          <w:insideH w:val="single" w:sz="18" w:space="0" w:color="00000A"/>
          <w:insideV w:val="single" w:sz="18" w:space="0" w:color="00000A"/>
        </w:tblBorders>
        <w:tblCellMar>
          <w:top w:w="0" w:type="dxa"/>
          <w:left w:w="85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950"/>
        <w:gridCol w:w="1559"/>
        <w:gridCol w:w="1189"/>
        <w:gridCol w:w="1647"/>
        <w:gridCol w:w="1189"/>
        <w:gridCol w:w="1504"/>
      </w:tblGrid>
      <w:tr>
        <w:trPr>
          <w:cantSplit w:val="true"/>
        </w:trPr>
        <w:tc>
          <w:tcPr>
            <w:tcW w:w="195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pct10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Ukazovateľ </w:t>
            </w:r>
          </w:p>
          <w:p>
            <w:pPr>
              <w:pStyle w:val="Normal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(v eurách)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pct10"/>
            <w:tcMar>
              <w:left w:w="85" w:type="dxa"/>
            </w:tcMar>
          </w:tcPr>
          <w:p>
            <w:pPr>
              <w:pStyle w:val="Normal"/>
              <w:ind w:left="57" w:right="57" w:hanging="0"/>
              <w:jc w:val="center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Stav k 31.12.2020</w:t>
            </w:r>
          </w:p>
        </w:tc>
        <w:tc>
          <w:tcPr>
            <w:tcW w:w="1189" w:type="dxa"/>
            <w:tcBorders>
              <w:top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pct10"/>
          </w:tcPr>
          <w:p>
            <w:pPr>
              <w:pStyle w:val="Normal"/>
              <w:ind w:left="57" w:right="57" w:hanging="0"/>
              <w:jc w:val="center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%</w:t>
            </w:r>
          </w:p>
        </w:tc>
        <w:tc>
          <w:tcPr>
            <w:tcW w:w="164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pct10"/>
            <w:tcMar>
              <w:left w:w="85" w:type="dxa"/>
            </w:tcMar>
          </w:tcPr>
          <w:p>
            <w:pPr>
              <w:pStyle w:val="Normal"/>
              <w:ind w:left="57" w:right="57" w:hanging="0"/>
              <w:jc w:val="center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Stav k  31.12.2019</w:t>
            </w:r>
          </w:p>
        </w:tc>
        <w:tc>
          <w:tcPr>
            <w:tcW w:w="118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insideH w:val="single" w:sz="18" w:space="0" w:color="00000A"/>
            </w:tcBorders>
            <w:shd w:color="auto" w:fill="auto" w:val="pct10"/>
            <w:tcMar>
              <w:left w:w="85" w:type="dxa"/>
            </w:tcMar>
          </w:tcPr>
          <w:p>
            <w:pPr>
              <w:pStyle w:val="Normal"/>
              <w:ind w:left="57" w:right="57" w:hanging="0"/>
              <w:jc w:val="center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%</w:t>
            </w:r>
          </w:p>
        </w:tc>
        <w:tc>
          <w:tcPr>
            <w:tcW w:w="15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pct10"/>
            <w:tcMar>
              <w:left w:w="85" w:type="dxa"/>
            </w:tcMar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Rozdiel</w:t>
            </w:r>
          </w:p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2020 – 2019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Neob majetok</w:t>
            </w:r>
          </w:p>
        </w:tc>
        <w:tc>
          <w:tcPr>
            <w:tcW w:w="1559" w:type="dxa"/>
            <w:tcBorders>
              <w:top w:val="single" w:sz="18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10 261 842</w:t>
            </w:r>
          </w:p>
        </w:tc>
        <w:tc>
          <w:tcPr>
            <w:tcW w:w="1189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34,0</w:t>
            </w:r>
          </w:p>
        </w:tc>
        <w:tc>
          <w:tcPr>
            <w:tcW w:w="1647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10 282 273</w:t>
            </w:r>
          </w:p>
        </w:tc>
        <w:tc>
          <w:tcPr>
            <w:tcW w:w="1189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35,7</w:t>
            </w:r>
          </w:p>
        </w:tc>
        <w:tc>
          <w:tcPr>
            <w:tcW w:w="1504" w:type="dxa"/>
            <w:tcBorders>
              <w:top w:val="single" w:sz="18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- 20 431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Obež majetok</w:t>
            </w:r>
          </w:p>
        </w:tc>
        <w:tc>
          <w:tcPr>
            <w:tcW w:w="1559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19 958 504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66,0</w:t>
            </w:r>
          </w:p>
        </w:tc>
        <w:tc>
          <w:tcPr>
            <w:tcW w:w="1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18 543 705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64,3</w:t>
            </w:r>
          </w:p>
        </w:tc>
        <w:tc>
          <w:tcPr>
            <w:tcW w:w="1504" w:type="dxa"/>
            <w:tcBorders>
              <w:top w:val="single" w:sz="6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+1 414 799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zásoby</w:t>
            </w:r>
          </w:p>
        </w:tc>
        <w:tc>
          <w:tcPr>
            <w:tcW w:w="1559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>-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504" w:type="dxa"/>
            <w:tcBorders>
              <w:top w:val="single" w:sz="6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pohľadávky</w:t>
            </w:r>
          </w:p>
        </w:tc>
        <w:tc>
          <w:tcPr>
            <w:tcW w:w="1559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14 277 360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47,2</w:t>
            </w:r>
          </w:p>
        </w:tc>
        <w:tc>
          <w:tcPr>
            <w:tcW w:w="1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13 046 970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45,3</w:t>
            </w:r>
          </w:p>
        </w:tc>
        <w:tc>
          <w:tcPr>
            <w:tcW w:w="1504" w:type="dxa"/>
            <w:tcBorders>
              <w:top w:val="single" w:sz="6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+1 230 390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fin. majetok</w:t>
            </w:r>
          </w:p>
        </w:tc>
        <w:tc>
          <w:tcPr>
            <w:tcW w:w="1559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5 681 144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18,8</w:t>
            </w:r>
          </w:p>
        </w:tc>
        <w:tc>
          <w:tcPr>
            <w:tcW w:w="1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5 496 735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19,0</w:t>
            </w:r>
          </w:p>
        </w:tc>
        <w:tc>
          <w:tcPr>
            <w:tcW w:w="1504" w:type="dxa"/>
            <w:tcBorders>
              <w:top w:val="single" w:sz="6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+ 184 409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A"/>
              <w:left w:val="single" w:sz="18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Čas. rozlíšenie</w:t>
            </w:r>
          </w:p>
        </w:tc>
        <w:tc>
          <w:tcPr>
            <w:tcW w:w="1559" w:type="dxa"/>
            <w:tcBorders>
              <w:top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64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199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504" w:type="dxa"/>
            <w:tcBorders>
              <w:top w:val="single" w:sz="6" w:space="0" w:color="00000A"/>
              <w:right w:val="single" w:sz="18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- 80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pct10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Aktíva celkom</w:t>
            </w:r>
          </w:p>
        </w:tc>
        <w:tc>
          <w:tcPr>
            <w:tcW w:w="1559" w:type="dxa"/>
            <w:tcBorders>
              <w:right w:val="single" w:sz="6" w:space="0" w:color="00000A"/>
              <w:insideV w:val="single" w:sz="6" w:space="0" w:color="00000A"/>
            </w:tcBorders>
            <w:shd w:color="auto" w:fill="auto" w:val="pct10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30 220 465</w:t>
            </w:r>
          </w:p>
        </w:tc>
        <w:tc>
          <w:tcPr>
            <w:tcW w:w="1189" w:type="dxa"/>
            <w:tcBorders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color="auto" w:fill="auto" w:val="pct10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647" w:type="dxa"/>
            <w:tcBorders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color="auto" w:fill="auto" w:val="pct10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28 826 177</w:t>
            </w:r>
          </w:p>
        </w:tc>
        <w:tc>
          <w:tcPr>
            <w:tcW w:w="1189" w:type="dxa"/>
            <w:tcBorders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color="auto" w:fill="auto" w:val="pct10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504" w:type="dxa"/>
            <w:tcBorders>
              <w:top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pct10"/>
          </w:tcPr>
          <w:p>
            <w:pPr>
              <w:pStyle w:val="Normal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+ 1 394 288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left w:val="single" w:sz="18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Vlastné imanie </w:t>
            </w:r>
          </w:p>
        </w:tc>
        <w:tc>
          <w:tcPr>
            <w:tcW w:w="1559" w:type="dxa"/>
            <w:tcBorders>
              <w:top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30 102 865 </w:t>
            </w:r>
          </w:p>
        </w:tc>
        <w:tc>
          <w:tcPr>
            <w:tcW w:w="11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99,6</w:t>
            </w:r>
          </w:p>
        </w:tc>
        <w:tc>
          <w:tcPr>
            <w:tcW w:w="164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28 713 362</w:t>
            </w:r>
          </w:p>
        </w:tc>
        <w:tc>
          <w:tcPr>
            <w:tcW w:w="11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99,6</w:t>
            </w:r>
          </w:p>
        </w:tc>
        <w:tc>
          <w:tcPr>
            <w:tcW w:w="1504" w:type="dxa"/>
            <w:tcBorders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+ 1 389 503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Záväzky</w:t>
            </w:r>
          </w:p>
        </w:tc>
        <w:tc>
          <w:tcPr>
            <w:tcW w:w="1559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117 600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</w:t>
            </w:r>
          </w:p>
        </w:tc>
        <w:tc>
          <w:tcPr>
            <w:tcW w:w="1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112 815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</w:t>
            </w:r>
          </w:p>
        </w:tc>
        <w:tc>
          <w:tcPr>
            <w:tcW w:w="1504" w:type="dxa"/>
            <w:tcBorders>
              <w:top w:val="single" w:sz="6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+ 4 785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A"/>
              <w:left w:val="single" w:sz="18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bankové úvery</w:t>
            </w:r>
          </w:p>
        </w:tc>
        <w:tc>
          <w:tcPr>
            <w:tcW w:w="1559" w:type="dxa"/>
            <w:tcBorders>
              <w:top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64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504" w:type="dxa"/>
            <w:tcBorders>
              <w:top w:val="single" w:sz="6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A"/>
              <w:left w:val="single" w:sz="18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Čas. rozlíšenie</w:t>
            </w:r>
          </w:p>
        </w:tc>
        <w:tc>
          <w:tcPr>
            <w:tcW w:w="1559" w:type="dxa"/>
            <w:tcBorders>
              <w:top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64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04" w:type="dxa"/>
            <w:tcBorders>
              <w:top w:val="single" w:sz="6" w:space="0" w:color="00000A"/>
              <w:right w:val="single" w:sz="18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12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pct10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Pasíva celkom</w:t>
            </w:r>
          </w:p>
        </w:tc>
        <w:tc>
          <w:tcPr>
            <w:tcW w:w="1559" w:type="dxa"/>
            <w:tcBorders>
              <w:top w:val="single" w:sz="12" w:space="0" w:color="00000A"/>
              <w:bottom w:val="single" w:sz="18" w:space="0" w:color="00000A"/>
              <w:right w:val="single" w:sz="6" w:space="0" w:color="00000A"/>
              <w:insideH w:val="single" w:sz="18" w:space="0" w:color="00000A"/>
              <w:insideV w:val="single" w:sz="6" w:space="0" w:color="00000A"/>
            </w:tcBorders>
            <w:shd w:color="auto" w:fill="auto" w:val="pct10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30 220 465</w:t>
            </w:r>
          </w:p>
        </w:tc>
        <w:tc>
          <w:tcPr>
            <w:tcW w:w="1189" w:type="dxa"/>
            <w:tcBorders>
              <w:top w:val="single" w:sz="12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  <w:insideH w:val="single" w:sz="18" w:space="0" w:color="00000A"/>
              <w:insideV w:val="single" w:sz="6" w:space="0" w:color="00000A"/>
            </w:tcBorders>
            <w:shd w:color="auto" w:fill="auto" w:val="pct10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647" w:type="dxa"/>
            <w:tcBorders>
              <w:top w:val="single" w:sz="12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  <w:insideH w:val="single" w:sz="18" w:space="0" w:color="00000A"/>
              <w:insideV w:val="single" w:sz="6" w:space="0" w:color="00000A"/>
            </w:tcBorders>
            <w:shd w:color="auto" w:fill="auto" w:val="pct10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28 826 177</w:t>
            </w:r>
          </w:p>
        </w:tc>
        <w:tc>
          <w:tcPr>
            <w:tcW w:w="1189" w:type="dxa"/>
            <w:tcBorders>
              <w:top w:val="single" w:sz="12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  <w:insideH w:val="single" w:sz="18" w:space="0" w:color="00000A"/>
              <w:insideV w:val="single" w:sz="6" w:space="0" w:color="00000A"/>
            </w:tcBorders>
            <w:shd w:color="auto" w:fill="auto" w:val="pct10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504" w:type="dxa"/>
            <w:tcBorders>
              <w:top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pct10"/>
          </w:tcPr>
          <w:p>
            <w:pPr>
              <w:pStyle w:val="Normal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+ 1 394 288</w:t>
            </w:r>
          </w:p>
        </w:tc>
      </w:tr>
    </w:tbl>
    <w:p>
      <w:pPr>
        <w:pStyle w:val="Normal"/>
        <w:tabs>
          <w:tab w:val="left" w:pos="5387" w:leader="none"/>
          <w:tab w:val="left" w:pos="6804" w:leader="none"/>
        </w:tabs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5387" w:leader="none"/>
          <w:tab w:val="left" w:pos="6804" w:leader="none"/>
        </w:tabs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5387" w:leader="none"/>
          <w:tab w:val="left" w:pos="6804" w:leader="none"/>
        </w:tabs>
        <w:ind w:left="5392" w:right="-12" w:hanging="0"/>
        <w:jc w:val="both"/>
        <w:rPr>
          <w:rFonts w:ascii="Times New Roman" w:hAnsi="Times New Roman"/>
          <w:b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  </w:t>
      </w:r>
      <w:r>
        <w:rPr>
          <w:rFonts w:ascii="Times New Roman" w:hAnsi="Times New Roman"/>
          <w:b/>
          <w:bCs/>
          <w:sz w:val="22"/>
          <w:szCs w:val="22"/>
        </w:rPr>
        <w:t>2019             2019</w:t>
      </w:r>
    </w:p>
    <w:p>
      <w:pPr>
        <w:pStyle w:val="Normal"/>
        <w:tabs>
          <w:tab w:val="left" w:pos="5387" w:leader="none"/>
          <w:tab w:val="left" w:pos="6804" w:leader="none"/>
        </w:tabs>
        <w:ind w:right="-12" w:firstLine="547"/>
        <w:jc w:val="both"/>
        <w:rPr>
          <w:rFonts w:ascii="Times New Roman" w:hAnsi="Times New Roman"/>
          <w:b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Miera krytia investičného majetku vlastným kapitálom: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Vlastný kapitál           30 102 865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 </w:t>
      </w:r>
      <w:r>
        <w:rPr>
          <w:rFonts w:ascii="Times New Roman" w:hAnsi="Times New Roman"/>
          <w:sz w:val="22"/>
          <w:szCs w:val="22"/>
        </w:rPr>
        <w:t>= ––––––––––– x 100 =                                   293,3 %          279,2 %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Stále aktíva                 10 261 842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Finančná stabilita  (koeficient samofinancovania):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Vlastný kapitál          30 102 865 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  </w:t>
      </w:r>
      <w:r>
        <w:rPr>
          <w:rFonts w:ascii="Times New Roman" w:hAnsi="Times New Roman"/>
          <w:sz w:val="22"/>
          <w:szCs w:val="22"/>
        </w:rPr>
        <w:t>= –––––––––––   x 100 =                                   99,6 %</w:t>
        <w:tab/>
        <w:t xml:space="preserve">           99,6 %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Celkové aktíva          30 220 465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Celková zadlženosť (veriteľské riziko):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Cudzí kapitál               117 600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  </w:t>
      </w:r>
      <w:r>
        <w:rPr>
          <w:rFonts w:ascii="Times New Roman" w:hAnsi="Times New Roman"/>
          <w:sz w:val="22"/>
          <w:szCs w:val="22"/>
        </w:rPr>
        <w:t>= ––––––––––– x 100 =</w:t>
        <w:tab/>
        <w:t xml:space="preserve">               0,4 %</w:t>
        <w:tab/>
        <w:t xml:space="preserve">            0,4 %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Celkové aktíva          30 220 465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Z toho úverová zadlženosť:</w:t>
      </w:r>
      <w:r>
        <w:rPr>
          <w:rFonts w:ascii="Times New Roman" w:hAnsi="Times New Roman"/>
          <w:bCs/>
          <w:sz w:val="22"/>
          <w:szCs w:val="22"/>
        </w:rPr>
        <w:tab/>
        <w:tab/>
        <w:t xml:space="preserve">                -   %</w:t>
        <w:tab/>
        <w:t xml:space="preserve">             -   %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Okamžitá likvidita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Finančný majetok                    5 681 144                        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––––––––––––––––––––– </w:t>
      </w:r>
      <w:r>
        <w:rPr>
          <w:rFonts w:ascii="Times New Roman" w:hAnsi="Times New Roman"/>
          <w:sz w:val="22"/>
          <w:szCs w:val="22"/>
        </w:rPr>
        <w:t xml:space="preserve">= –––––––––––– =  52,721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Krátkodobé záv.vč.úverov         107 759                     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Optimálny stav je v rozpätí: 0,2 - 0,5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Bežná likvidita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Obežný majetok - zásoby           5 971 985                            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–––––––––––––––––––––– </w:t>
      </w:r>
      <w:r>
        <w:rPr>
          <w:rFonts w:ascii="Times New Roman" w:hAnsi="Times New Roman"/>
          <w:sz w:val="22"/>
          <w:szCs w:val="22"/>
        </w:rPr>
        <w:t xml:space="preserve">= ––––––––––– =  55,419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Krátkodobé záväzky + úvery      107 759                               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Optimálny stav je v rozpätí: 1,0 - 1,5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Celková likvidita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Obežný majetok                      5 971 985                           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––––––––––––––––––––  </w:t>
      </w:r>
      <w:r>
        <w:rPr>
          <w:rFonts w:ascii="Times New Roman" w:hAnsi="Times New Roman"/>
          <w:sz w:val="22"/>
          <w:szCs w:val="22"/>
        </w:rPr>
        <w:t>= –––––––––––  =   55,419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Krátkodobé záv.vč.úverov        107 759                       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Optimálny stav je v rozpätí: 2,0 - 2,5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left="426"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left="426"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ab/>
        <w:t xml:space="preserve">        </w:t>
        <w:tab/>
        <w:t xml:space="preserve">  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spacing w:lineRule="atLeast" w:line="240"/>
        <w:ind w:right="-11" w:firstLine="426"/>
        <w:jc w:val="both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spacing w:lineRule="atLeast" w:line="240"/>
        <w:ind w:right="-11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single"/>
        </w:rPr>
        <w:t>Pracovný kapitál: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(obežný majetok - krátkodobé záväzky)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>
      <w:pPr>
        <w:pStyle w:val="Normal"/>
        <w:tabs>
          <w:tab w:val="left" w:pos="2977" w:leader="none"/>
          <w:tab w:val="left" w:pos="4253" w:leader="none"/>
          <w:tab w:val="left" w:pos="5387" w:leader="none"/>
          <w:tab w:val="left" w:pos="6804" w:leader="none"/>
        </w:tabs>
        <w:spacing w:lineRule="atLeast" w:line="240"/>
        <w:ind w:right="-11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5 971 985 – 107 759 = 5 864 226 eur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993" w:leader="none"/>
          <w:tab w:val="left" w:pos="1418" w:leader="none"/>
          <w:tab w:val="left" w:pos="2977" w:leader="none"/>
          <w:tab w:val="left" w:pos="7938" w:leader="none"/>
        </w:tabs>
        <w:ind w:left="993" w:right="152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993" w:leader="none"/>
          <w:tab w:val="left" w:pos="1418" w:leader="none"/>
          <w:tab w:val="left" w:pos="2977" w:leader="none"/>
          <w:tab w:val="left" w:pos="7938" w:leader="none"/>
        </w:tabs>
        <w:ind w:left="993" w:right="152" w:hanging="284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b) Informácie o udalostiach osobitného významu, ktoré nastali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>po skončení účtovného obdobia, za ktoré sa vyhotovuje výročná správa.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 xml:space="preserve">Po skončení účtovného obdobia nenastali skutočnosti osobitného významu, ktoré by bolo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potrebné uviesť vo výročnej správe.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c) Informácie o predpokladanom budúcom vývoji činnosti účtovnej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>jednotky.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Účtovná jednotka bude pokračovať vo svojej činnosti v rozsahu rokov 2020.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d) Informácia o nákladoch na činnosť v oblasti výskumu a vývoja.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Spoločnosť nečerpala žiadne náklady na vedu a výskum.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e) Informácia o nadobúdaní vlastných obchodných podielov.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>
        <w:rPr>
          <w:rFonts w:ascii="Times New Roman" w:hAnsi="Times New Roman"/>
          <w:sz w:val="22"/>
          <w:szCs w:val="22"/>
        </w:rPr>
        <w:t xml:space="preserve">Spoločnosť nenadobudla žiadne vlastné obchodné podiely.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f) Návrh na schválenie účtovnej závierky za rok 2020 a na rozdelenie zisku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</w:t>
      </w:r>
      <w:r>
        <w:rPr>
          <w:rFonts w:ascii="Times New Roman" w:hAnsi="Times New Roman"/>
          <w:b/>
          <w:sz w:val="22"/>
          <w:szCs w:val="22"/>
        </w:rPr>
        <w:t>alebo vyrovnanie straty.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Konateľ FELIX Mi, s.r.o., v zmysle spoločenskej zmluvy, po preskúmaní ročnej účtovnej závierky a výročnej správy za rok 2020 a správy audítora, predkladá  valnému zhromaždeniu na  schválenie návrh:</w:t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 Schváliť účtovnú závierku a výročnú správu za rok 2020.</w:t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 Hospodársky výsledok zisk + 1 033 686,96 € zúčtovať nasledovne: </w:t>
      </w:r>
    </w:p>
    <w:p>
      <w:pPr>
        <w:pStyle w:val="Normal"/>
        <w:ind w:left="284" w:right="424" w:firstLine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</w:t>
      </w:r>
      <w:r>
        <w:rPr>
          <w:rFonts w:ascii="Times New Roman" w:hAnsi="Times New Roman"/>
          <w:sz w:val="22"/>
          <w:szCs w:val="22"/>
        </w:rPr>
        <w:t xml:space="preserve">1 033 686,96 €, v prospech nerozdeleného zisku minulých rokov   </w:t>
      </w:r>
    </w:p>
    <w:p>
      <w:pPr>
        <w:pStyle w:val="Normal"/>
        <w:tabs>
          <w:tab w:val="left" w:pos="1134" w:leader="none"/>
        </w:tabs>
        <w:ind w:left="-284" w:right="424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    </w:t>
      </w:r>
    </w:p>
    <w:p>
      <w:pPr>
        <w:pStyle w:val="Normal"/>
        <w:tabs>
          <w:tab w:val="left" w:pos="1134" w:leader="none"/>
        </w:tabs>
        <w:ind w:left="-284" w:right="424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                  </w:t>
      </w:r>
    </w:p>
    <w:p>
      <w:pPr>
        <w:pStyle w:val="Normal"/>
        <w:ind w:left="-284" w:right="424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ab/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g) Informácie o údajoch požadovaných podľa osobitných predpisov.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 xml:space="preserve">Pre spoločnosť bezpredmetné.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h) Informácie o tom, či účtovná jednotka má organizačnú zložku v zahraničí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</w:t>
      </w:r>
      <w:r>
        <w:rPr>
          <w:rFonts w:ascii="Times New Roman" w:hAnsi="Times New Roman"/>
          <w:sz w:val="22"/>
          <w:szCs w:val="22"/>
        </w:rPr>
        <w:t xml:space="preserve">Účtovná jednotka nemá organizačnú zložku v zahraničí.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5103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ab/>
        <w:tab/>
        <w:tab/>
        <w:t>Paolo Felisa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>konateľ spoločnosti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 xml:space="preserve">   </w:t>
      </w:r>
    </w:p>
    <w:p>
      <w:pPr>
        <w:pStyle w:val="Normal"/>
        <w:tabs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VÝKAZ  ZISKOV  A STRÁT  01.01.2020 - 31.12.2020, 2019, 2018</w:t>
      </w:r>
    </w:p>
    <w:p>
      <w:pPr>
        <w:pStyle w:val="Normal"/>
        <w:tabs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___________________________________________________________________</w:t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center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center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tbl>
      <w:tblPr>
        <w:tblW w:w="7823" w:type="dxa"/>
        <w:jc w:val="left"/>
        <w:tblInd w:w="5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5" w:type="dxa"/>
          <w:left w:w="15" w:type="dxa"/>
          <w:bottom w:w="15" w:type="dxa"/>
          <w:right w:w="15" w:type="dxa"/>
        </w:tblCellMar>
        <w:tblLook w:firstRow="0" w:noVBand="0" w:lastRow="0" w:firstColumn="0" w:lastColumn="0" w:noHBand="0" w:val="0000"/>
      </w:tblPr>
      <w:tblGrid>
        <w:gridCol w:w="4125"/>
        <w:gridCol w:w="1261"/>
        <w:gridCol w:w="1218"/>
        <w:gridCol w:w="1218"/>
      </w:tblGrid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v eurách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left="-155"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31.12.2020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00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31.12.2019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06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31.12.2018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Výnosy z hosp. činn. spolu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398 294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332 939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396 395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Tržby z predaja tovaru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Tržby z predaja vlastných výrobkov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157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Tržby z predaja služieb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352 122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332 383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396 247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196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Tržby z predaja dlh.majetku a  mat.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Ostatné výnosy z hosp. činnosti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46 172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556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148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157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  <w:p>
            <w:pPr>
              <w:pStyle w:val="Normal"/>
              <w:ind w:right="-157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Náklady na hosp. činnosť spolu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315 370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296 244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431 346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Náklady na obst. tovaru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Spotreba materiálu a energie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3 847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2 855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2 373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Služby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10 307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10 386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80 898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Osobné náklady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284 042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265 666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331 671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Mzdové náklady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203 774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189 915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238 030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Náklady na sociálne poistenie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71 190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65 801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82 363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Sociálne náklady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9 078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9 950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11 278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Dane a poplatky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11 828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9 853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9 979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Odpisy dlhodobého majetku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5 172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5 172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5 172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244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Zost.cena pred.dlh.majetku a mat.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Opravné položky k pohľadávkam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Ostatné prevádzkové náklady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174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2 312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1 253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248" w:hanging="0"/>
              <w:rPr>
                <w:rFonts w:ascii="Arial" w:hAnsi="Arial" w:cs="Arial"/>
                <w:color w:val="0000FF"/>
              </w:rPr>
            </w:pPr>
            <w:r>
              <w:rPr>
                <w:rFonts w:cs="Arial" w:ascii="Arial" w:hAnsi="Arial"/>
                <w:b/>
                <w:bCs/>
                <w:color w:val="0000FF"/>
              </w:rPr>
              <w:t>Výsledok hosp.z hosp.činnosti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82 924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36 695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- 34 951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bCs/>
                <w:color w:val="993300"/>
              </w:rPr>
              <w:t>Pridaná hodnota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337 968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319 142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312 976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Výnosy z finanč. činn. spolu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1 340 524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1 004 595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2 475 013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Tržby z predaja podielov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340 301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1 470 339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Výnosy z dlhod. finanč. majetku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1 000 000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1 000 000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1 000 000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Výnosové úroky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223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4 553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4 674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Ostatné výnosy z finanč. činnosti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42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Náklady na fin. činn. spolu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3 129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330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Nákladové úroky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Kurzové straty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248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Ostatné náklady z finanč.činnosti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3 129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330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248" w:hanging="0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bCs/>
                <w:color w:val="0000FF"/>
              </w:rPr>
              <w:t>Výsledok hosp.z finanč.činnosti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1 337 395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1 004 265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2 474 403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3544" w:leader="none"/>
              </w:tabs>
              <w:ind w:right="-518" w:hanging="0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Výsled. hosp. pred zdanením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1 420 319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1 040 960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2 439 452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3544" w:leader="none"/>
              </w:tabs>
              <w:ind w:right="-518" w:hanging="0"/>
              <w:rPr>
                <w:rFonts w:ascii="Arial" w:hAnsi="Arial" w:cs="Arial"/>
                <w:b/>
                <w:b/>
                <w:color w:val="FF6600"/>
              </w:rPr>
            </w:pPr>
            <w:r>
              <w:rPr>
                <w:rFonts w:cs="Arial" w:ascii="Arial" w:hAnsi="Arial"/>
                <w:b/>
                <w:color w:val="FF6600"/>
              </w:rPr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6600"/>
              </w:rPr>
            </w:pPr>
            <w:r>
              <w:rPr>
                <w:rFonts w:cs="Arial" w:ascii="Arial" w:hAnsi="Arial"/>
                <w:b/>
                <w:color w:val="FF6600"/>
              </w:rPr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6600"/>
              </w:rPr>
            </w:pPr>
            <w:r>
              <w:rPr>
                <w:rFonts w:cs="Arial" w:ascii="Arial" w:hAnsi="Arial"/>
                <w:b/>
                <w:color w:val="FF6600"/>
              </w:rPr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6600"/>
              </w:rPr>
            </w:pPr>
            <w:r>
              <w:rPr>
                <w:rFonts w:cs="Arial" w:ascii="Arial" w:hAnsi="Arial"/>
                <w:b/>
                <w:color w:val="FF6600"/>
              </w:rPr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91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Daň z príjmov – splatná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15 574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7 162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1 866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4111" w:leader="none"/>
              </w:tabs>
              <w:ind w:right="-105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 xml:space="preserve">                        </w:t>
            </w:r>
            <w:r>
              <w:rPr>
                <w:rFonts w:cs="Arial" w:ascii="Arial" w:hAnsi="Arial"/>
                <w:color w:val="000000"/>
              </w:rPr>
              <w:t>-odložená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- 17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111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- 92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491" w:hanging="0"/>
              <w:rPr>
                <w:rFonts w:ascii="Arial" w:hAnsi="Arial" w:cs="Arial"/>
                <w:b/>
                <w:b/>
                <w:bCs/>
                <w:color w:val="FF0000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</w:r>
          </w:p>
          <w:p>
            <w:pPr>
              <w:pStyle w:val="Normal"/>
              <w:ind w:right="-491" w:hanging="0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  <w:t>Výsledok hosp.za účt. obdobie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1 404 762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1 033 687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2 437 678</w:t>
            </w:r>
          </w:p>
        </w:tc>
      </w:tr>
    </w:tbl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 xml:space="preserve">  </w:t>
      </w:r>
    </w:p>
    <w:p>
      <w:pPr>
        <w:pStyle w:val="Normal"/>
        <w:tabs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BILANCIA K 31.12.2020, 2019, 2018</w:t>
      </w:r>
    </w:p>
    <w:p>
      <w:pPr>
        <w:pStyle w:val="Normal"/>
        <w:tabs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__________________________________________</w:t>
      </w:r>
    </w:p>
    <w:p>
      <w:pPr>
        <w:pStyle w:val="Normal"/>
        <w:tabs>
          <w:tab w:val="left" w:pos="709" w:leader="none"/>
          <w:tab w:val="left" w:pos="2977" w:leader="none"/>
        </w:tabs>
        <w:jc w:val="righ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jc w:val="righ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jc w:val="righ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tbl>
      <w:tblPr>
        <w:tblW w:w="8068" w:type="dxa"/>
        <w:jc w:val="left"/>
        <w:tblInd w:w="5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5" w:type="dxa"/>
          <w:left w:w="15" w:type="dxa"/>
          <w:bottom w:w="15" w:type="dxa"/>
          <w:right w:w="15" w:type="dxa"/>
        </w:tblCellMar>
        <w:tblLook w:firstRow="0" w:noVBand="0" w:lastRow="0" w:firstColumn="0" w:lastColumn="0" w:noHBand="0" w:val="0000"/>
      </w:tblPr>
      <w:tblGrid>
        <w:gridCol w:w="4135"/>
        <w:gridCol w:w="1394"/>
        <w:gridCol w:w="1276"/>
        <w:gridCol w:w="1262"/>
      </w:tblGrid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31.12.2020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31.12.2019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31.12.2018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  <w:u w:val="single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Majetok (v eurách)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left="24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69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1062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8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>Neobežný majetok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10 261 842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10 282 273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10 235 082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Dlhodobý nehmotný majetok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Dlhodobý hmotný majetok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261 424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266 596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271 768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Pozemky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92 826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92 826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92 826</w:t>
            </w:r>
          </w:p>
        </w:tc>
      </w:tr>
      <w:tr>
        <w:trPr>
          <w:trHeight w:val="6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Stavby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168 598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173 770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178 942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Samostatné hnuteľné veci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Obstarávaný dlhod. hm.majetok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Dlhodobý finančný majetok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10 000 418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10 015 677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9 963 314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 Podiely v prepojených účt. jednotkách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10 000 418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10 015 677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9 963 314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69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8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>Obežný majetok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19 958 504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18 543 705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17 508 422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Zásoby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Dlhodobé pohľadávky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13 987 475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12 987 458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11 987 569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Za prepojenými účt. jednotkami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13 986 519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12 986 519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11 986 519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 Odložená daňová pohľadávka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956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939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1 050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Krátkodobé pohľadávky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289 885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59 512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239 550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Pohľadávky z obchodného styku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275 845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59 512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223 592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Pohľadávky voči spoločníkom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Daňové pohľadávky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14 040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15 958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Iné pohľadávky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Finančné účty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5 681 144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5 496 735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5 281 303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Peniaze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9 876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9 770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9 769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Účty v bankách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5 671 268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5 486 965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5 271 534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8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 xml:space="preserve">Časové rozlíšenie 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119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199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239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Náklady budúcich období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119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119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239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 Príjmy budúcich období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80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  <w:t>MAJETOK CELKOM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30 220 465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28 826 177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27 743 743</w:t>
            </w:r>
          </w:p>
        </w:tc>
      </w:tr>
    </w:tbl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firstLine="567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firstLine="567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right="283" w:firstLine="567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BILANCIA K 31.12.2020, 2019, 2018</w:t>
      </w:r>
    </w:p>
    <w:p>
      <w:pPr>
        <w:pStyle w:val="Normal"/>
        <w:tabs>
          <w:tab w:val="left" w:pos="709" w:leader="none"/>
          <w:tab w:val="left" w:pos="4678" w:leader="none"/>
          <w:tab w:val="left" w:pos="6379" w:leader="none"/>
          <w:tab w:val="left" w:pos="7655" w:leader="none"/>
          <w:tab w:val="left" w:pos="7797" w:leader="none"/>
        </w:tabs>
        <w:ind w:right="283" w:firstLine="567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__________________________________________</w:t>
      </w:r>
    </w:p>
    <w:p>
      <w:pPr>
        <w:pStyle w:val="Normal"/>
        <w:tabs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left="426" w:hanging="0"/>
        <w:jc w:val="right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left="426" w:hanging="0"/>
        <w:jc w:val="right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left="426" w:hanging="0"/>
        <w:jc w:val="right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tbl>
      <w:tblPr>
        <w:tblW w:w="7680" w:type="dxa"/>
        <w:jc w:val="left"/>
        <w:tblInd w:w="5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5" w:type="dxa"/>
          <w:left w:w="15" w:type="dxa"/>
          <w:bottom w:w="15" w:type="dxa"/>
          <w:right w:w="15" w:type="dxa"/>
        </w:tblCellMar>
        <w:tblLook w:firstRow="0" w:noVBand="0" w:lastRow="0" w:firstColumn="0" w:lastColumn="0" w:noHBand="0" w:val="0000"/>
      </w:tblPr>
      <w:tblGrid>
        <w:gridCol w:w="4058"/>
        <w:gridCol w:w="1218"/>
        <w:gridCol w:w="1173"/>
        <w:gridCol w:w="1230"/>
      </w:tblGrid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31.12.2020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6" w:hanging="0"/>
              <w:jc w:val="center"/>
              <w:rPr>
                <w:rFonts w:ascii="Arial" w:hAnsi="Arial" w:cs="Arial"/>
                <w:b/>
                <w:b/>
                <w:color w:val="000000"/>
                <w:u w:val="single"/>
              </w:rPr>
            </w:pPr>
            <w:r>
              <w:rPr>
                <w:rFonts w:cs="Arial" w:ascii="Arial" w:hAnsi="Arial"/>
                <w:b/>
                <w:color w:val="000000"/>
                <w:u w:val="single"/>
              </w:rPr>
              <w:t>31 12.2019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31.12.2018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color w:val="000000"/>
                <w:u w:val="single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 xml:space="preserve">Vlastné imanie a záväzky </w:t>
            </w:r>
          </w:p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(v eurách)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left="-71" w:right="127" w:firstLine="7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left="248" w:hanging="531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8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>Vlastné imanie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30 102 865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28 713 362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27 627 311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Základné imanie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6 640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6 640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6 640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Fondy zo zisku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664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664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664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Oceňovacie rozdiely z prec. majetku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8 830 845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8 846 104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8 793 741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Výsledok hosp.min.rokov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19 859 954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18 826 267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16 388 588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Výsledok hosp.za účtovné obdobie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1 404 762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1 033 687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2 437 678</w:t>
            </w:r>
          </w:p>
        </w:tc>
      </w:tr>
      <w:tr>
        <w:trPr>
          <w:trHeight w:val="566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bottom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>Záväzky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bottom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117 600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bottom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112 815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bottom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116 432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Dlhodobé záväzky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9 841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9 752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9 730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 xml:space="preserve">- Ost. záv. voči prepojeným úč. jednotkám 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Ostatné dlhodobé záväzky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zo soc.fondu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9 841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9 752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9 730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Odložený daňový záväzok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Dlhodobé bankové úvery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Krátkodobé záväzky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101 611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97 454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100 578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z obchodného styku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2 984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8 322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13 832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voči spoločníkom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50 035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49 765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49 265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voči zamestnancom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12 554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11 968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10 952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zo soc.zabezpečenia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14 332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13 243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13 705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Štát-daňové záväzky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21 706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14 082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12 579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Iné záväzky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74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Krátkodobé rezervy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6 148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5 609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5 624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 xml:space="preserve">Bežné bankové úvery 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Krátkodobé finančné výpomoci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Časové rozlíšenie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 xml:space="preserve">- Výnosy budúcich období dohodové 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Výnosy budúcich období krátkod.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FF0000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  <w:t>VL.IMANIE A ZÁV. CELKOM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30 220 465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28 826 177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27 743 743</w:t>
            </w:r>
          </w:p>
        </w:tc>
      </w:tr>
    </w:tbl>
    <w:p>
      <w:pPr>
        <w:pStyle w:val="Normal"/>
        <w:tabs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left="426" w:hanging="0"/>
        <w:jc w:val="right"/>
        <w:rPr/>
      </w:pPr>
      <w:r>
        <w:rPr/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4"/>
          <w:szCs w:val="24"/>
          <w:lang w:val="sk-SK"/>
        </w:rPr>
      </w:pPr>
      <w:r>
        <w:rPr>
          <w:rFonts w:eastAsia="MS Mincho" w:cs="Times New Roman" w:ascii="Times New Roman" w:hAnsi="Times New Roman"/>
          <w:b/>
          <w:bCs/>
          <w:sz w:val="24"/>
          <w:szCs w:val="24"/>
          <w:lang w:val="sk-SK"/>
        </w:rPr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pBdr/>
        <w:tabs>
          <w:tab w:val="left" w:pos="709" w:leader="none"/>
          <w:tab w:val="left" w:pos="2977" w:leader="none"/>
        </w:tabs>
        <w:ind w:right="283" w:hanging="0"/>
        <w:rPr/>
      </w:pPr>
      <w:r>
        <w:rPr/>
      </w:r>
    </w:p>
    <w:sectPr>
      <w:headerReference w:type="default" r:id="rId5"/>
      <w:footerReference w:type="default" r:id="rId6"/>
      <w:type w:val="nextPage"/>
      <w:pgSz w:w="11906" w:h="16838"/>
      <w:pgMar w:left="1418" w:right="1134" w:header="709" w:top="1134" w:footer="709" w:bottom="1418" w:gutter="0"/>
      <w:pgNumType w:fmt="decimal"/>
      <w:formProt w:val="false"/>
      <w:titlePg/>
      <w:textDirection w:val="lrTb"/>
      <w:docGrid w:type="default" w:linePitch="24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ms Rmn">
    <w:altName w:val="Times New Roman"/>
    <w:charset w:val="ee"/>
    <w:family w:val="roman"/>
    <w:pitch w:val="variable"/>
  </w:font>
  <w:font w:name="MS Serif">
    <w:charset w:val="ee"/>
    <w:family w:val="roman"/>
    <w:pitch w:val="variable"/>
  </w:font>
  <w:font w:name="Helv">
    <w:altName w:val="Arial"/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rPr>
        <w:sz w:val="24"/>
      </w:rPr>
    </w:pPr>
    <w:r>
      <w:rPr>
        <w:sz w:val="24"/>
      </w:rPr>
    </w:r>
    <w:r>
      <mc:AlternateContent>
        <mc:Choice Requires="wps">
          <w:drawing>
            <wp:anchor behindDoc="0" distT="0" distB="0" distL="0" distR="0" simplePos="0" locked="0" layoutInCell="1" allowOverlap="1" relativeHeight="1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761355" cy="290830"/>
              <wp:effectExtent l="0" t="0" r="0" b="0"/>
              <wp:wrapSquare wrapText="largest"/>
              <wp:docPr id="4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1355" cy="2908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ta"/>
                            <w:pBdr/>
                            <w:rPr/>
                          </w:pPr>
                          <w:r>
                            <w:rPr/>
                            <w:tab/>
                            <w:t xml:space="preserve">- </w:t>
                          </w:r>
                          <w:r>
                            <w:rPr/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rPr/>
                            <w:t xml:space="preserve"> -</w:t>
                            <w:tab/>
                            <w:t xml:space="preserve"> </w:t>
                          </w:r>
                        </w:p>
                        <w:p>
                          <w:pPr>
                            <w:pStyle w:val="Pta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53.65pt;height:22.9pt;mso-wrap-distance-left:0pt;mso-wrap-distance-right:0pt;mso-wrap-distance-top:0pt;mso-wrap-distance-bottom:0pt;margin-top:0.05pt;mso-position-vertical-relative:text;margin-left:7.0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Pta"/>
                      <w:pBdr/>
                      <w:rPr/>
                    </w:pPr>
                    <w:r>
                      <w:rPr/>
                      <w:tab/>
                      <w:t xml:space="preserve">- </w:t>
                    </w:r>
                    <w:r>
                      <w:rPr/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rPr/>
                      <w:t xml:space="preserve"> -</w:t>
                      <w:tab/>
                      <w:t xml:space="preserve"> </w:t>
                    </w:r>
                  </w:p>
                  <w:p>
                    <w:pPr>
                      <w:pStyle w:val="Pta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ms Rmn" w:hAnsi="Tms Rmn" w:eastAsia="Times New Roman" w:cs="Times New Roman"/>
        <w:lang w:val="en-US" w:eastAsia="zh-CN" w:bidi="ar-SA"/>
      </w:rPr>
    </w:rPrDefault>
    <w:pPrDefault>
      <w:pPr/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MS Serif" w:hAnsi="MS Serif" w:eastAsia="Times New Roman" w:cs="Times New Roman"/>
      <w:color w:val="auto"/>
      <w:sz w:val="20"/>
      <w:szCs w:val="20"/>
      <w:lang w:val="sk-SK" w:eastAsia="cs-CZ" w:bidi="ar-SA"/>
    </w:rPr>
  </w:style>
  <w:style w:type="paragraph" w:styleId="Nadpis1">
    <w:name w:val="Heading 1"/>
    <w:basedOn w:val="Normal"/>
    <w:qFormat/>
    <w:pPr>
      <w:spacing w:before="240" w:after="0"/>
      <w:outlineLvl w:val="0"/>
    </w:pPr>
    <w:rPr>
      <w:rFonts w:ascii="Helv" w:hAnsi="Helv"/>
      <w:b/>
      <w:bCs/>
      <w:sz w:val="24"/>
      <w:szCs w:val="24"/>
      <w:u w:val="single"/>
    </w:rPr>
  </w:style>
  <w:style w:type="paragraph" w:styleId="Nadpis2">
    <w:name w:val="Heading 2"/>
    <w:basedOn w:val="Normal"/>
    <w:qFormat/>
    <w:pPr>
      <w:spacing w:before="120" w:after="0"/>
      <w:outlineLvl w:val="1"/>
    </w:pPr>
    <w:rPr>
      <w:rFonts w:ascii="Helv" w:hAnsi="Helv"/>
      <w:b/>
      <w:bCs/>
      <w:sz w:val="24"/>
      <w:szCs w:val="24"/>
    </w:rPr>
  </w:style>
  <w:style w:type="paragraph" w:styleId="Nadpis3">
    <w:name w:val="Heading 3"/>
    <w:basedOn w:val="Normal"/>
    <w:qFormat/>
    <w:pPr>
      <w:ind w:left="354" w:hanging="0"/>
      <w:outlineLvl w:val="2"/>
    </w:pPr>
    <w:rPr>
      <w:rFonts w:ascii="Tms Rmn" w:hAnsi="Tms Rmn"/>
      <w:b/>
      <w:bCs/>
      <w:sz w:val="24"/>
      <w:szCs w:val="24"/>
    </w:rPr>
  </w:style>
  <w:style w:type="paragraph" w:styleId="Nadpis4">
    <w:name w:val="Heading 4"/>
    <w:basedOn w:val="Normal"/>
    <w:qFormat/>
    <w:pPr>
      <w:ind w:left="354" w:hanging="0"/>
      <w:outlineLvl w:val="3"/>
    </w:pPr>
    <w:rPr>
      <w:rFonts w:ascii="Tms Rmn" w:hAnsi="Tms Rmn"/>
      <w:sz w:val="24"/>
      <w:szCs w:val="24"/>
      <w:u w:val="single"/>
    </w:rPr>
  </w:style>
  <w:style w:type="paragraph" w:styleId="Nadpis5">
    <w:name w:val="Heading 5"/>
    <w:basedOn w:val="Normal"/>
    <w:qFormat/>
    <w:pPr>
      <w:ind w:left="708" w:hanging="0"/>
      <w:outlineLvl w:val="4"/>
    </w:pPr>
    <w:rPr>
      <w:rFonts w:ascii="Tms Rmn" w:hAnsi="Tms Rmn"/>
      <w:b/>
      <w:bCs/>
    </w:rPr>
  </w:style>
  <w:style w:type="paragraph" w:styleId="Nadpis6">
    <w:name w:val="Heading 6"/>
    <w:basedOn w:val="Normal"/>
    <w:qFormat/>
    <w:pPr>
      <w:ind w:left="708" w:hanging="0"/>
      <w:outlineLvl w:val="5"/>
    </w:pPr>
    <w:rPr>
      <w:rFonts w:ascii="Tms Rmn" w:hAnsi="Tms Rmn" w:cs="Arial"/>
      <w:u w:val="single"/>
    </w:rPr>
  </w:style>
  <w:style w:type="paragraph" w:styleId="Nadpis7">
    <w:name w:val="Heading 7"/>
    <w:basedOn w:val="Normal"/>
    <w:qFormat/>
    <w:pPr>
      <w:ind w:left="708" w:hanging="0"/>
      <w:outlineLvl w:val="6"/>
    </w:pPr>
    <w:rPr>
      <w:rFonts w:ascii="Tms Rmn" w:hAnsi="Tms Rmn"/>
      <w:i/>
      <w:iCs/>
    </w:rPr>
  </w:style>
  <w:style w:type="paragraph" w:styleId="Nadpis8">
    <w:name w:val="Heading 8"/>
    <w:basedOn w:val="Normal"/>
    <w:qFormat/>
    <w:pPr>
      <w:ind w:left="708" w:hanging="0"/>
      <w:outlineLvl w:val="7"/>
    </w:pPr>
    <w:rPr>
      <w:rFonts w:ascii="Tms Rmn" w:hAnsi="Tms Rmn"/>
      <w:i/>
      <w:iCs/>
    </w:rPr>
  </w:style>
  <w:style w:type="paragraph" w:styleId="Nadpis9">
    <w:name w:val="Heading 9"/>
    <w:basedOn w:val="Normal"/>
    <w:qFormat/>
    <w:pPr>
      <w:ind w:left="708" w:hanging="0"/>
      <w:outlineLvl w:val="8"/>
    </w:pPr>
    <w:rPr>
      <w:rFonts w:ascii="Tms Rmn" w:hAnsi="Tms Rm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reference">
    <w:name w:val="footnote reference"/>
    <w:semiHidden/>
    <w:qFormat/>
    <w:rPr>
      <w:sz w:val="16"/>
      <w:szCs w:val="16"/>
    </w:rPr>
  </w:style>
  <w:style w:type="character" w:styleId="Pagenumber">
    <w:name w:val="page number"/>
    <w:basedOn w:val="DefaultParagraphFont"/>
    <w:qFormat/>
    <w:rPr/>
  </w:style>
  <w:style w:type="character" w:styleId="TextbublinyChar" w:customStyle="1">
    <w:name w:val="Text bubliny Char"/>
    <w:link w:val="Textbubliny"/>
    <w:qFormat/>
    <w:rsid w:val="00a20618"/>
    <w:rPr>
      <w:rFonts w:ascii="Segoe UI" w:hAnsi="Segoe UI" w:cs="Segoe UI"/>
      <w:sz w:val="18"/>
      <w:szCs w:val="18"/>
      <w:lang w:eastAsia="cs-CZ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rsid w:val="00cc502b"/>
    <w:pPr>
      <w:spacing w:before="0" w:after="12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rmalIndent">
    <w:name w:val="Normal Indent"/>
    <w:basedOn w:val="Normal"/>
    <w:qFormat/>
    <w:pPr>
      <w:ind w:left="708" w:hanging="0"/>
    </w:pPr>
    <w:rPr/>
  </w:style>
  <w:style w:type="paragraph" w:styleId="Hlavika">
    <w:name w:val="Header"/>
    <w:basedOn w:val="Normal"/>
    <w:pPr>
      <w:tabs>
        <w:tab w:val="center" w:pos="4819" w:leader="none"/>
        <w:tab w:val="right" w:pos="9071" w:leader="none"/>
      </w:tabs>
    </w:pPr>
    <w:rPr/>
  </w:style>
  <w:style w:type="paragraph" w:styleId="Footnotetext">
    <w:name w:val="footnote text"/>
    <w:basedOn w:val="Normal"/>
    <w:semiHidden/>
    <w:qFormat/>
    <w:pPr/>
    <w:rPr/>
  </w:style>
  <w:style w:type="paragraph" w:styleId="Odsadenietelatextu">
    <w:name w:val="Body Text Indent"/>
    <w:basedOn w:val="Normal"/>
    <w:pPr>
      <w:tabs>
        <w:tab w:val="left" w:pos="709" w:leader="none"/>
        <w:tab w:val="left" w:pos="2977" w:leader="none"/>
        <w:tab w:val="left" w:pos="4962" w:leader="none"/>
        <w:tab w:val="left" w:pos="6663" w:leader="none"/>
        <w:tab w:val="left" w:pos="8222" w:leader="none"/>
      </w:tabs>
      <w:ind w:left="426" w:hanging="0"/>
      <w:jc w:val="both"/>
    </w:pPr>
    <w:rPr>
      <w:rFonts w:ascii="Times New Roman" w:hAnsi="Times New Roman"/>
      <w:sz w:val="26"/>
      <w:szCs w:val="26"/>
    </w:rPr>
  </w:style>
  <w:style w:type="paragraph" w:styleId="BodyTextIndent2">
    <w:name w:val="Body Text Indent 2"/>
    <w:basedOn w:val="Normal"/>
    <w:qFormat/>
    <w:pPr>
      <w:tabs>
        <w:tab w:val="left" w:pos="2127" w:leader="none"/>
        <w:tab w:val="left" w:pos="3686" w:leader="none"/>
        <w:tab w:val="left" w:pos="5387" w:leader="none"/>
        <w:tab w:val="left" w:pos="6804" w:leader="none"/>
      </w:tabs>
      <w:ind w:right="-12" w:firstLine="426"/>
    </w:pPr>
    <w:rPr>
      <w:rFonts w:ascii="Times New Roman" w:hAnsi="Times New Roman"/>
      <w:bCs/>
      <w:sz w:val="26"/>
      <w:szCs w:val="26"/>
    </w:rPr>
  </w:style>
  <w:style w:type="paragraph" w:styleId="Pta">
    <w:name w:val="Footer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PlainText">
    <w:name w:val="Plain Text"/>
    <w:basedOn w:val="Normal"/>
    <w:qFormat/>
    <w:rsid w:val="00af55b5"/>
    <w:pPr/>
    <w:rPr>
      <w:rFonts w:ascii="Courier New" w:hAnsi="Courier New" w:cs="Courier New"/>
      <w:lang w:val="cs-CZ"/>
    </w:rPr>
  </w:style>
  <w:style w:type="paragraph" w:styleId="BalloonText">
    <w:name w:val="Balloon Text"/>
    <w:basedOn w:val="Normal"/>
    <w:link w:val="TextbublinyChar"/>
    <w:qFormat/>
    <w:rsid w:val="00a20618"/>
    <w:pPr/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hart" Target="charts/chart1.xml"/><Relationship Id="rId3" Type="http://schemas.openxmlformats.org/officeDocument/2006/relationships/chart" Target="charts/chart2.xml"/><Relationship Id="rId4" Type="http://schemas.openxmlformats.org/officeDocument/2006/relationships/chart" Target="charts/chart3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.xlsx"/>
</Relationships>
</file>

<file path=word/charts/_rels/chart2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2.xlsx"/>
</Relationships>
</file>

<file path=word/charts/_rels/chart3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3.xlsx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Tržby</c:v>
                </c:pt>
              </c:strCache>
            </c:strRef>
          </c:tx>
          <c:spPr>
            <a:solidFill>
              <a:srgbClr val="ffcc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outEnd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396247</c:v>
                </c:pt>
                <c:pt idx="1">
                  <c:v>332383</c:v>
                </c:pt>
                <c:pt idx="2">
                  <c:v>352122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Pridaná hodnota</c:v>
                </c:pt>
              </c:strCache>
            </c:strRef>
          </c:tx>
          <c:spPr>
            <a:solidFill>
              <a:srgbClr val="ccffcc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outEnd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312976</c:v>
                </c:pt>
                <c:pt idx="1">
                  <c:v>319142</c:v>
                </c:pt>
                <c:pt idx="2">
                  <c:v>337968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Hosp. výsledok</c:v>
                </c:pt>
              </c:strCache>
            </c:strRef>
          </c:tx>
          <c:spPr>
            <a:solidFill>
              <a:srgbClr val="ff808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outEnd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3"/>
                <c:pt idx="0">
                  <c:v>2437678</c:v>
                </c:pt>
                <c:pt idx="1">
                  <c:v>1033687</c:v>
                </c:pt>
                <c:pt idx="2">
                  <c:v>1404762</c:v>
                </c:pt>
              </c:numCache>
            </c:numRef>
          </c:val>
        </c:ser>
        <c:gapWidth val="50"/>
        <c:overlap val="30"/>
        <c:axId val="26820473"/>
        <c:axId val="60220116"/>
      </c:barChart>
      <c:catAx>
        <c:axId val="26820473"/>
        <c:scaling>
          <c:orientation val="minMax"/>
        </c:scaling>
        <c:delete val="0"/>
        <c:axPos val="b"/>
        <c:numFmt formatCode="DD/MM/YYYY" sourceLinked="1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p>
            <a:pPr>
              <a:defRPr b="1" sz="997" spc="-1" strike="noStrike">
                <a:solidFill>
                  <a:srgbClr val="000000"/>
                </a:solidFill>
                <a:uFill>
                  <a:solidFill>
                    <a:srgbClr val="ffffff"/>
                  </a:solidFill>
                </a:uFill>
                <a:latin typeface="Arial"/>
                <a:ea typeface="Arial"/>
              </a:defRPr>
            </a:pPr>
          </a:p>
        </c:txPr>
        <c:crossAx val="60220116"/>
        <c:crosses val="autoZero"/>
        <c:auto val="1"/>
        <c:lblAlgn val="ctr"/>
        <c:lblOffset val="100"/>
      </c:catAx>
      <c:valAx>
        <c:axId val="60220116"/>
        <c:scaling>
          <c:orientation val="minMax"/>
        </c:scaling>
        <c:delete val="0"/>
        <c:axPos val="l"/>
        <c:numFmt formatCode="\ [$€-41B]\ * #,##0\ ;\ [$€-41B]\ * \(#,##0\);\ [$€-41B]\ * &quot;- &quot;;\ @\ 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p>
            <a:pPr>
              <a:defRPr b="1" sz="997" spc="-1" strike="noStrike">
                <a:solidFill>
                  <a:srgbClr val="000000"/>
                </a:solidFill>
                <a:uFill>
                  <a:solidFill>
                    <a:srgbClr val="ffffff"/>
                  </a:solidFill>
                </a:uFill>
                <a:latin typeface="Arial"/>
                <a:ea typeface="Arial"/>
              </a:defRPr>
            </a:pPr>
          </a:p>
        </c:txPr>
        <c:crossAx val="26820473"/>
        <c:crosses val="autoZero"/>
      </c:valAx>
      <c:spPr>
        <a:noFill/>
        <a:ln w="25200">
          <a:noFill/>
        </a:ln>
      </c:spPr>
    </c:plotArea>
    <c:legend>
      <c:layout>
        <c:manualLayout>
          <c:xMode val="edge"/>
          <c:yMode val="edge"/>
          <c:x val="0.6605625"/>
          <c:y val="0.115333333333333"/>
        </c:manualLayout>
      </c:layout>
      <c:spPr>
        <a:noFill/>
        <a:ln w="3240">
          <a:solidFill>
            <a:srgbClr val="000000"/>
          </a:solidFill>
          <a:round/>
        </a:ln>
      </c:spPr>
    </c:legend>
    <c:plotVisOnly val="1"/>
    <c:dispBlanksAs val="gap"/>
  </c:chart>
  <c:spPr>
    <a:noFill/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plotArea>
      <c:barChart>
        <c:barDir val="col"/>
        <c:grouping val="stack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Neobežný majetok</c:v>
                </c:pt>
              </c:strCache>
            </c:strRef>
          </c:tx>
          <c:spPr>
            <a:solidFill>
              <a:srgbClr val="00ff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ctr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10235082</c:v>
                </c:pt>
                <c:pt idx="1">
                  <c:v>10282273</c:v>
                </c:pt>
                <c:pt idx="2">
                  <c:v>10261842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Obežný majetok</c:v>
                </c:pt>
              </c:strCache>
            </c:strRef>
          </c:tx>
          <c:spPr>
            <a:solidFill>
              <a:srgbClr val="33cccc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ctr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17508422</c:v>
                </c:pt>
                <c:pt idx="1">
                  <c:v>18543705</c:v>
                </c:pt>
                <c:pt idx="2">
                  <c:v>19958504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Časové rozlíšenie</c:v>
                </c:pt>
              </c:strCache>
            </c:strRef>
          </c:tx>
          <c:spPr>
            <a:solidFill>
              <a:srgbClr val="ffff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ctr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3"/>
                <c:pt idx="0">
                  <c:v>239</c:v>
                </c:pt>
                <c:pt idx="1">
                  <c:v>199</c:v>
                </c:pt>
                <c:pt idx="2">
                  <c:v>119</c:v>
                </c:pt>
              </c:numCache>
            </c:numRef>
          </c:val>
        </c:ser>
        <c:gapWidth val="50"/>
        <c:overlap val="100"/>
        <c:axId val="30180750"/>
        <c:axId val="302860"/>
      </c:barChart>
      <c:catAx>
        <c:axId val="30180750"/>
        <c:scaling>
          <c:orientation val="minMax"/>
        </c:scaling>
        <c:delete val="0"/>
        <c:axPos val="b"/>
        <c:numFmt formatCode="DD/MM/YYYY" sourceLinked="1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p>
            <a:pPr>
              <a:defRPr b="1" sz="995" spc="-1" strike="noStrike">
                <a:solidFill>
                  <a:srgbClr val="000000"/>
                </a:solidFill>
                <a:uFill>
                  <a:solidFill>
                    <a:srgbClr val="ffffff"/>
                  </a:solidFill>
                </a:uFill>
                <a:latin typeface="Arial"/>
                <a:ea typeface="Arial"/>
              </a:defRPr>
            </a:pPr>
          </a:p>
        </c:txPr>
        <c:crossAx val="302860"/>
        <c:crosses val="autoZero"/>
        <c:auto val="1"/>
        <c:lblAlgn val="ctr"/>
        <c:lblOffset val="100"/>
      </c:catAx>
      <c:valAx>
        <c:axId val="302860"/>
        <c:scaling>
          <c:orientation val="minMax"/>
        </c:scaling>
        <c:delete val="0"/>
        <c:axPos val="l"/>
        <c:numFmt formatCode="\ [$€-41B]\ * #,##0\ ;\ [$€-41B]\ * \(#,##0\);\ [$€-41B]\ * &quot;- &quot;;\ @\ 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p>
            <a:pPr>
              <a:defRPr b="1" sz="995" spc="-1" strike="noStrike">
                <a:solidFill>
                  <a:srgbClr val="000000"/>
                </a:solidFill>
                <a:uFill>
                  <a:solidFill>
                    <a:srgbClr val="ffffff"/>
                  </a:solidFill>
                </a:uFill>
                <a:latin typeface="Arial"/>
                <a:ea typeface="Arial"/>
              </a:defRPr>
            </a:pPr>
          </a:p>
        </c:txPr>
        <c:crossAx val="30180750"/>
        <c:crosses val="autoZero"/>
      </c:valAx>
      <c:spPr>
        <a:noFill/>
        <a:ln w="25200">
          <a:noFill/>
        </a:ln>
      </c:spPr>
    </c:plotArea>
    <c:legend>
      <c:layout>
        <c:manualLayout>
          <c:xMode val="edge"/>
          <c:yMode val="edge"/>
          <c:x val="0.406"/>
          <c:y val="0.390555555555556"/>
        </c:manualLayout>
      </c:layout>
      <c:spPr>
        <a:solidFill>
          <a:srgbClr val="ffffff"/>
        </a:solidFill>
        <a:ln w="3240">
          <a:solidFill>
            <a:srgbClr val="000000"/>
          </a:solidFill>
          <a:round/>
        </a:ln>
      </c:spPr>
    </c:legend>
    <c:plotVisOnly val="1"/>
    <c:dispBlanksAs val="gap"/>
  </c:chart>
  <c:spPr>
    <a:noFill/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Stav k 1.1.2020</c:v>
                </c:pt>
              </c:strCache>
            </c:strRef>
          </c:tx>
          <c:spPr>
            <a:solidFill>
              <a:srgbClr val="ccccff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outEnd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0</c:f>
              <c:numCache>
                <c:formatCode>General</c:formatCode>
                <c:ptCount val="1"/>
                <c:pt idx="0">
                  <c:v>5496735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Prevádzkové činnosti</c:v>
                </c:pt>
              </c:strCache>
            </c:strRef>
          </c:tx>
          <c:spPr>
            <a:solidFill>
              <a:srgbClr val="99cc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outEnd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1</c:f>
              <c:numCache>
                <c:formatCode>General</c:formatCode>
                <c:ptCount val="1"/>
                <c:pt idx="0">
                  <c:v>72722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Investičné činnosti</c:v>
                </c:pt>
              </c:strCache>
            </c:strRef>
          </c:tx>
          <c:spPr>
            <a:solidFill>
              <a:srgbClr val="ff99cc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outEnd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2</c:f>
              <c:numCache>
                <c:formatCode>General</c:formatCode>
                <c:ptCount val="1"/>
                <c:pt idx="0">
                  <c:v>111600</c:v>
                </c:pt>
              </c:numCache>
            </c:numRef>
          </c:val>
        </c:ser>
        <c:ser>
          <c:idx val="3"/>
          <c:order val="3"/>
          <c:tx>
            <c:strRef>
              <c:f>label 3</c:f>
              <c:strCache>
                <c:ptCount val="1"/>
                <c:pt idx="0">
                  <c:v>Finančné činnosti</c:v>
                </c:pt>
              </c:strCache>
            </c:strRef>
          </c:tx>
          <c:spPr>
            <a:solidFill>
              <a:srgbClr val="ffff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outEnd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3</c:f>
              <c:numCache>
                <c:formatCode>General</c:formatCode>
                <c:ptCount val="1"/>
                <c:pt idx="0">
                  <c:v>89</c:v>
                </c:pt>
              </c:numCache>
            </c:numRef>
          </c:val>
        </c:ser>
        <c:ser>
          <c:idx val="4"/>
          <c:order val="4"/>
          <c:tx>
            <c:strRef>
              <c:f>label 4</c:f>
              <c:strCache>
                <c:ptCount val="1"/>
                <c:pt idx="0">
                  <c:v>Stav k 31.12.2020</c:v>
                </c:pt>
              </c:strCache>
            </c:strRef>
          </c:tx>
          <c:spPr>
            <a:solidFill>
              <a:srgbClr val="ccccff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outEnd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4</c:f>
              <c:numCache>
                <c:formatCode>General</c:formatCode>
                <c:ptCount val="1"/>
                <c:pt idx="0">
                  <c:v>5681144</c:v>
                </c:pt>
              </c:numCache>
            </c:numRef>
          </c:val>
        </c:ser>
        <c:gapWidth val="50"/>
        <c:overlap val="30"/>
        <c:axId val="94721323"/>
        <c:axId val="14299096"/>
      </c:barChart>
      <c:catAx>
        <c:axId val="94721323"/>
        <c:scaling>
          <c:orientation val="minMax"/>
        </c:scaling>
        <c:delete val="0"/>
        <c:axPos val="b"/>
        <c:numFmt formatCode="DD/MM/YYYY" sourceLinked="1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p>
            <a:pPr>
              <a:defRPr b="1" sz="996" spc="-1" strike="noStrike">
                <a:solidFill>
                  <a:srgbClr val="000000"/>
                </a:solidFill>
                <a:uFill>
                  <a:solidFill>
                    <a:srgbClr val="ffffff"/>
                  </a:solidFill>
                </a:uFill>
                <a:latin typeface="Arial"/>
                <a:ea typeface="Arial"/>
              </a:defRPr>
            </a:pPr>
          </a:p>
        </c:txPr>
        <c:crossAx val="14299096"/>
        <c:crosses val="autoZero"/>
        <c:auto val="1"/>
        <c:lblAlgn val="ctr"/>
        <c:lblOffset val="100"/>
      </c:catAx>
      <c:valAx>
        <c:axId val="14299096"/>
        <c:scaling>
          <c:orientation val="minMax"/>
        </c:scaling>
        <c:delete val="0"/>
        <c:axPos val="l"/>
        <c:numFmt formatCode="\ [$€-41B]\ * #,##0.00\ ;\ [$€-41B]\ * \(#,##0.00\);\ [$€-41B]\ * \-#\ ;\ @\ 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p>
            <a:pPr>
              <a:defRPr b="1" sz="996" spc="-1" strike="noStrike">
                <a:solidFill>
                  <a:srgbClr val="000000"/>
                </a:solidFill>
                <a:uFill>
                  <a:solidFill>
                    <a:srgbClr val="ffffff"/>
                  </a:solidFill>
                </a:uFill>
                <a:latin typeface="Arial"/>
                <a:ea typeface="Arial"/>
              </a:defRPr>
            </a:pPr>
          </a:p>
        </c:txPr>
        <c:crossAx val="94721323"/>
        <c:crosses val="autoZero"/>
      </c:valAx>
      <c:spPr>
        <a:noFill/>
        <a:ln w="25200">
          <a:noFill/>
        </a:ln>
      </c:spPr>
    </c:plotArea>
    <c:legend>
      <c:layout>
        <c:manualLayout>
          <c:xMode val="edge"/>
          <c:yMode val="edge"/>
          <c:x val="0.4506875"/>
          <c:y val="0.288666666666667"/>
        </c:manualLayout>
      </c:layout>
      <c:spPr>
        <a:solidFill>
          <a:srgbClr val="ffffff"/>
        </a:solidFill>
        <a:ln w="3240">
          <a:solidFill>
            <a:srgbClr val="000000"/>
          </a:solidFill>
          <a:round/>
        </a:ln>
      </c:spPr>
    </c:legend>
    <c:plotVisOnly val="1"/>
    <c:dispBlanksAs val="gap"/>
  </c:chart>
  <c:spPr>
    <a:noFill/>
    <a:ln>
      <a:noFill/>
    </a:ln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19CE4-E3D0-4D63-9A29-EDD8BCE34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Application>LibreOffice/5.3.3.2$Windows_X86_64 LibreOffice_project/3d9a8b4b4e538a85e0782bd6c2d430bafe583448</Application>
  <Pages>39</Pages>
  <Words>1803</Words>
  <Characters>8393</Characters>
  <CharactersWithSpaces>11080</CharactersWithSpaces>
  <Paragraphs>602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2020-04-27T10:05:00Z</dcterms:created>
  <dc:creator>Management Library</dc:creator>
  <dc:description/>
  <dc:language>sk-SK</dc:language>
  <cp:lastModifiedBy>Ing. Martin Šepeľák</cp:lastModifiedBy>
  <cp:lastPrinted>2020-04-30T07:03:00Z</cp:lastPrinted>
  <dcterms:modified xsi:type="dcterms:W3CDTF">2021-03-19T19:23:00Z</dcterms:modified>
  <cp:revision>73</cp:revision>
  <dc:subject/>
  <dc:title>PLYNROZ, akciová spoločnosť, Sobrance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MSIP_Label_17cb76b2-10b8-4fe1-93d4-2202842406cd_Application">
    <vt:lpwstr>Microsoft Azure Information Protection</vt:lpwstr>
  </property>
  <property fmtid="{D5CDD505-2E9C-101B-9397-08002B2CF9AE}" pid="7" name="MSIP_Label_17cb76b2-10b8-4fe1-93d4-2202842406cd_Enabled">
    <vt:lpwstr>True</vt:lpwstr>
  </property>
  <property fmtid="{D5CDD505-2E9C-101B-9397-08002B2CF9AE}" pid="8" name="MSIP_Label_17cb76b2-10b8-4fe1-93d4-2202842406cd_Extended_MSFT_Method">
    <vt:lpwstr>Manual</vt:lpwstr>
  </property>
  <property fmtid="{D5CDD505-2E9C-101B-9397-08002B2CF9AE}" pid="9" name="MSIP_Label_17cb76b2-10b8-4fe1-93d4-2202842406cd_Name">
    <vt:lpwstr>External Public</vt:lpwstr>
  </property>
  <property fmtid="{D5CDD505-2E9C-101B-9397-08002B2CF9AE}" pid="10" name="MSIP_Label_17cb76b2-10b8-4fe1-93d4-2202842406cd_Owner">
    <vt:lpwstr>Martin_Sepelak@dell.com</vt:lpwstr>
  </property>
  <property fmtid="{D5CDD505-2E9C-101B-9397-08002B2CF9AE}" pid="11" name="MSIP_Label_17cb76b2-10b8-4fe1-93d4-2202842406cd_SetDate">
    <vt:lpwstr>2020-02-10T12:22:04.7235243Z</vt:lpwstr>
  </property>
  <property fmtid="{D5CDD505-2E9C-101B-9397-08002B2CF9AE}" pid="12" name="MSIP_Label_17cb76b2-10b8-4fe1-93d4-2202842406cd_SiteId">
    <vt:lpwstr>945c199a-83a2-4e80-9f8c-5a91be5752dd</vt:lpwstr>
  </property>
  <property fmtid="{D5CDD505-2E9C-101B-9397-08002B2CF9AE}" pid="13" name="ScaleCrop">
    <vt:bool>0</vt:bool>
  </property>
  <property fmtid="{D5CDD505-2E9C-101B-9397-08002B2CF9AE}" pid="14" name="ShareDoc">
    <vt:bool>0</vt:bool>
  </property>
  <property fmtid="{D5CDD505-2E9C-101B-9397-08002B2CF9AE}" pid="15" name="aiplabel">
    <vt:lpwstr>External Public</vt:lpwstr>
  </property>
</Properties>
</file>