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1C3" w:rsidRDefault="004E01C3">
      <w:pPr>
        <w:pStyle w:val="a6"/>
      </w:pPr>
    </w:p>
    <w:p w:rsidR="00072A0C" w:rsidRDefault="00072A0C">
      <w:pPr>
        <w:pStyle w:val="a6"/>
      </w:pPr>
    </w:p>
    <w:p w:rsidR="000A6B43" w:rsidRDefault="003004D4" w:rsidP="003004D4">
      <w:pPr>
        <w:pStyle w:val="1"/>
        <w:numPr>
          <w:ilvl w:val="0"/>
          <w:numId w:val="0"/>
        </w:numPr>
      </w:pPr>
      <w:bookmarkStart w:id="0" w:name="_Toc530739894"/>
      <w:r>
        <w:t>Čl. I. V</w:t>
      </w:r>
      <w:r w:rsidR="000B4454">
        <w:t>Š</w:t>
      </w:r>
      <w:r>
        <w:t xml:space="preserve">eobecné </w:t>
      </w:r>
      <w:r w:rsidR="000A6B43">
        <w:t>Informácie o účtovnej jednotke</w:t>
      </w:r>
      <w:bookmarkEnd w:id="0"/>
    </w:p>
    <w:p w:rsidR="00BB301E" w:rsidRDefault="00EB4CB9" w:rsidP="00BB301E">
      <w:pPr>
        <w:pStyle w:val="a6"/>
        <w:ind w:left="0"/>
      </w:pPr>
      <w:bookmarkStart w:id="1" w:name="_Toc530739895"/>
      <w:r>
        <w:t xml:space="preserve"> </w:t>
      </w:r>
    </w:p>
    <w:bookmarkEnd w:id="1"/>
    <w:p w:rsidR="000A6B43" w:rsidRDefault="00221932" w:rsidP="00BB301E">
      <w:pPr>
        <w:pStyle w:val="2"/>
        <w:numPr>
          <w:ilvl w:val="0"/>
          <w:numId w:val="4"/>
        </w:numPr>
        <w:rPr>
          <w:lang w:val="sk-SK"/>
        </w:rPr>
      </w:pPr>
      <w:r>
        <w:rPr>
          <w:lang w:val="sk-SK"/>
        </w:rPr>
        <w:t>Názov spoločnosti a jej sídlo</w:t>
      </w:r>
    </w:p>
    <w:p w:rsidR="00860047" w:rsidRPr="00860047" w:rsidRDefault="00860047" w:rsidP="00860047"/>
    <w:p w:rsidR="00544C9C" w:rsidRDefault="00544C9C" w:rsidP="00860047">
      <w:pPr>
        <w:pStyle w:val="a6"/>
        <w:rPr>
          <w:rStyle w:val="ra"/>
        </w:rPr>
      </w:pPr>
    </w:p>
    <w:p w:rsidR="00544C9C" w:rsidRDefault="00544C9C" w:rsidP="00860047">
      <w:pPr>
        <w:pStyle w:val="a6"/>
        <w:rPr>
          <w:rStyle w:val="ra"/>
        </w:rPr>
      </w:pPr>
      <w:r w:rsidRPr="00544C9C">
        <w:rPr>
          <w:rStyle w:val="ra"/>
        </w:rPr>
        <w:t>Energia pre život s. r. o. v</w:t>
      </w:r>
      <w:r>
        <w:rPr>
          <w:rStyle w:val="ra"/>
        </w:rPr>
        <w:t> </w:t>
      </w:r>
      <w:r w:rsidRPr="00544C9C">
        <w:rPr>
          <w:rStyle w:val="ra"/>
        </w:rPr>
        <w:t>likvidácii</w:t>
      </w:r>
    </w:p>
    <w:p w:rsidR="001E6E5E" w:rsidRDefault="00544C9C" w:rsidP="00860047">
      <w:pPr>
        <w:pStyle w:val="a6"/>
        <w:rPr>
          <w:rStyle w:val="ra"/>
        </w:rPr>
      </w:pPr>
      <w:r>
        <w:rPr>
          <w:rStyle w:val="ra"/>
        </w:rPr>
        <w:t>Paričkova 11</w:t>
      </w:r>
      <w:r w:rsidR="001E6E5E">
        <w:rPr>
          <w:rStyle w:val="ra"/>
        </w:rPr>
        <w:t xml:space="preserve"> </w:t>
      </w:r>
    </w:p>
    <w:p w:rsidR="004E01C3" w:rsidRDefault="007B326B" w:rsidP="00860047">
      <w:pPr>
        <w:pStyle w:val="a6"/>
        <w:rPr>
          <w:rStyle w:val="ra"/>
        </w:rPr>
      </w:pPr>
      <w:r>
        <w:rPr>
          <w:rStyle w:val="ra"/>
        </w:rPr>
        <w:t xml:space="preserve">Bratislava </w:t>
      </w:r>
      <w:r w:rsidR="00904BE5">
        <w:rPr>
          <w:rStyle w:val="ra"/>
        </w:rPr>
        <w:t>82108</w:t>
      </w:r>
      <w:bookmarkStart w:id="2" w:name="_GoBack"/>
      <w:bookmarkEnd w:id="2"/>
    </w:p>
    <w:p w:rsidR="007B326B" w:rsidRDefault="007B326B" w:rsidP="00291392">
      <w:pPr>
        <w:pStyle w:val="a6"/>
        <w:ind w:left="0"/>
      </w:pPr>
    </w:p>
    <w:p w:rsidR="000A6B43" w:rsidRDefault="000A6B43">
      <w:pPr>
        <w:pStyle w:val="2"/>
      </w:pPr>
      <w:r>
        <w:t>Priemerný</w:t>
      </w:r>
      <w:r w:rsidR="00D608B8">
        <w:rPr>
          <w:lang w:val="sk-SK"/>
        </w:rPr>
        <w:t xml:space="preserve"> prepočítaný</w:t>
      </w:r>
      <w:r>
        <w:t xml:space="preserve"> počet zamestnancov </w:t>
      </w:r>
      <w:r w:rsidR="00137091">
        <w:t xml:space="preserve"> </w:t>
      </w:r>
    </w:p>
    <w:p w:rsidR="00E73902" w:rsidRDefault="00E73902" w:rsidP="00E73902">
      <w:pPr>
        <w:pStyle w:val="a6"/>
      </w:pPr>
    </w:p>
    <w:tbl>
      <w:tblPr>
        <w:tblW w:w="9332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97"/>
        <w:gridCol w:w="2917"/>
        <w:gridCol w:w="2918"/>
      </w:tblGrid>
      <w:tr w:rsidR="00541C62" w:rsidRPr="004B2F56" w:rsidTr="00541C62">
        <w:trPr>
          <w:trHeight w:val="170"/>
        </w:trPr>
        <w:tc>
          <w:tcPr>
            <w:tcW w:w="3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1C62" w:rsidRPr="004B2F56" w:rsidRDefault="00541C62" w:rsidP="006903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B2F56">
              <w:rPr>
                <w:b/>
                <w:bCs/>
                <w:color w:val="000000"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9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Pr="004B2F56" w:rsidRDefault="00541C62" w:rsidP="00541C62">
            <w:pPr>
              <w:tabs>
                <w:tab w:val="left" w:pos="1965"/>
              </w:tabs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1C62" w:rsidRPr="004B2F56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Bezprostredne predchádzajúce </w:t>
            </w:r>
            <w:r w:rsidRPr="004B2F56">
              <w:rPr>
                <w:b/>
                <w:bCs/>
                <w:color w:val="000000"/>
                <w:sz w:val="18"/>
                <w:szCs w:val="18"/>
                <w:lang w:eastAsia="sk-SK"/>
              </w:rPr>
              <w:t>obdobie</w:t>
            </w:r>
          </w:p>
        </w:tc>
      </w:tr>
      <w:tr w:rsidR="00541C62" w:rsidRPr="004B2F56" w:rsidTr="00541C62">
        <w:trPr>
          <w:trHeight w:val="170"/>
        </w:trPr>
        <w:tc>
          <w:tcPr>
            <w:tcW w:w="3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1C62" w:rsidRPr="004B2F56" w:rsidRDefault="00541C62" w:rsidP="006903E6">
            <w:pPr>
              <w:rPr>
                <w:color w:val="000000"/>
                <w:sz w:val="18"/>
                <w:szCs w:val="18"/>
                <w:lang w:eastAsia="sk-SK"/>
              </w:rPr>
            </w:pPr>
            <w:r w:rsidRPr="004B2F56">
              <w:rPr>
                <w:color w:val="000000"/>
                <w:sz w:val="18"/>
                <w:szCs w:val="18"/>
                <w:lang w:eastAsia="sk-SK"/>
              </w:rPr>
              <w:t>Priemerný prepočítaný počet zamestnancov</w:t>
            </w:r>
          </w:p>
        </w:tc>
        <w:tc>
          <w:tcPr>
            <w:tcW w:w="29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Default="001E6E5E" w:rsidP="002A3955">
            <w:pPr>
              <w:pStyle w:val="Value"/>
              <w:jc w:val="center"/>
              <w:rPr>
                <w:rFonts w:ascii="Times New Roman" w:hAnsi="Times New Roman"/>
                <w:sz w:val="18"/>
                <w:szCs w:val="18"/>
                <w:lang w:val="sk-SK"/>
              </w:rPr>
            </w:pPr>
            <w:r>
              <w:rPr>
                <w:rFonts w:ascii="Times New Roman" w:hAnsi="Times New Roman"/>
                <w:sz w:val="18"/>
                <w:szCs w:val="18"/>
                <w:lang w:val="sk-SK"/>
              </w:rPr>
              <w:t>0</w:t>
            </w: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1C62" w:rsidRPr="003316F3" w:rsidRDefault="001E6E5E" w:rsidP="002A3955">
            <w:pPr>
              <w:pStyle w:val="Value"/>
              <w:jc w:val="center"/>
              <w:rPr>
                <w:rFonts w:ascii="Times New Roman" w:hAnsi="Times New Roman"/>
                <w:sz w:val="18"/>
                <w:szCs w:val="18"/>
                <w:lang w:val="sk-SK"/>
              </w:rPr>
            </w:pPr>
            <w:r>
              <w:rPr>
                <w:rFonts w:ascii="Times New Roman" w:hAnsi="Times New Roman"/>
                <w:sz w:val="18"/>
                <w:szCs w:val="18"/>
                <w:lang w:val="sk-SK"/>
              </w:rPr>
              <w:t>0</w:t>
            </w:r>
          </w:p>
        </w:tc>
      </w:tr>
    </w:tbl>
    <w:p w:rsidR="00826246" w:rsidRDefault="00826246" w:rsidP="00291392">
      <w:pPr>
        <w:pStyle w:val="a6"/>
        <w:ind w:left="0"/>
      </w:pPr>
    </w:p>
    <w:p w:rsidR="000A6B43" w:rsidRDefault="000A6B43" w:rsidP="003004D4">
      <w:pPr>
        <w:pStyle w:val="2"/>
        <w:rPr>
          <w:lang w:val="sk-SK"/>
        </w:rPr>
      </w:pPr>
      <w:r>
        <w:t>Spoločnosť nie je súčasťou konsolidovaného celku.</w:t>
      </w:r>
    </w:p>
    <w:p w:rsidR="00085D70" w:rsidRPr="00085D70" w:rsidRDefault="00085D70" w:rsidP="00085D70">
      <w:pPr>
        <w:pStyle w:val="2"/>
        <w:rPr>
          <w:b w:val="0"/>
        </w:rPr>
      </w:pPr>
      <w:r w:rsidRPr="00085D70">
        <w:rPr>
          <w:b w:val="0"/>
          <w:lang w:val="sk-SK"/>
        </w:rPr>
        <w:t>Ú</w:t>
      </w:r>
      <w:r w:rsidR="00544C9C">
        <w:rPr>
          <w:b w:val="0"/>
          <w:lang w:val="sk-SK"/>
        </w:rPr>
        <w:t>čtovná závierka spoločnosti k 18.08.2020</w:t>
      </w:r>
      <w:r w:rsidRPr="00085D70">
        <w:rPr>
          <w:b w:val="0"/>
          <w:lang w:val="sk-SK"/>
        </w:rPr>
        <w:t xml:space="preserve"> je zostavená ako mimoriadna účtovná závierka podľa par. 17 ods.6 zákona NR SR č. 431/2002 Z.z. o účtovníctve v zmení neskorších predpisov za účtovné obdobie od  01.01.20</w:t>
      </w:r>
      <w:r w:rsidR="00544C9C">
        <w:rPr>
          <w:b w:val="0"/>
          <w:lang w:val="sk-SK"/>
        </w:rPr>
        <w:t>20 do 18.08.2020</w:t>
      </w:r>
      <w:r w:rsidRPr="00085D70">
        <w:rPr>
          <w:b w:val="0"/>
          <w:lang w:val="sk-SK"/>
        </w:rPr>
        <w:t xml:space="preserve"> z dôvodu likvidácie Spoločnosti.</w:t>
      </w:r>
    </w:p>
    <w:p w:rsidR="00BB301E" w:rsidRDefault="00BB301E" w:rsidP="005D5747">
      <w:pPr>
        <w:pStyle w:val="a6"/>
        <w:ind w:left="0"/>
      </w:pPr>
    </w:p>
    <w:p w:rsidR="000A6B43" w:rsidRDefault="003004D4" w:rsidP="003004D4">
      <w:pPr>
        <w:pStyle w:val="1"/>
        <w:numPr>
          <w:ilvl w:val="0"/>
          <w:numId w:val="0"/>
        </w:numPr>
        <w:ind w:left="360" w:hanging="360"/>
      </w:pPr>
      <w:bookmarkStart w:id="3" w:name="_Toc530739899"/>
      <w:r>
        <w:t>ČL. II  Informácie o Prijatých postupoch</w:t>
      </w:r>
      <w:r w:rsidR="000A6B43">
        <w:t xml:space="preserve">  </w:t>
      </w:r>
      <w:bookmarkEnd w:id="3"/>
    </w:p>
    <w:p w:rsidR="000A6B43" w:rsidRDefault="000A6B43">
      <w:pPr>
        <w:pStyle w:val="a6"/>
      </w:pPr>
    </w:p>
    <w:p w:rsidR="00291392" w:rsidRDefault="00291392" w:rsidP="00BB301E">
      <w:pPr>
        <w:pStyle w:val="a6"/>
        <w:ind w:left="448"/>
      </w:pPr>
      <w:r w:rsidRPr="00194BFD">
        <w:t>Účtovné metódy a všeobecné účtovné zásady boli účtovnou jednotkou konzistentne aplikované</w:t>
      </w:r>
      <w:r w:rsidR="001C4649">
        <w:t>.</w:t>
      </w:r>
    </w:p>
    <w:p w:rsidR="00874F1D" w:rsidRDefault="00874F1D" w:rsidP="00BB301E">
      <w:pPr>
        <w:pStyle w:val="a6"/>
        <w:ind w:left="448"/>
      </w:pPr>
      <w:r>
        <w:t>V bežnom účtovnom období neboli vykonané žiadne opravy významných chýb minulých období.</w:t>
      </w:r>
    </w:p>
    <w:p w:rsidR="00EA2BB8" w:rsidRDefault="00EA2BB8" w:rsidP="00774093">
      <w:pPr>
        <w:pStyle w:val="a6"/>
        <w:ind w:left="0"/>
      </w:pPr>
    </w:p>
    <w:p w:rsidR="003004D4" w:rsidRDefault="003004D4" w:rsidP="003004D4">
      <w:pPr>
        <w:pStyle w:val="a6"/>
        <w:ind w:left="0" w:firstLine="426"/>
      </w:pPr>
      <w:r>
        <w:t>Spôsoby oceňovania jednotlivých položiek majetku a záväzkov:</w:t>
      </w:r>
    </w:p>
    <w:p w:rsidR="007B0D84" w:rsidRDefault="007B0D84" w:rsidP="003004D4">
      <w:pPr>
        <w:pStyle w:val="a6"/>
        <w:ind w:left="0" w:firstLine="426"/>
      </w:pPr>
    </w:p>
    <w:p w:rsidR="000A6B43" w:rsidRDefault="000A6B43">
      <w:pPr>
        <w:pStyle w:val="Pismenka"/>
      </w:pPr>
      <w:r>
        <w:t>Dlhodobý nehmotný a dlhodobý hmotný majetok</w:t>
      </w:r>
    </w:p>
    <w:p w:rsidR="000A6B43" w:rsidRDefault="000A6B43">
      <w:pPr>
        <w:pStyle w:val="a6"/>
      </w:pPr>
    </w:p>
    <w:p w:rsidR="0008431C" w:rsidRDefault="0008431C" w:rsidP="0008431C">
      <w:pPr>
        <w:pStyle w:val="a6"/>
      </w:pPr>
      <w:r>
        <w:t xml:space="preserve">Dlhodobý majetok nakupovaný sa oceňuje obstarávacou cenou, ktorá zahŕňa cenu obstarania a náklady súvisiace s obstaraním (napr.: prepravu, montáž, clo,  poistné a pod.). </w:t>
      </w:r>
    </w:p>
    <w:p w:rsidR="0008431C" w:rsidRDefault="0008431C" w:rsidP="0008431C">
      <w:pPr>
        <w:pStyle w:val="a6"/>
      </w:pPr>
    </w:p>
    <w:p w:rsidR="0008431C" w:rsidRDefault="0008431C" w:rsidP="0008431C">
      <w:pPr>
        <w:pStyle w:val="a6"/>
      </w:pPr>
      <w:r>
        <w:t xml:space="preserve">Odpisy dlhodobého hmotného a nehmotného majetku sú stanovené rovnomerné mesačné na základe predpokladanej doby jeho používania a priebehu opotrebenia.  Odpisovať sa začína v mesiaci  uvedenia dlhodobého majetku do používania. </w:t>
      </w:r>
    </w:p>
    <w:p w:rsidR="0008431C" w:rsidRDefault="0008431C" w:rsidP="0008431C">
      <w:pPr>
        <w:pStyle w:val="a6"/>
      </w:pPr>
      <w:r>
        <w:t xml:space="preserve">Spoločnosť neúčtuje o nehmotnom majetku, ktorého obstarávacia cena (resp. vlastné náklady) je 2.400 EUR  a nižšia ako o dlhodobom majetku. Hmotný majetok, ktorého obstarávacia cena  je 1.700 EUR a nižšia, spoločnosť považuje za </w:t>
      </w:r>
      <w:r w:rsidR="00237EA1">
        <w:t xml:space="preserve">drobný hmotný majetok, ktorý účtovná jednotka účtuje </w:t>
      </w:r>
      <w:r w:rsidR="00BB6A60">
        <w:t>priamo do ná</w:t>
      </w:r>
      <w:r w:rsidR="00237EA1">
        <w:t>kladov.</w:t>
      </w:r>
      <w:r>
        <w:t xml:space="preserve">   </w:t>
      </w:r>
    </w:p>
    <w:p w:rsidR="0008431C" w:rsidRDefault="0008431C" w:rsidP="0008431C">
      <w:pPr>
        <w:pStyle w:val="a6"/>
        <w:ind w:left="360"/>
      </w:pPr>
    </w:p>
    <w:p w:rsidR="0008431C" w:rsidRDefault="0008431C" w:rsidP="00774093">
      <w:pPr>
        <w:pStyle w:val="a6"/>
      </w:pPr>
      <w:r>
        <w:t>Predpokladaná doba používania, metóda odpisovania a odpisová sadzba sú uvedené v nasledujúcej tabuľke:</w:t>
      </w:r>
    </w:p>
    <w:p w:rsidR="0008431C" w:rsidRDefault="0008431C" w:rsidP="0008431C">
      <w:pPr>
        <w:pStyle w:val="a6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08431C" w:rsidTr="00535F83">
        <w:trPr>
          <w:trHeight w:val="250"/>
        </w:trPr>
        <w:tc>
          <w:tcPr>
            <w:tcW w:w="3118" w:type="dxa"/>
            <w:gridSpan w:val="2"/>
          </w:tcPr>
          <w:p w:rsidR="0008431C" w:rsidRDefault="0008431C" w:rsidP="00535F83">
            <w:pPr>
              <w:pStyle w:val="Tabulka"/>
            </w:pPr>
          </w:p>
        </w:tc>
        <w:tc>
          <w:tcPr>
            <w:tcW w:w="1985" w:type="dxa"/>
          </w:tcPr>
          <w:p w:rsidR="0008431C" w:rsidRDefault="0008431C" w:rsidP="00535F83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  <w:r>
              <w:t>Ročná odpisová</w:t>
            </w:r>
          </w:p>
        </w:tc>
      </w:tr>
      <w:tr w:rsidR="0008431C" w:rsidTr="00535F83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sadzba v %</w:t>
            </w:r>
          </w:p>
        </w:tc>
      </w:tr>
      <w:tr w:rsidR="0008431C" w:rsidTr="00535F83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</w:pPr>
            <w:r>
              <w:t xml:space="preserve">Nehmotný majetok </w:t>
            </w:r>
            <w:r w:rsidR="00774093">
              <w:t>–</w:t>
            </w:r>
            <w:r>
              <w:t xml:space="preserve"> software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4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8431C" w:rsidRDefault="00774093" w:rsidP="00535F83">
            <w:pPr>
              <w:pStyle w:val="Tabulka"/>
              <w:jc w:val="center"/>
            </w:pPr>
            <w:r>
              <w:t>L</w:t>
            </w:r>
            <w:r w:rsidR="0008431C">
              <w:t>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25</w:t>
            </w:r>
          </w:p>
        </w:tc>
      </w:tr>
      <w:tr w:rsidR="0008431C" w:rsidTr="00535F83">
        <w:trPr>
          <w:trHeight w:val="250"/>
        </w:trPr>
        <w:tc>
          <w:tcPr>
            <w:tcW w:w="3118" w:type="dxa"/>
            <w:gridSpan w:val="2"/>
          </w:tcPr>
          <w:p w:rsidR="0008431C" w:rsidRDefault="0008431C" w:rsidP="00535F83">
            <w:pPr>
              <w:pStyle w:val="Tabulka"/>
            </w:pPr>
            <w:r>
              <w:t>Stroje, prístroje a</w:t>
            </w:r>
            <w:r w:rsidR="00774093">
              <w:t> </w:t>
            </w:r>
            <w:r>
              <w:t>zariadenia</w:t>
            </w:r>
          </w:p>
        </w:tc>
        <w:tc>
          <w:tcPr>
            <w:tcW w:w="1985" w:type="dxa"/>
          </w:tcPr>
          <w:p w:rsidR="0008431C" w:rsidRDefault="0008431C" w:rsidP="00535F83">
            <w:pPr>
              <w:pStyle w:val="Tabulka"/>
              <w:jc w:val="center"/>
            </w:pPr>
            <w:r>
              <w:t>4-6</w:t>
            </w:r>
          </w:p>
        </w:tc>
        <w:tc>
          <w:tcPr>
            <w:tcW w:w="14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774093" w:rsidP="00535F83">
            <w:pPr>
              <w:pStyle w:val="Tabulka"/>
              <w:jc w:val="center"/>
            </w:pPr>
            <w:r>
              <w:t>L</w:t>
            </w:r>
            <w:r w:rsidR="0008431C">
              <w:t>ineárna</w:t>
            </w:r>
          </w:p>
        </w:tc>
        <w:tc>
          <w:tcPr>
            <w:tcW w:w="142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  <w:r>
              <w:t>25-16,7</w:t>
            </w:r>
          </w:p>
        </w:tc>
      </w:tr>
      <w:tr w:rsidR="0008431C" w:rsidTr="00535F83">
        <w:trPr>
          <w:trHeight w:val="250"/>
        </w:trPr>
        <w:tc>
          <w:tcPr>
            <w:tcW w:w="3118" w:type="dxa"/>
            <w:gridSpan w:val="2"/>
          </w:tcPr>
          <w:p w:rsidR="0008431C" w:rsidRDefault="0008431C" w:rsidP="00535F83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08431C" w:rsidRDefault="0008431C" w:rsidP="00535F83">
            <w:pPr>
              <w:pStyle w:val="Tabulka"/>
              <w:jc w:val="center"/>
            </w:pPr>
            <w:r>
              <w:t xml:space="preserve">4 </w:t>
            </w:r>
          </w:p>
        </w:tc>
        <w:tc>
          <w:tcPr>
            <w:tcW w:w="14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774093" w:rsidP="00535F83">
            <w:pPr>
              <w:pStyle w:val="Tabulka"/>
              <w:jc w:val="center"/>
            </w:pPr>
            <w:r>
              <w:t>L</w:t>
            </w:r>
            <w:r w:rsidR="0008431C">
              <w:t>ineárna</w:t>
            </w:r>
          </w:p>
        </w:tc>
        <w:tc>
          <w:tcPr>
            <w:tcW w:w="142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  <w:r>
              <w:t>25</w:t>
            </w:r>
          </w:p>
        </w:tc>
      </w:tr>
      <w:tr w:rsidR="0008431C" w:rsidTr="00535F83">
        <w:trPr>
          <w:trHeight w:val="250"/>
        </w:trPr>
        <w:tc>
          <w:tcPr>
            <w:tcW w:w="3118" w:type="dxa"/>
            <w:gridSpan w:val="2"/>
          </w:tcPr>
          <w:p w:rsidR="0008431C" w:rsidRDefault="0008431C" w:rsidP="00535F83">
            <w:pPr>
              <w:pStyle w:val="Tabulka"/>
            </w:pPr>
          </w:p>
          <w:p w:rsidR="007B0D84" w:rsidRDefault="007B0D84" w:rsidP="00535F83">
            <w:pPr>
              <w:pStyle w:val="Tabulka"/>
            </w:pPr>
          </w:p>
        </w:tc>
        <w:tc>
          <w:tcPr>
            <w:tcW w:w="1985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4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42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</w:p>
        </w:tc>
      </w:tr>
    </w:tbl>
    <w:p w:rsidR="000A6B43" w:rsidRDefault="000A6B43">
      <w:pPr>
        <w:pStyle w:val="Pismenka"/>
      </w:pPr>
      <w:r>
        <w:t xml:space="preserve">Zásoby </w:t>
      </w:r>
    </w:p>
    <w:p w:rsidR="00C04CE7" w:rsidRDefault="00237EA1">
      <w:pPr>
        <w:pStyle w:val="a6"/>
      </w:pPr>
      <w:r>
        <w:t xml:space="preserve">Nákup </w:t>
      </w:r>
      <w:r w:rsidR="00541C62">
        <w:t>spotrebného materiálu</w:t>
      </w:r>
      <w:r w:rsidR="00C04CE7">
        <w:t xml:space="preserve"> účtuje spôsobom </w:t>
      </w:r>
      <w:r w:rsidR="00894D22">
        <w:t>B</w:t>
      </w:r>
      <w:r w:rsidR="00C04CE7">
        <w:t xml:space="preserve"> účtovania zásob.</w:t>
      </w:r>
    </w:p>
    <w:p w:rsidR="00C04CE7" w:rsidRDefault="00C04CE7">
      <w:pPr>
        <w:pStyle w:val="a6"/>
      </w:pPr>
    </w:p>
    <w:p w:rsidR="000A6B43" w:rsidRDefault="000A6B43">
      <w:pPr>
        <w:pStyle w:val="Pismenka"/>
      </w:pPr>
      <w:r>
        <w:t>Pohľadávky</w:t>
      </w:r>
    </w:p>
    <w:p w:rsidR="000A6B43" w:rsidRDefault="000A6B43">
      <w:pPr>
        <w:pStyle w:val="a6"/>
      </w:pPr>
      <w:r>
        <w:t>Pohľadávky sa pri ich vzniku oceňujú ich menovitou hodnotou; postúpené pohľadávky a pohľadávky nadobudnuté vkladom do základného imania sa oceňujú obstarávacou cenou, vrátane nákladov súvisiacich s obstaraním. Toto ocenenie sa znižuje o pochybné a nevymožiteľné pohľadávky.</w:t>
      </w:r>
    </w:p>
    <w:p w:rsidR="000A6B43" w:rsidRDefault="000A6B43">
      <w:pPr>
        <w:pStyle w:val="a6"/>
      </w:pPr>
    </w:p>
    <w:p w:rsidR="000A6B43" w:rsidRDefault="000A6B43">
      <w:pPr>
        <w:pStyle w:val="Pismenka"/>
      </w:pPr>
      <w:r>
        <w:t>Peňažné prostriedky a ceniny</w:t>
      </w:r>
    </w:p>
    <w:p w:rsidR="000A6B43" w:rsidRDefault="000A6B43" w:rsidP="004E01C3">
      <w:pPr>
        <w:pStyle w:val="a6"/>
      </w:pPr>
      <w:r>
        <w:t>Peňažné prostriedky a ceniny sa oceňujú ich menovitou hodnotou.</w:t>
      </w:r>
    </w:p>
    <w:p w:rsidR="00774093" w:rsidRDefault="00774093" w:rsidP="004E01C3">
      <w:pPr>
        <w:pStyle w:val="a6"/>
      </w:pPr>
    </w:p>
    <w:p w:rsidR="000A6B43" w:rsidRDefault="000A6B43">
      <w:pPr>
        <w:pStyle w:val="Pismenka"/>
      </w:pPr>
      <w:r>
        <w:t>Náklady budúcich období a príjmy budúcich období</w:t>
      </w:r>
    </w:p>
    <w:p w:rsidR="000A6B43" w:rsidRDefault="000A6B43">
      <w:pPr>
        <w:pStyle w:val="a6"/>
      </w:pPr>
      <w:r>
        <w:t>Náklady budúcich období a príjmy budúcich období sa vykazujú vo výške, ktorá je potrebná na dodržanie zásady vecnej a časovej súvislosti s účtovným obdobím.</w:t>
      </w:r>
      <w:r w:rsidR="003004D4">
        <w:t xml:space="preserve"> Nevýznamné položky (do 100 Eur) sa časovo nerozlišujú.</w:t>
      </w:r>
    </w:p>
    <w:p w:rsidR="000A6B43" w:rsidRDefault="000A6B43">
      <w:pPr>
        <w:pStyle w:val="a6"/>
      </w:pPr>
    </w:p>
    <w:p w:rsidR="000A6B43" w:rsidRDefault="000A6B43">
      <w:pPr>
        <w:pStyle w:val="Pismenka"/>
      </w:pPr>
      <w:r>
        <w:t>Rezervy</w:t>
      </w:r>
    </w:p>
    <w:p w:rsidR="000A6B43" w:rsidRDefault="000A6B43">
      <w:pPr>
        <w:pStyle w:val="a6"/>
      </w:pPr>
      <w:r>
        <w:t>Rezervy sú záväzky s neurčitým časovým vymedzením alebo výškou, tvoria sa na krytie známych rizík alebo strát z podnikania. Oceňujú sa v očakávanej výške záväzku.</w:t>
      </w:r>
    </w:p>
    <w:p w:rsidR="000A6B43" w:rsidRDefault="000A6B43">
      <w:pPr>
        <w:pStyle w:val="Pismenka"/>
        <w:numPr>
          <w:ilvl w:val="0"/>
          <w:numId w:val="0"/>
        </w:numPr>
        <w:ind w:left="426" w:hanging="426"/>
      </w:pPr>
    </w:p>
    <w:p w:rsidR="000A6B43" w:rsidRDefault="000A6B43">
      <w:pPr>
        <w:pStyle w:val="Pismenka"/>
      </w:pPr>
      <w:r>
        <w:t>Záväzky</w:t>
      </w:r>
    </w:p>
    <w:p w:rsidR="000A6B43" w:rsidRDefault="000A6B43" w:rsidP="004E01C3">
      <w:pPr>
        <w:pStyle w:val="a6"/>
        <w:ind w:left="425"/>
        <w:rPr>
          <w:sz w:val="24"/>
        </w:rPr>
      </w:pPr>
      <w: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:rsidR="00842774" w:rsidRDefault="00842774" w:rsidP="004E01C3">
      <w:pPr>
        <w:pStyle w:val="a6"/>
        <w:spacing w:line="240" w:lineRule="atLeast"/>
        <w:ind w:left="425"/>
        <w:rPr>
          <w:sz w:val="24"/>
        </w:rPr>
      </w:pPr>
    </w:p>
    <w:p w:rsidR="000A6B43" w:rsidRDefault="000A6B43" w:rsidP="004E01C3">
      <w:pPr>
        <w:pStyle w:val="Pismenka"/>
        <w:ind w:left="425" w:hanging="425"/>
      </w:pPr>
      <w:r>
        <w:t>Výdavky budúcich období a výnosy budúcich období</w:t>
      </w:r>
    </w:p>
    <w:p w:rsidR="000A6B43" w:rsidRDefault="000A6B43">
      <w:pPr>
        <w:pStyle w:val="a6"/>
      </w:pPr>
      <w:r>
        <w:t>Výdavky budúcich období a výnosy budúcich období sa vykazujú vo výške, ktorá je potrebná na dodržanie zásady vecnej a časovej súvislosti s účtovným obdobím.</w:t>
      </w:r>
      <w:r w:rsidR="003004D4">
        <w:t xml:space="preserve"> Nevýznamné položky (do 100 Eur) sa časovo nerozlišujú.</w:t>
      </w:r>
    </w:p>
    <w:p w:rsidR="00291392" w:rsidRDefault="00291392" w:rsidP="00850A44">
      <w:pPr>
        <w:pStyle w:val="a6"/>
        <w:ind w:left="0"/>
      </w:pPr>
    </w:p>
    <w:p w:rsidR="00291392" w:rsidRDefault="00291392" w:rsidP="00291392">
      <w:pPr>
        <w:pStyle w:val="Pismenka"/>
      </w:pPr>
      <w:r>
        <w:t>Majetok a záväzky zabezpečené derivátmi</w:t>
      </w:r>
    </w:p>
    <w:p w:rsidR="00850A44" w:rsidRDefault="00291392" w:rsidP="00BB301E">
      <w:pPr>
        <w:pStyle w:val="a6"/>
      </w:pPr>
      <w:r>
        <w:t>Spoločnosť nemá majetok a záväzky zabezpečené derivátmi.</w:t>
      </w:r>
    </w:p>
    <w:p w:rsidR="00291392" w:rsidRDefault="00291392">
      <w:pPr>
        <w:pStyle w:val="a6"/>
      </w:pPr>
    </w:p>
    <w:p w:rsidR="004E0DC5" w:rsidRPr="00BB301E" w:rsidRDefault="000A6B43" w:rsidP="00BB301E">
      <w:pPr>
        <w:pStyle w:val="Pismenka"/>
      </w:pPr>
      <w:r>
        <w:t>Cudzia mena</w:t>
      </w:r>
    </w:p>
    <w:p w:rsidR="009B228B" w:rsidRPr="002A1CA6" w:rsidRDefault="009B228B" w:rsidP="009B228B">
      <w:pPr>
        <w:pStyle w:val="a6"/>
        <w:rPr>
          <w:szCs w:val="18"/>
        </w:rPr>
      </w:pPr>
      <w:r w:rsidRPr="002A1CA6">
        <w:rPr>
          <w:szCs w:val="18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9B228B" w:rsidRPr="002A1CA6" w:rsidRDefault="009B228B" w:rsidP="009B228B">
      <w:pPr>
        <w:pStyle w:val="a6"/>
        <w:rPr>
          <w:szCs w:val="18"/>
        </w:rPr>
      </w:pPr>
    </w:p>
    <w:p w:rsidR="009B228B" w:rsidRPr="002A1CA6" w:rsidRDefault="009B228B" w:rsidP="009B228B">
      <w:pPr>
        <w:pStyle w:val="a6"/>
        <w:rPr>
          <w:szCs w:val="18"/>
        </w:rPr>
      </w:pPr>
      <w:r w:rsidRPr="002A1CA6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9B228B" w:rsidRPr="002A1CA6" w:rsidRDefault="009B228B" w:rsidP="009B228B">
      <w:pPr>
        <w:pStyle w:val="a6"/>
        <w:rPr>
          <w:szCs w:val="18"/>
        </w:rPr>
      </w:pPr>
    </w:p>
    <w:p w:rsidR="009B228B" w:rsidRPr="00D613DD" w:rsidRDefault="009B228B" w:rsidP="009B228B">
      <w:pPr>
        <w:pStyle w:val="a6"/>
        <w:rPr>
          <w:szCs w:val="18"/>
        </w:rPr>
      </w:pPr>
      <w:r w:rsidRPr="002A1CA6">
        <w:rPr>
          <w:szCs w:val="18"/>
        </w:rPr>
        <w:t>Prijaté a poskytnuté preddavky v 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na menu euro už neprepočítavajú.</w:t>
      </w:r>
      <w:r w:rsidRPr="00D613DD">
        <w:rPr>
          <w:szCs w:val="18"/>
        </w:rPr>
        <w:t xml:space="preserve"> </w:t>
      </w:r>
    </w:p>
    <w:p w:rsidR="00291392" w:rsidRDefault="00291392" w:rsidP="00291392">
      <w:pPr>
        <w:pStyle w:val="a6"/>
        <w:ind w:left="0"/>
      </w:pPr>
    </w:p>
    <w:p w:rsidR="00291392" w:rsidRDefault="00291392" w:rsidP="00291392">
      <w:pPr>
        <w:pStyle w:val="Pismenka"/>
      </w:pPr>
      <w:r>
        <w:t>Výnosy</w:t>
      </w:r>
    </w:p>
    <w:p w:rsidR="00291392" w:rsidRDefault="00291392" w:rsidP="00291392">
      <w:pPr>
        <w:pStyle w:val="a6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0A6B43" w:rsidRDefault="000A6B43" w:rsidP="00850A44">
      <w:pPr>
        <w:pStyle w:val="a6"/>
        <w:ind w:left="0"/>
      </w:pPr>
    </w:p>
    <w:p w:rsidR="002260EB" w:rsidRDefault="002260EB" w:rsidP="00850A44">
      <w:pPr>
        <w:pStyle w:val="a6"/>
        <w:ind w:left="0"/>
      </w:pPr>
    </w:p>
    <w:p w:rsidR="00870993" w:rsidRDefault="003004D4" w:rsidP="003004D4">
      <w:pPr>
        <w:pStyle w:val="1"/>
        <w:numPr>
          <w:ilvl w:val="0"/>
          <w:numId w:val="0"/>
        </w:numPr>
        <w:ind w:left="360" w:hanging="360"/>
      </w:pPr>
      <w:bookmarkStart w:id="4" w:name="_Toc530739900"/>
      <w:r>
        <w:t xml:space="preserve">Čl. III </w:t>
      </w:r>
      <w:r w:rsidR="000A6B43">
        <w:t>informácie</w:t>
      </w:r>
      <w:bookmarkEnd w:id="4"/>
      <w:r>
        <w:t>, ktoré vystvetľujú a dopĺňajú súvahu a výkaz ziskov a strát</w:t>
      </w:r>
    </w:p>
    <w:p w:rsidR="000A6B43" w:rsidRDefault="000A6B43" w:rsidP="00221932">
      <w:pPr>
        <w:pStyle w:val="a6"/>
        <w:ind w:left="0"/>
      </w:pPr>
    </w:p>
    <w:p w:rsidR="001F4FD2" w:rsidRPr="001F4FD2" w:rsidRDefault="008B0BB8" w:rsidP="001F4FD2">
      <w:pPr>
        <w:pStyle w:val="2"/>
        <w:numPr>
          <w:ilvl w:val="0"/>
          <w:numId w:val="26"/>
        </w:numPr>
      </w:pPr>
      <w:bookmarkStart w:id="5" w:name="_Toc530739908"/>
      <w:r>
        <w:rPr>
          <w:lang w:val="sk-SK"/>
        </w:rPr>
        <w:t>Informácia o sume a dôvodoch vzniku nákladov alebo výnosov, ktoré majú výnimočný rozsah alebo výskyt</w:t>
      </w:r>
    </w:p>
    <w:p w:rsidR="000A6B43" w:rsidRDefault="008B0BB8" w:rsidP="009B479F">
      <w:pPr>
        <w:pStyle w:val="a6"/>
      </w:pPr>
      <w:r>
        <w:t>Spoločnosti nevznikli žiadne náklady alebo výnosy výnimočného rozsahu alebo výskytu.</w:t>
      </w:r>
    </w:p>
    <w:p w:rsidR="001F4FD2" w:rsidRDefault="001F4FD2">
      <w:pPr>
        <w:pStyle w:val="a6"/>
      </w:pPr>
    </w:p>
    <w:bookmarkEnd w:id="5"/>
    <w:p w:rsidR="000A6B43" w:rsidRDefault="00590486">
      <w:pPr>
        <w:pStyle w:val="2"/>
      </w:pPr>
      <w:r>
        <w:rPr>
          <w:lang w:val="sk-SK"/>
        </w:rPr>
        <w:t>Informácie o záväzkoch:</w:t>
      </w:r>
    </w:p>
    <w:p w:rsidR="006F38E2" w:rsidRDefault="006F38E2" w:rsidP="006F38E2">
      <w:pPr>
        <w:pStyle w:val="a6"/>
        <w:ind w:left="0" w:firstLine="357"/>
      </w:pPr>
    </w:p>
    <w:tbl>
      <w:tblPr>
        <w:tblW w:w="9332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0"/>
        <w:gridCol w:w="2115"/>
        <w:gridCol w:w="2127"/>
      </w:tblGrid>
      <w:tr w:rsidR="00541C62" w:rsidRPr="00905475" w:rsidTr="00B04CDB">
        <w:trPr>
          <w:trHeight w:val="170"/>
        </w:trPr>
        <w:tc>
          <w:tcPr>
            <w:tcW w:w="5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1C62" w:rsidRPr="00905475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Názov položky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41C62" w:rsidRPr="00905475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1C62" w:rsidRPr="00905475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Bezprostredne predchádzajúce </w:t>
            </w: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účtovné obdobie</w:t>
            </w:r>
          </w:p>
        </w:tc>
      </w:tr>
      <w:tr w:rsidR="00541C62" w:rsidRPr="00905475" w:rsidTr="00541C62">
        <w:trPr>
          <w:trHeight w:val="170"/>
        </w:trPr>
        <w:tc>
          <w:tcPr>
            <w:tcW w:w="5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1C62" w:rsidRPr="00905475" w:rsidRDefault="00541C62" w:rsidP="00541C62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Dlhodobé záväzky spolu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Default="00085D70" w:rsidP="001E6E5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1C62" w:rsidRPr="00905475" w:rsidRDefault="00860047" w:rsidP="0086004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541C62" w:rsidRPr="00905475" w:rsidTr="00541C62">
        <w:trPr>
          <w:trHeight w:val="170"/>
        </w:trPr>
        <w:tc>
          <w:tcPr>
            <w:tcW w:w="5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1C62" w:rsidRPr="00905475" w:rsidRDefault="00541C62" w:rsidP="00541C62">
            <w:pPr>
              <w:rPr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color w:val="000000"/>
                <w:sz w:val="18"/>
                <w:szCs w:val="18"/>
                <w:lang w:eastAsia="sk-SK"/>
              </w:rPr>
              <w:t>Záväzky so zostatkovou dobou splatnosti nad päť rokov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Default="00541C62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1C62" w:rsidRPr="00905475" w:rsidRDefault="00541C62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541C62" w:rsidRPr="00905475" w:rsidTr="00541C62">
        <w:trPr>
          <w:trHeight w:val="170"/>
        </w:trPr>
        <w:tc>
          <w:tcPr>
            <w:tcW w:w="5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1C62" w:rsidRPr="00905475" w:rsidRDefault="00541C62" w:rsidP="00541C62">
            <w:pPr>
              <w:rPr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color w:val="000000"/>
                <w:sz w:val="18"/>
                <w:szCs w:val="18"/>
                <w:lang w:eastAsia="sk-SK"/>
              </w:rPr>
              <w:t>Záväzky so zostatkovou dobou splatnosti jeden rok až päť rokov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Default="00085D70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1C62" w:rsidRPr="00905475" w:rsidRDefault="00860047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</w:tbl>
    <w:p w:rsidR="006F38E2" w:rsidRDefault="006F38E2" w:rsidP="008B0BB8">
      <w:pPr>
        <w:pStyle w:val="a6"/>
        <w:ind w:left="0"/>
      </w:pPr>
    </w:p>
    <w:p w:rsidR="006F388E" w:rsidRPr="006F38E2" w:rsidRDefault="006F38E2" w:rsidP="00EF43DB">
      <w:pPr>
        <w:pStyle w:val="a6"/>
        <w:ind w:left="0" w:firstLine="360"/>
      </w:pPr>
      <w:r w:rsidRPr="00491794">
        <w:t xml:space="preserve">Spoločnosť nemá záväzky kryté záložným právom a ani </w:t>
      </w:r>
      <w:r>
        <w:t xml:space="preserve">inou </w:t>
      </w:r>
      <w:r w:rsidRPr="00491794">
        <w:t>formou zabezpečeni</w:t>
      </w:r>
      <w:r>
        <w:t>a</w:t>
      </w:r>
      <w:r w:rsidRPr="00491794">
        <w:t>.</w:t>
      </w:r>
    </w:p>
    <w:p w:rsidR="00560547" w:rsidRDefault="00560547" w:rsidP="006339A9">
      <w:pPr>
        <w:pStyle w:val="a6"/>
        <w:ind w:left="0"/>
      </w:pPr>
    </w:p>
    <w:p w:rsidR="00EF43DB" w:rsidRDefault="00EF43DB" w:rsidP="00EF43DB">
      <w:pPr>
        <w:pStyle w:val="2"/>
        <w:rPr>
          <w:b w:val="0"/>
          <w:lang w:val="sk-SK"/>
        </w:rPr>
      </w:pPr>
      <w:r>
        <w:rPr>
          <w:lang w:val="sk-SK"/>
        </w:rPr>
        <w:t xml:space="preserve">Informácie o vlastných akciách </w:t>
      </w:r>
      <w:r w:rsidRPr="00EF43DB">
        <w:rPr>
          <w:b w:val="0"/>
          <w:lang w:val="sk-SK"/>
        </w:rPr>
        <w:t>(neaplikovateľné)</w:t>
      </w:r>
    </w:p>
    <w:p w:rsidR="00EF43DB" w:rsidRPr="00EF43DB" w:rsidRDefault="00EF43DB" w:rsidP="00EF43DB"/>
    <w:p w:rsidR="00EF43DB" w:rsidRDefault="00EF43DB" w:rsidP="00EF43DB">
      <w:pPr>
        <w:pStyle w:val="2"/>
        <w:rPr>
          <w:lang w:val="sk-SK"/>
        </w:rPr>
      </w:pPr>
      <w:r>
        <w:rPr>
          <w:lang w:val="sk-SK"/>
        </w:rPr>
        <w:t>Informácie o orgánoch účtovnej jednotky</w:t>
      </w:r>
    </w:p>
    <w:p w:rsidR="00A11EC5" w:rsidRDefault="00A11EC5" w:rsidP="00A11EC5">
      <w:pPr>
        <w:pStyle w:val="a6"/>
      </w:pPr>
      <w:r w:rsidRPr="004306EA">
        <w:rPr>
          <w:szCs w:val="18"/>
        </w:rPr>
        <w:t>S</w:t>
      </w:r>
      <w:r>
        <w:rPr>
          <w:szCs w:val="18"/>
        </w:rPr>
        <w:t>poločnosť neposkytla žiadne záruky,  pôžičky a plnenia na súkromné účely členom štatutárnemu, dozornému alebo inému orgánu spoločnosti.</w:t>
      </w:r>
    </w:p>
    <w:p w:rsidR="00EF43DB" w:rsidRPr="00EF43DB" w:rsidRDefault="00A11EC5" w:rsidP="00A11EC5">
      <w:pPr>
        <w:tabs>
          <w:tab w:val="left" w:pos="6030"/>
        </w:tabs>
      </w:pPr>
      <w:r>
        <w:tab/>
      </w:r>
    </w:p>
    <w:p w:rsidR="00EF43DB" w:rsidRDefault="00EF43DB" w:rsidP="00EF43DB">
      <w:pPr>
        <w:pStyle w:val="2"/>
        <w:rPr>
          <w:lang w:val="sk-SK"/>
        </w:rPr>
      </w:pPr>
      <w:r>
        <w:rPr>
          <w:lang w:val="sk-SK"/>
        </w:rPr>
        <w:t>Informácie o povinnostiach účtovnej jednotky</w:t>
      </w:r>
    </w:p>
    <w:p w:rsidR="00EF43DB" w:rsidRDefault="00EF43DB" w:rsidP="00EF43DB">
      <w:pPr>
        <w:ind w:left="360"/>
        <w:rPr>
          <w:sz w:val="18"/>
          <w:szCs w:val="18"/>
        </w:rPr>
      </w:pPr>
      <w:r w:rsidRPr="00EF43DB">
        <w:rPr>
          <w:sz w:val="18"/>
          <w:szCs w:val="18"/>
        </w:rPr>
        <w:t>Finančné</w:t>
      </w:r>
      <w:r>
        <w:rPr>
          <w:sz w:val="18"/>
          <w:szCs w:val="18"/>
        </w:rPr>
        <w:t xml:space="preserve"> povinnosti, ktoré sa nevykazujú v súvahe – žiadne</w:t>
      </w:r>
    </w:p>
    <w:p w:rsidR="00EF43DB" w:rsidRPr="00EF43DB" w:rsidRDefault="00EF43DB" w:rsidP="00EF43DB">
      <w:pPr>
        <w:ind w:left="360"/>
        <w:rPr>
          <w:sz w:val="18"/>
          <w:szCs w:val="18"/>
        </w:rPr>
      </w:pPr>
      <w:r>
        <w:rPr>
          <w:sz w:val="18"/>
          <w:szCs w:val="18"/>
        </w:rPr>
        <w:t>Významné podmienené záväzky – žiadne</w:t>
      </w:r>
      <w:r w:rsidRPr="00EF43DB">
        <w:rPr>
          <w:sz w:val="18"/>
          <w:szCs w:val="18"/>
        </w:rPr>
        <w:t xml:space="preserve"> </w:t>
      </w:r>
    </w:p>
    <w:p w:rsidR="00EF43DB" w:rsidRDefault="00EF43DB" w:rsidP="00EF43DB"/>
    <w:p w:rsidR="00EF43DB" w:rsidRPr="00EA433F" w:rsidRDefault="00EF43DB" w:rsidP="00EF43DB">
      <w:pPr>
        <w:pStyle w:val="2"/>
        <w:rPr>
          <w:b w:val="0"/>
          <w:lang w:val="sk-SK"/>
        </w:rPr>
      </w:pPr>
      <w:r>
        <w:rPr>
          <w:lang w:val="sk-SK"/>
        </w:rPr>
        <w:t xml:space="preserve">Informácie o udelení výlučného alebo osobitného práva na poskytovanie služieb vo verejnom záujme – </w:t>
      </w:r>
      <w:r w:rsidRPr="00EA433F">
        <w:rPr>
          <w:b w:val="0"/>
          <w:lang w:val="sk-SK"/>
        </w:rPr>
        <w:t>nebolo poskytnuté</w:t>
      </w:r>
      <w:r w:rsidR="00EA433F">
        <w:rPr>
          <w:b w:val="0"/>
          <w:lang w:val="sk-SK"/>
        </w:rPr>
        <w:t xml:space="preserve"> žiadne.</w:t>
      </w:r>
    </w:p>
    <w:p w:rsidR="00EF43DB" w:rsidRPr="00EF43DB" w:rsidRDefault="00EF43DB" w:rsidP="00EF43DB"/>
    <w:sectPr w:rsidR="00EF43DB" w:rsidRPr="00EF43DB" w:rsidSect="00CC1734">
      <w:headerReference w:type="default" r:id="rId7"/>
      <w:footerReference w:type="even" r:id="rId8"/>
      <w:pgSz w:w="11907" w:h="16840" w:code="9"/>
      <w:pgMar w:top="1191" w:right="1021" w:bottom="357" w:left="1474" w:header="567" w:footer="397" w:gutter="0"/>
      <w:pgNumType w:start="6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DAE" w:rsidRDefault="00753DAE">
      <w:r>
        <w:separator/>
      </w:r>
    </w:p>
  </w:endnote>
  <w:endnote w:type="continuationSeparator" w:id="0">
    <w:p w:rsidR="00753DAE" w:rsidRDefault="00753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738" w:rsidRDefault="006B2738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2738" w:rsidRDefault="006B273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DAE" w:rsidRDefault="00753DAE">
      <w:r>
        <w:separator/>
      </w:r>
    </w:p>
  </w:footnote>
  <w:footnote w:type="continuationSeparator" w:id="0">
    <w:p w:rsidR="00753DAE" w:rsidRDefault="00753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9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91"/>
      <w:gridCol w:w="160"/>
      <w:gridCol w:w="760"/>
      <w:gridCol w:w="552"/>
      <w:gridCol w:w="232"/>
      <w:gridCol w:w="232"/>
      <w:gridCol w:w="232"/>
      <w:gridCol w:w="232"/>
      <w:gridCol w:w="232"/>
      <w:gridCol w:w="232"/>
      <w:gridCol w:w="232"/>
      <w:gridCol w:w="232"/>
      <w:gridCol w:w="181"/>
      <w:gridCol w:w="500"/>
      <w:gridCol w:w="540"/>
      <w:gridCol w:w="232"/>
      <w:gridCol w:w="232"/>
      <w:gridCol w:w="232"/>
      <w:gridCol w:w="232"/>
      <w:gridCol w:w="232"/>
      <w:gridCol w:w="232"/>
      <w:gridCol w:w="232"/>
      <w:gridCol w:w="232"/>
      <w:gridCol w:w="232"/>
      <w:gridCol w:w="232"/>
    </w:tblGrid>
    <w:tr w:rsidR="004814BD" w:rsidRPr="004814BD" w:rsidTr="006C0B57">
      <w:trPr>
        <w:trHeight w:val="270"/>
      </w:trPr>
      <w:tc>
        <w:tcPr>
          <w:tcW w:w="2091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  <w:r w:rsidRPr="004814BD">
            <w:rPr>
              <w:sz w:val="18"/>
              <w:szCs w:val="18"/>
              <w:lang w:eastAsia="sk-SK"/>
            </w:rPr>
            <w:t>P</w:t>
          </w:r>
          <w:r w:rsidRPr="003004D4">
            <w:rPr>
              <w:sz w:val="18"/>
              <w:szCs w:val="18"/>
              <w:lang w:eastAsia="sk-SK"/>
            </w:rPr>
            <w:t>oznámky Úč MÚJ</w:t>
          </w:r>
          <w:r w:rsidRPr="004814BD">
            <w:rPr>
              <w:sz w:val="18"/>
              <w:szCs w:val="18"/>
              <w:lang w:eastAsia="sk-SK"/>
            </w:rPr>
            <w:t xml:space="preserve"> 3 - 01</w:t>
          </w: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</w:p>
      </w:tc>
      <w:tc>
        <w:tcPr>
          <w:tcW w:w="7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</w:p>
      </w:tc>
      <w:tc>
        <w:tcPr>
          <w:tcW w:w="55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  <w:r w:rsidRPr="004814BD">
            <w:rPr>
              <w:sz w:val="18"/>
              <w:szCs w:val="18"/>
              <w:lang w:eastAsia="sk-SK"/>
            </w:rPr>
            <w:t>IČO:</w:t>
          </w:r>
        </w:p>
      </w:tc>
      <w:tc>
        <w:tcPr>
          <w:tcW w:w="232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1E6E5E" w:rsidP="001E6E5E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4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544C9C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544C9C" w:rsidP="00A11EC5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4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1E6E5E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9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544C9C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544C9C" w:rsidP="00860047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904BE5" w:rsidP="007B0D84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904BE5" w:rsidRPr="004814BD" w:rsidRDefault="00904BE5" w:rsidP="00904BE5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18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4814BD" w:rsidRPr="004814BD" w:rsidRDefault="004814BD" w:rsidP="004814BD">
          <w:pPr>
            <w:jc w:val="center"/>
            <w:rPr>
              <w:sz w:val="18"/>
              <w:szCs w:val="18"/>
              <w:lang w:eastAsia="sk-SK"/>
            </w:rPr>
          </w:pPr>
        </w:p>
      </w:tc>
      <w:tc>
        <w:tcPr>
          <w:tcW w:w="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</w:p>
      </w:tc>
      <w:tc>
        <w:tcPr>
          <w:tcW w:w="5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  <w:r w:rsidRPr="004814BD">
            <w:rPr>
              <w:sz w:val="18"/>
              <w:szCs w:val="18"/>
              <w:lang w:eastAsia="sk-SK"/>
            </w:rPr>
            <w:t>DIČ:</w:t>
          </w:r>
        </w:p>
      </w:tc>
      <w:tc>
        <w:tcPr>
          <w:tcW w:w="232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7B326B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2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237EA1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237EA1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2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544C9C" w:rsidP="00A11EC5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544C9C" w:rsidP="00860047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544C9C" w:rsidP="00A11EC5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544C9C" w:rsidP="007B0D84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544C9C" w:rsidP="00A11EC5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4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544C9C" w:rsidP="0022134B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8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860047" w:rsidRPr="004814BD" w:rsidRDefault="00544C9C" w:rsidP="00860047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</w:tr>
  </w:tbl>
  <w:p w:rsidR="006B2738" w:rsidRDefault="006B2738" w:rsidP="00017C9C">
    <w:pPr>
      <w:pStyle w:val="a3"/>
      <w:tabs>
        <w:tab w:val="clear" w:pos="8306"/>
        <w:tab w:val="right" w:pos="9214"/>
      </w:tabs>
      <w:ind w:right="-1"/>
    </w:pP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F42F5B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9E709B"/>
    <w:multiLevelType w:val="multilevel"/>
    <w:tmpl w:val="1F64C42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" w15:restartNumberingAfterBreak="0">
    <w:nsid w:val="08815F56"/>
    <w:multiLevelType w:val="hybridMultilevel"/>
    <w:tmpl w:val="4D18F1AC"/>
    <w:lvl w:ilvl="0" w:tplc="6660CD6E">
      <w:start w:val="1"/>
      <w:numFmt w:val="bullet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96F9A"/>
    <w:multiLevelType w:val="singleLevel"/>
    <w:tmpl w:val="5D0268C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5" w15:restartNumberingAfterBreak="0">
    <w:nsid w:val="096A62F2"/>
    <w:multiLevelType w:val="hybridMultilevel"/>
    <w:tmpl w:val="DA7EC2D2"/>
    <w:lvl w:ilvl="0" w:tplc="0324DB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7" w15:restartNumberingAfterBreak="0">
    <w:nsid w:val="0D471DDA"/>
    <w:multiLevelType w:val="singleLevel"/>
    <w:tmpl w:val="8B5A63A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8" w15:restartNumberingAfterBreak="0">
    <w:nsid w:val="120040D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25042F5"/>
    <w:multiLevelType w:val="hybridMultilevel"/>
    <w:tmpl w:val="4274CDA8"/>
    <w:lvl w:ilvl="0" w:tplc="00C4A2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1B5D6AAD"/>
    <w:multiLevelType w:val="multilevel"/>
    <w:tmpl w:val="F08CE068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11151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2693DE2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7814568"/>
    <w:multiLevelType w:val="hybridMultilevel"/>
    <w:tmpl w:val="F08CE068"/>
    <w:lvl w:ilvl="0" w:tplc="0CD82222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680A55"/>
    <w:multiLevelType w:val="multilevel"/>
    <w:tmpl w:val="145A2D4E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9" w15:restartNumberingAfterBreak="0">
    <w:nsid w:val="2F86718C"/>
    <w:multiLevelType w:val="hybridMultilevel"/>
    <w:tmpl w:val="D33654DE"/>
    <w:lvl w:ilvl="0" w:tplc="21BA27C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6BE61C3"/>
    <w:multiLevelType w:val="singleLevel"/>
    <w:tmpl w:val="A8D0C6D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2" w15:restartNumberingAfterBreak="0">
    <w:nsid w:val="3D9718A3"/>
    <w:multiLevelType w:val="singleLevel"/>
    <w:tmpl w:val="DA1CE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3" w15:restartNumberingAfterBreak="0">
    <w:nsid w:val="40DE3F45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5" w15:restartNumberingAfterBreak="0">
    <w:nsid w:val="453B31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47931220"/>
    <w:multiLevelType w:val="hybridMultilevel"/>
    <w:tmpl w:val="EA08D02A"/>
    <w:lvl w:ilvl="0" w:tplc="9574F5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821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4B7F17B9"/>
    <w:multiLevelType w:val="hybridMultilevel"/>
    <w:tmpl w:val="9370AB54"/>
    <w:lvl w:ilvl="0" w:tplc="25B4E972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69B336E"/>
    <w:multiLevelType w:val="multilevel"/>
    <w:tmpl w:val="9370AB54"/>
    <w:lvl w:ilvl="0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A506CEA"/>
    <w:multiLevelType w:val="singleLevel"/>
    <w:tmpl w:val="A164E2F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1" w15:restartNumberingAfterBreak="0">
    <w:nsid w:val="6B7B2C9E"/>
    <w:multiLevelType w:val="singleLevel"/>
    <w:tmpl w:val="E1BA20CA"/>
    <w:lvl w:ilvl="0">
      <w:start w:val="7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1F47DB9"/>
    <w:multiLevelType w:val="hybridMultilevel"/>
    <w:tmpl w:val="33EC6EA0"/>
    <w:lvl w:ilvl="0" w:tplc="0456B96E">
      <w:start w:val="84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73473C13"/>
    <w:multiLevelType w:val="singleLevel"/>
    <w:tmpl w:val="2A50B936"/>
    <w:lvl w:ilvl="0">
      <w:start w:val="1"/>
      <w:numFmt w:val="upperLetter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8CD316A"/>
    <w:multiLevelType w:val="singleLevel"/>
    <w:tmpl w:val="28081C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B7D3FDC"/>
    <w:multiLevelType w:val="multilevel"/>
    <w:tmpl w:val="3A7296C4"/>
    <w:lvl w:ilvl="0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7BE601B5"/>
    <w:multiLevelType w:val="singleLevel"/>
    <w:tmpl w:val="641CE0A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33"/>
  </w:num>
  <w:num w:numId="3">
    <w:abstractNumId w:val="22"/>
  </w:num>
  <w:num w:numId="4">
    <w:abstractNumId w:val="21"/>
  </w:num>
  <w:num w:numId="5">
    <w:abstractNumId w:val="21"/>
  </w:num>
  <w:num w:numId="6">
    <w:abstractNumId w:val="10"/>
  </w:num>
  <w:num w:numId="7">
    <w:abstractNumId w:val="8"/>
  </w:num>
  <w:num w:numId="8">
    <w:abstractNumId w:val="20"/>
  </w:num>
  <w:num w:numId="9">
    <w:abstractNumId w:val="21"/>
    <w:lvlOverride w:ilvl="0">
      <w:startOverride w:val="1"/>
    </w:lvlOverride>
  </w:num>
  <w:num w:numId="10">
    <w:abstractNumId w:val="21"/>
    <w:lvlOverride w:ilvl="0">
      <w:startOverride w:val="1"/>
    </w:lvlOverride>
  </w:num>
  <w:num w:numId="11">
    <w:abstractNumId w:val="25"/>
  </w:num>
  <w:num w:numId="12">
    <w:abstractNumId w:val="16"/>
  </w:num>
  <w:num w:numId="13">
    <w:abstractNumId w:val="14"/>
  </w:num>
  <w:num w:numId="14">
    <w:abstractNumId w:val="27"/>
  </w:num>
  <w:num w:numId="15">
    <w:abstractNumId w:val="31"/>
  </w:num>
  <w:num w:numId="16">
    <w:abstractNumId w:val="15"/>
  </w:num>
  <w:num w:numId="17">
    <w:abstractNumId w:val="23"/>
  </w:num>
  <w:num w:numId="18">
    <w:abstractNumId w:val="36"/>
  </w:num>
  <w:num w:numId="19">
    <w:abstractNumId w:val="34"/>
  </w:num>
  <w:num w:numId="20">
    <w:abstractNumId w:val="4"/>
  </w:num>
  <w:num w:numId="21">
    <w:abstractNumId w:val="18"/>
  </w:num>
  <w:num w:numId="22">
    <w:abstractNumId w:val="1"/>
  </w:num>
  <w:num w:numId="23">
    <w:abstractNumId w:val="2"/>
  </w:num>
  <w:num w:numId="24">
    <w:abstractNumId w:val="6"/>
  </w:num>
  <w:num w:numId="25">
    <w:abstractNumId w:val="33"/>
  </w:num>
  <w:num w:numId="26">
    <w:abstractNumId w:val="21"/>
    <w:lvlOverride w:ilvl="0">
      <w:startOverride w:val="1"/>
    </w:lvlOverride>
  </w:num>
  <w:num w:numId="27">
    <w:abstractNumId w:val="21"/>
    <w:lvlOverride w:ilvl="0">
      <w:startOverride w:val="1"/>
    </w:lvlOverride>
  </w:num>
  <w:num w:numId="28">
    <w:abstractNumId w:val="21"/>
    <w:lvlOverride w:ilvl="0">
      <w:startOverride w:val="1"/>
    </w:lvlOverride>
  </w:num>
  <w:num w:numId="29">
    <w:abstractNumId w:val="21"/>
    <w:lvlOverride w:ilvl="0">
      <w:startOverride w:val="1"/>
    </w:lvlOverride>
  </w:num>
  <w:num w:numId="30">
    <w:abstractNumId w:val="21"/>
    <w:lvlOverride w:ilvl="0">
      <w:startOverride w:val="1"/>
    </w:lvlOverride>
  </w:num>
  <w:num w:numId="31">
    <w:abstractNumId w:val="33"/>
    <w:lvlOverride w:ilvl="0">
      <w:startOverride w:val="18"/>
    </w:lvlOverride>
  </w:num>
  <w:num w:numId="32">
    <w:abstractNumId w:val="17"/>
  </w:num>
  <w:num w:numId="33">
    <w:abstractNumId w:val="11"/>
  </w:num>
  <w:num w:numId="34">
    <w:abstractNumId w:val="28"/>
  </w:num>
  <w:num w:numId="35">
    <w:abstractNumId w:val="29"/>
  </w:num>
  <w:num w:numId="36">
    <w:abstractNumId w:val="24"/>
  </w:num>
  <w:num w:numId="37">
    <w:abstractNumId w:val="13"/>
  </w:num>
  <w:num w:numId="38">
    <w:abstractNumId w:val="12"/>
  </w:num>
  <w:num w:numId="39">
    <w:abstractNumId w:val="35"/>
  </w:num>
  <w:num w:numId="40">
    <w:abstractNumId w:val="3"/>
  </w:num>
  <w:num w:numId="41">
    <w:abstractNumId w:val="37"/>
  </w:num>
  <w:num w:numId="42">
    <w:abstractNumId w:val="32"/>
  </w:num>
  <w:num w:numId="43">
    <w:abstractNumId w:val="7"/>
  </w:num>
  <w:num w:numId="44">
    <w:abstractNumId w:val="30"/>
  </w:num>
  <w:num w:numId="45">
    <w:abstractNumId w:val="9"/>
  </w:num>
  <w:num w:numId="46">
    <w:abstractNumId w:val="19"/>
  </w:num>
  <w:num w:numId="47">
    <w:abstractNumId w:val="26"/>
  </w:num>
  <w:num w:numId="48">
    <w:abstractNumId w:val="21"/>
    <w:lvlOverride w:ilvl="0">
      <w:startOverride w:val="3"/>
    </w:lvlOverride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CB0"/>
    <w:rsid w:val="000054B2"/>
    <w:rsid w:val="00014DE4"/>
    <w:rsid w:val="00017C9C"/>
    <w:rsid w:val="00043DA9"/>
    <w:rsid w:val="00061FEE"/>
    <w:rsid w:val="00072524"/>
    <w:rsid w:val="00072A0C"/>
    <w:rsid w:val="0008431C"/>
    <w:rsid w:val="00085D70"/>
    <w:rsid w:val="000A6B43"/>
    <w:rsid w:val="000B0CC4"/>
    <w:rsid w:val="000B4454"/>
    <w:rsid w:val="000C0340"/>
    <w:rsid w:val="000C1365"/>
    <w:rsid w:val="000C6179"/>
    <w:rsid w:val="000C670E"/>
    <w:rsid w:val="000D0834"/>
    <w:rsid w:val="000E0E6D"/>
    <w:rsid w:val="000E2A44"/>
    <w:rsid w:val="000F1ED8"/>
    <w:rsid w:val="001146F3"/>
    <w:rsid w:val="0011632B"/>
    <w:rsid w:val="00131C81"/>
    <w:rsid w:val="00136AF1"/>
    <w:rsid w:val="00137091"/>
    <w:rsid w:val="0014690A"/>
    <w:rsid w:val="00172226"/>
    <w:rsid w:val="00187E72"/>
    <w:rsid w:val="00197975"/>
    <w:rsid w:val="001A0DAC"/>
    <w:rsid w:val="001A1AE7"/>
    <w:rsid w:val="001A3A34"/>
    <w:rsid w:val="001C4649"/>
    <w:rsid w:val="001D36AE"/>
    <w:rsid w:val="001E6E5E"/>
    <w:rsid w:val="001F4FD2"/>
    <w:rsid w:val="002059FA"/>
    <w:rsid w:val="002176A7"/>
    <w:rsid w:val="0022134B"/>
    <w:rsid w:val="00221932"/>
    <w:rsid w:val="002260EB"/>
    <w:rsid w:val="00237EA1"/>
    <w:rsid w:val="00261008"/>
    <w:rsid w:val="00286805"/>
    <w:rsid w:val="00290306"/>
    <w:rsid w:val="00291392"/>
    <w:rsid w:val="002A30D7"/>
    <w:rsid w:val="002A3955"/>
    <w:rsid w:val="002C249C"/>
    <w:rsid w:val="002C4590"/>
    <w:rsid w:val="002C68C3"/>
    <w:rsid w:val="002D1FE7"/>
    <w:rsid w:val="002E131E"/>
    <w:rsid w:val="002F065B"/>
    <w:rsid w:val="002F51BB"/>
    <w:rsid w:val="003004D4"/>
    <w:rsid w:val="0030100E"/>
    <w:rsid w:val="003073F4"/>
    <w:rsid w:val="00330A70"/>
    <w:rsid w:val="00335CD8"/>
    <w:rsid w:val="003845C7"/>
    <w:rsid w:val="003860E9"/>
    <w:rsid w:val="003B68B5"/>
    <w:rsid w:val="003C20DE"/>
    <w:rsid w:val="003C32AF"/>
    <w:rsid w:val="003E406D"/>
    <w:rsid w:val="003F2FC2"/>
    <w:rsid w:val="00435B20"/>
    <w:rsid w:val="004802B5"/>
    <w:rsid w:val="004814BD"/>
    <w:rsid w:val="0049781E"/>
    <w:rsid w:val="004E01C3"/>
    <w:rsid w:val="004E05A9"/>
    <w:rsid w:val="004E0DC5"/>
    <w:rsid w:val="00505DC8"/>
    <w:rsid w:val="00515AE9"/>
    <w:rsid w:val="00517863"/>
    <w:rsid w:val="00535F83"/>
    <w:rsid w:val="00541C62"/>
    <w:rsid w:val="00544341"/>
    <w:rsid w:val="005447D6"/>
    <w:rsid w:val="00544C9C"/>
    <w:rsid w:val="00560547"/>
    <w:rsid w:val="00565F51"/>
    <w:rsid w:val="00572373"/>
    <w:rsid w:val="00590486"/>
    <w:rsid w:val="0059680A"/>
    <w:rsid w:val="005A393E"/>
    <w:rsid w:val="005A43D5"/>
    <w:rsid w:val="005C2C16"/>
    <w:rsid w:val="005D076F"/>
    <w:rsid w:val="005D5747"/>
    <w:rsid w:val="00617C1B"/>
    <w:rsid w:val="00623CB0"/>
    <w:rsid w:val="006339A9"/>
    <w:rsid w:val="0065398D"/>
    <w:rsid w:val="006601C2"/>
    <w:rsid w:val="00674D9D"/>
    <w:rsid w:val="006903E6"/>
    <w:rsid w:val="006A2689"/>
    <w:rsid w:val="006B2738"/>
    <w:rsid w:val="006C0B57"/>
    <w:rsid w:val="006E61BD"/>
    <w:rsid w:val="006F388E"/>
    <w:rsid w:val="006F38E2"/>
    <w:rsid w:val="0070221D"/>
    <w:rsid w:val="00711068"/>
    <w:rsid w:val="00721831"/>
    <w:rsid w:val="007327AA"/>
    <w:rsid w:val="00734AC9"/>
    <w:rsid w:val="00745D26"/>
    <w:rsid w:val="00753DAE"/>
    <w:rsid w:val="007564D0"/>
    <w:rsid w:val="00774093"/>
    <w:rsid w:val="007A16F8"/>
    <w:rsid w:val="007B0D84"/>
    <w:rsid w:val="007B326B"/>
    <w:rsid w:val="007B6608"/>
    <w:rsid w:val="007C339D"/>
    <w:rsid w:val="0080678B"/>
    <w:rsid w:val="00806977"/>
    <w:rsid w:val="00823E54"/>
    <w:rsid w:val="00824856"/>
    <w:rsid w:val="00825000"/>
    <w:rsid w:val="00826246"/>
    <w:rsid w:val="008315A1"/>
    <w:rsid w:val="008371CC"/>
    <w:rsid w:val="00837527"/>
    <w:rsid w:val="00837628"/>
    <w:rsid w:val="00842774"/>
    <w:rsid w:val="00850A44"/>
    <w:rsid w:val="00860047"/>
    <w:rsid w:val="00870993"/>
    <w:rsid w:val="00874F1D"/>
    <w:rsid w:val="00881202"/>
    <w:rsid w:val="00894D22"/>
    <w:rsid w:val="008B0BB8"/>
    <w:rsid w:val="008F2B6F"/>
    <w:rsid w:val="008F7FCE"/>
    <w:rsid w:val="00904BE5"/>
    <w:rsid w:val="009218F3"/>
    <w:rsid w:val="00923541"/>
    <w:rsid w:val="00924915"/>
    <w:rsid w:val="009300E4"/>
    <w:rsid w:val="009375FA"/>
    <w:rsid w:val="0096738A"/>
    <w:rsid w:val="009753FF"/>
    <w:rsid w:val="009875D2"/>
    <w:rsid w:val="00995431"/>
    <w:rsid w:val="009A244B"/>
    <w:rsid w:val="009B228B"/>
    <w:rsid w:val="009B479F"/>
    <w:rsid w:val="009E26B5"/>
    <w:rsid w:val="009E4DCE"/>
    <w:rsid w:val="00A10154"/>
    <w:rsid w:val="00A11EC5"/>
    <w:rsid w:val="00A51AE7"/>
    <w:rsid w:val="00A8255D"/>
    <w:rsid w:val="00AA589F"/>
    <w:rsid w:val="00AA6674"/>
    <w:rsid w:val="00AD4013"/>
    <w:rsid w:val="00AE1C0C"/>
    <w:rsid w:val="00AE684E"/>
    <w:rsid w:val="00AF6D22"/>
    <w:rsid w:val="00B023B6"/>
    <w:rsid w:val="00B305C4"/>
    <w:rsid w:val="00B54F38"/>
    <w:rsid w:val="00B932A4"/>
    <w:rsid w:val="00BB301E"/>
    <w:rsid w:val="00BB5853"/>
    <w:rsid w:val="00BB6A60"/>
    <w:rsid w:val="00BC00D8"/>
    <w:rsid w:val="00BE46A1"/>
    <w:rsid w:val="00BF1DC3"/>
    <w:rsid w:val="00C00CC2"/>
    <w:rsid w:val="00C04CE7"/>
    <w:rsid w:val="00C2380B"/>
    <w:rsid w:val="00C266B1"/>
    <w:rsid w:val="00C91709"/>
    <w:rsid w:val="00C9414F"/>
    <w:rsid w:val="00CC1734"/>
    <w:rsid w:val="00CE625E"/>
    <w:rsid w:val="00D01A1D"/>
    <w:rsid w:val="00D14ABB"/>
    <w:rsid w:val="00D33C47"/>
    <w:rsid w:val="00D52901"/>
    <w:rsid w:val="00D608B8"/>
    <w:rsid w:val="00D6723C"/>
    <w:rsid w:val="00DA7B1F"/>
    <w:rsid w:val="00DD7EE5"/>
    <w:rsid w:val="00DE1D52"/>
    <w:rsid w:val="00DE73F3"/>
    <w:rsid w:val="00E01D67"/>
    <w:rsid w:val="00E36189"/>
    <w:rsid w:val="00E65555"/>
    <w:rsid w:val="00E70643"/>
    <w:rsid w:val="00E73902"/>
    <w:rsid w:val="00E85882"/>
    <w:rsid w:val="00E91D15"/>
    <w:rsid w:val="00EA2BB8"/>
    <w:rsid w:val="00EA433F"/>
    <w:rsid w:val="00EB4CB9"/>
    <w:rsid w:val="00ED5897"/>
    <w:rsid w:val="00EE115B"/>
    <w:rsid w:val="00EF43DB"/>
    <w:rsid w:val="00EF7926"/>
    <w:rsid w:val="00F03117"/>
    <w:rsid w:val="00F8388F"/>
    <w:rsid w:val="00F96E90"/>
    <w:rsid w:val="00FA6DAD"/>
    <w:rsid w:val="00FE0866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EBAB68"/>
  <w15:docId w15:val="{C67E1856-5FEA-40D4-B63F-380BE053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2"/>
      </w:numPr>
      <w:outlineLvl w:val="0"/>
    </w:pPr>
    <w:rPr>
      <w:b/>
      <w:caps/>
      <w:sz w:val="18"/>
    </w:rPr>
  </w:style>
  <w:style w:type="paragraph" w:styleId="2">
    <w:name w:val="heading 2"/>
    <w:basedOn w:val="a"/>
    <w:next w:val="a"/>
    <w:link w:val="20"/>
    <w:qFormat/>
    <w:pPr>
      <w:keepNext/>
      <w:numPr>
        <w:numId w:val="5"/>
      </w:numPr>
      <w:outlineLvl w:val="1"/>
    </w:pPr>
    <w:rPr>
      <w:b/>
      <w:sz w:val="18"/>
      <w:lang w:val="x-none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Geneva" w:hAnsi="Geneva"/>
      <w:b/>
      <w:i/>
      <w:snapToGrid w:val="0"/>
      <w:color w:val="000000"/>
      <w:sz w:val="16"/>
      <w:lang w:val="en-GB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aps/>
      <w:sz w:val="3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sz w:val="5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Geneva" w:hAnsi="Geneva"/>
      <w:snapToGrid w:val="0"/>
      <w:color w:val="000000"/>
      <w:sz w:val="14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"/>
    <w:aliases w:val=" Char"/>
    <w:basedOn w:val="a"/>
    <w:link w:val="a7"/>
    <w:pPr>
      <w:ind w:left="426"/>
      <w:jc w:val="both"/>
    </w:pPr>
    <w:rPr>
      <w:sz w:val="18"/>
    </w:rPr>
  </w:style>
  <w:style w:type="paragraph" w:customStyle="1" w:styleId="Uvod">
    <w:name w:val="Uvod"/>
    <w:basedOn w:val="a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a"/>
    <w:rPr>
      <w:color w:val="000000"/>
      <w:sz w:val="18"/>
    </w:rPr>
  </w:style>
  <w:style w:type="paragraph" w:customStyle="1" w:styleId="Pismenka">
    <w:name w:val="Pismenka"/>
    <w:basedOn w:val="a6"/>
    <w:pPr>
      <w:numPr>
        <w:numId w:val="8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10">
    <w:name w:val="toc 1"/>
    <w:basedOn w:val="a"/>
    <w:next w:val="a"/>
    <w:autoRedefine/>
    <w:semiHidden/>
    <w:pPr>
      <w:tabs>
        <w:tab w:val="left" w:pos="426"/>
        <w:tab w:val="right" w:pos="9203"/>
      </w:tabs>
      <w:spacing w:before="360"/>
    </w:pPr>
    <w:rPr>
      <w:b/>
      <w:bCs/>
      <w:caps/>
      <w:noProof/>
      <w:szCs w:val="18"/>
    </w:rPr>
  </w:style>
  <w:style w:type="paragraph" w:styleId="21">
    <w:name w:val="toc 2"/>
    <w:basedOn w:val="a"/>
    <w:next w:val="a"/>
    <w:autoRedefine/>
    <w:semiHidden/>
    <w:pPr>
      <w:tabs>
        <w:tab w:val="left" w:pos="993"/>
        <w:tab w:val="right" w:pos="9203"/>
      </w:tabs>
      <w:ind w:firstLine="567"/>
    </w:pPr>
    <w:rPr>
      <w:b/>
      <w:bCs/>
      <w:noProof/>
      <w:szCs w:val="18"/>
    </w:rPr>
  </w:style>
  <w:style w:type="paragraph" w:styleId="30">
    <w:name w:val="toc 3"/>
    <w:basedOn w:val="a"/>
    <w:next w:val="a"/>
    <w:autoRedefine/>
    <w:semiHidden/>
    <w:pPr>
      <w:ind w:left="200"/>
    </w:pPr>
    <w:rPr>
      <w:szCs w:val="24"/>
    </w:rPr>
  </w:style>
  <w:style w:type="paragraph" w:styleId="40">
    <w:name w:val="toc 4"/>
    <w:basedOn w:val="a"/>
    <w:next w:val="a"/>
    <w:autoRedefine/>
    <w:semiHidden/>
    <w:pPr>
      <w:ind w:left="400"/>
    </w:pPr>
    <w:rPr>
      <w:szCs w:val="24"/>
    </w:rPr>
  </w:style>
  <w:style w:type="paragraph" w:styleId="50">
    <w:name w:val="toc 5"/>
    <w:basedOn w:val="a"/>
    <w:next w:val="a"/>
    <w:autoRedefine/>
    <w:semiHidden/>
    <w:pPr>
      <w:ind w:left="600"/>
    </w:pPr>
    <w:rPr>
      <w:szCs w:val="24"/>
    </w:rPr>
  </w:style>
  <w:style w:type="paragraph" w:styleId="60">
    <w:name w:val="toc 6"/>
    <w:basedOn w:val="a"/>
    <w:next w:val="a"/>
    <w:autoRedefine/>
    <w:semiHidden/>
    <w:pPr>
      <w:ind w:left="800"/>
    </w:pPr>
    <w:rPr>
      <w:szCs w:val="24"/>
    </w:rPr>
  </w:style>
  <w:style w:type="paragraph" w:styleId="70">
    <w:name w:val="toc 7"/>
    <w:basedOn w:val="a"/>
    <w:next w:val="a"/>
    <w:autoRedefine/>
    <w:semiHidden/>
    <w:pPr>
      <w:ind w:left="1000"/>
    </w:pPr>
    <w:rPr>
      <w:szCs w:val="24"/>
    </w:rPr>
  </w:style>
  <w:style w:type="paragraph" w:styleId="80">
    <w:name w:val="toc 8"/>
    <w:basedOn w:val="a"/>
    <w:next w:val="a"/>
    <w:autoRedefine/>
    <w:semiHidden/>
    <w:pPr>
      <w:ind w:left="1200"/>
    </w:pPr>
    <w:rPr>
      <w:szCs w:val="24"/>
    </w:rPr>
  </w:style>
  <w:style w:type="paragraph" w:styleId="90">
    <w:name w:val="toc 9"/>
    <w:basedOn w:val="a"/>
    <w:next w:val="a"/>
    <w:autoRedefine/>
    <w:semiHidden/>
    <w:pPr>
      <w:ind w:left="1400"/>
    </w:pPr>
    <w:rPr>
      <w:szCs w:val="24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Body Text Indent"/>
    <w:basedOn w:val="a"/>
    <w:pPr>
      <w:spacing w:after="120"/>
      <w:ind w:left="283"/>
    </w:pPr>
  </w:style>
  <w:style w:type="character" w:customStyle="1" w:styleId="a7">
    <w:name w:val="Основной текст Знак"/>
    <w:aliases w:val=" Char Знак"/>
    <w:link w:val="a6"/>
    <w:rsid w:val="00F96E90"/>
    <w:rPr>
      <w:sz w:val="18"/>
      <w:lang w:val="sk-SK" w:eastAsia="en-US" w:bidi="ar-SA"/>
    </w:rPr>
  </w:style>
  <w:style w:type="paragraph" w:customStyle="1" w:styleId="odstavec">
    <w:name w:val="odstavec"/>
    <w:basedOn w:val="a"/>
    <w:link w:val="odstavecChar"/>
    <w:autoRedefine/>
    <w:rsid w:val="00197975"/>
    <w:pPr>
      <w:tabs>
        <w:tab w:val="left" w:pos="567"/>
        <w:tab w:val="left" w:pos="1276"/>
      </w:tabs>
      <w:suppressAutoHyphens/>
      <w:ind w:left="426" w:right="-79"/>
      <w:jc w:val="both"/>
    </w:pPr>
    <w:rPr>
      <w:rFonts w:ascii="Verdana" w:eastAsia="SimSun-ExtB" w:hAnsi="Verdana"/>
      <w:color w:val="000000"/>
      <w:lang w:val="x-none" w:eastAsia="x-none"/>
    </w:rPr>
  </w:style>
  <w:style w:type="character" w:customStyle="1" w:styleId="odstavecChar">
    <w:name w:val="odstavec Char"/>
    <w:link w:val="odstavec"/>
    <w:rsid w:val="00197975"/>
    <w:rPr>
      <w:rFonts w:ascii="Verdana" w:eastAsia="SimSun-ExtB" w:hAnsi="Verdana"/>
      <w:color w:val="000000"/>
      <w:lang w:val="x-none" w:eastAsia="x-none"/>
    </w:rPr>
  </w:style>
  <w:style w:type="paragraph" w:customStyle="1" w:styleId="Value">
    <w:name w:val="Value"/>
    <w:basedOn w:val="a"/>
    <w:link w:val="ValueChar"/>
    <w:qFormat/>
    <w:rsid w:val="00E73902"/>
    <w:pPr>
      <w:jc w:val="right"/>
    </w:pPr>
    <w:rPr>
      <w:rFonts w:ascii="Arial Narrow" w:hAnsi="Arial Narrow"/>
      <w:sz w:val="22"/>
      <w:szCs w:val="24"/>
      <w:lang w:val="x-none"/>
    </w:rPr>
  </w:style>
  <w:style w:type="character" w:customStyle="1" w:styleId="ValueChar">
    <w:name w:val="Value Char"/>
    <w:link w:val="Value"/>
    <w:locked/>
    <w:rsid w:val="00E73902"/>
    <w:rPr>
      <w:rFonts w:ascii="Arial Narrow" w:hAnsi="Arial Narrow"/>
      <w:sz w:val="22"/>
      <w:szCs w:val="24"/>
      <w:lang w:val="x-none" w:eastAsia="en-US"/>
    </w:rPr>
  </w:style>
  <w:style w:type="character" w:customStyle="1" w:styleId="20">
    <w:name w:val="Заголовок 2 Знак"/>
    <w:link w:val="2"/>
    <w:rsid w:val="00826246"/>
    <w:rPr>
      <w:b/>
      <w:sz w:val="18"/>
      <w:lang w:eastAsia="en-US"/>
    </w:rPr>
  </w:style>
  <w:style w:type="paragraph" w:customStyle="1" w:styleId="TopHeader">
    <w:name w:val="Top Header"/>
    <w:basedOn w:val="a"/>
    <w:qFormat/>
    <w:rsid w:val="00850A44"/>
    <w:pPr>
      <w:jc w:val="center"/>
    </w:pPr>
    <w:rPr>
      <w:rFonts w:ascii="Arial Narrow" w:hAnsi="Arial Narrow"/>
      <w:b/>
      <w:bCs/>
      <w:sz w:val="22"/>
      <w:szCs w:val="22"/>
    </w:rPr>
  </w:style>
  <w:style w:type="paragraph" w:customStyle="1" w:styleId="ValueCentered">
    <w:name w:val="Value Centered"/>
    <w:basedOn w:val="Value"/>
    <w:link w:val="ValueCenteredChar"/>
    <w:qFormat/>
    <w:rsid w:val="00E70643"/>
    <w:pPr>
      <w:jc w:val="center"/>
    </w:pPr>
    <w:rPr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E70643"/>
    <w:rPr>
      <w:rFonts w:ascii="Arial Narrow" w:hAnsi="Arial Narrow"/>
      <w:sz w:val="22"/>
      <w:szCs w:val="24"/>
      <w:lang w:val="x-none" w:eastAsia="en-US"/>
    </w:rPr>
  </w:style>
  <w:style w:type="paragraph" w:styleId="ab">
    <w:name w:val="Balloon Text"/>
    <w:basedOn w:val="a"/>
    <w:link w:val="ac"/>
    <w:rsid w:val="004E05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E05A9"/>
    <w:rPr>
      <w:rFonts w:ascii="Tahoma" w:hAnsi="Tahoma" w:cs="Tahoma"/>
      <w:sz w:val="16"/>
      <w:szCs w:val="16"/>
      <w:lang w:eastAsia="en-US"/>
    </w:rPr>
  </w:style>
  <w:style w:type="character" w:customStyle="1" w:styleId="ra">
    <w:name w:val="ra"/>
    <w:basedOn w:val="a0"/>
    <w:rsid w:val="007B326B"/>
  </w:style>
  <w:style w:type="character" w:customStyle="1" w:styleId="ro">
    <w:name w:val="ro"/>
    <w:basedOn w:val="a0"/>
    <w:rsid w:val="00221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8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879</Words>
  <Characters>5012</Characters>
  <Application>Microsoft Office Word</Application>
  <DocSecurity>0</DocSecurity>
  <Lines>41</Lines>
  <Paragraphs>11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Všeobecné údaje</vt:lpstr>
      <vt:lpstr>Všeobecné údaje</vt:lpstr>
      <vt:lpstr>Všeobecné údaje</vt:lpstr>
    </vt:vector>
  </TitlesOfParts>
  <Company>KPMG</Company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creator>imachac</dc:creator>
  <cp:lastModifiedBy>Olga Loievska</cp:lastModifiedBy>
  <cp:revision>2</cp:revision>
  <cp:lastPrinted>2018-06-14T10:58:00Z</cp:lastPrinted>
  <dcterms:created xsi:type="dcterms:W3CDTF">2021-05-06T16:26:00Z</dcterms:created>
  <dcterms:modified xsi:type="dcterms:W3CDTF">2021-05-06T16:26:00Z</dcterms:modified>
</cp:coreProperties>
</file>