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A. INFORMÁCIE O ÚČTOVNEJ JEDNOTKE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1. Obchodné meno a sídlo spoločnosti: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Spoločnosť - Ambulancia MUDr.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Sninčáková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Marta spol. s.r.o. (ďalej len spoločnosť) je spoločnosť s ručením obmedzeným, ktorá bola založená spoločenskou zmluvou zo dňa 27.01.2005 a do obchodného registra bola zapísaná dňa 27.01.2005 (Obchodný register Okresného súdu Bratislava I v Bratislave, oddiel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Sro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, vložka číslo 34694/B). Spoločnosť má sídlo na Nám. 1 .mája 6, 903 01 Senec, Slovenská republika, identifikačné číslo: 2182773.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2. Hlavnými činnosťami spoločnosti sú: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– kúpa tovaru na účely jeho predaja iným prevádzkovateľom živnosti (veľkoobchod) v rozsahu voľnej živnosti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- ambulancia v odbore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dermatovenerológia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3. Počet zamestnancov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>Spoločnosť zamestnávala v roku 201</w:t>
      </w:r>
      <w:r w:rsidR="00027D49">
        <w:rPr>
          <w:rFonts w:asciiTheme="minorHAnsi" w:hAnsiTheme="minorHAnsi"/>
          <w:color w:val="auto"/>
          <w:sz w:val="18"/>
          <w:szCs w:val="18"/>
        </w:rPr>
        <w:t>9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 troch zamestnancov na trvalý pracovný pomer.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4. Údaje o neobmedzenom ručení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Spoločnosť nie je neobmedzene ručiacim spoločníkom v iných spoločnostiach podľa § 56 ods. 5 Obchodného zákonníka.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5. Právny dôvod na zostavenie účtovnej závierky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>Účtovná závierka Spoločnosti k 31. 12 20</w:t>
      </w:r>
      <w:r w:rsidR="00A30DAD">
        <w:rPr>
          <w:rFonts w:asciiTheme="minorHAnsi" w:hAnsiTheme="minorHAnsi"/>
          <w:color w:val="auto"/>
          <w:sz w:val="18"/>
          <w:szCs w:val="18"/>
        </w:rPr>
        <w:t>20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 je zostavená ako riadna účtovná závierka podľa § 17 ods. 6 zákona NR SR č. 431/2002 Z. z. o účtovníctve za účtovné obdobie od 01. januára 201</w:t>
      </w:r>
      <w:r w:rsidR="00027D49">
        <w:rPr>
          <w:rFonts w:asciiTheme="minorHAnsi" w:hAnsiTheme="minorHAnsi"/>
          <w:color w:val="auto"/>
          <w:sz w:val="18"/>
          <w:szCs w:val="18"/>
        </w:rPr>
        <w:t>9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 do 31. decembra 201</w:t>
      </w:r>
      <w:r w:rsidR="00027D49">
        <w:rPr>
          <w:rFonts w:asciiTheme="minorHAnsi" w:hAnsiTheme="minorHAnsi"/>
          <w:color w:val="auto"/>
          <w:sz w:val="18"/>
          <w:szCs w:val="18"/>
        </w:rPr>
        <w:t>9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6. Dátum schválenia účtovnej závierky za predchádzajúce účtovné obdobie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Účtovná závierka spoločnosti za predchádzajúce účtovné obdobie od 01.01.2018 do 31.12.2018 bola schválená dňa 17.03.2018.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7. Zverejnenie účtovnej závierky za predchádzajúce účtovné obdobie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AC095B">
        <w:rPr>
          <w:rFonts w:asciiTheme="minorHAnsi" w:hAnsiTheme="minorHAnsi"/>
          <w:color w:val="auto"/>
          <w:sz w:val="20"/>
          <w:szCs w:val="20"/>
        </w:rPr>
        <w:t>Účtovná závierka spoločnosti k 31.decembru 20</w:t>
      </w:r>
      <w:r w:rsidR="00A30DAD">
        <w:rPr>
          <w:rFonts w:asciiTheme="minorHAnsi" w:hAnsiTheme="minorHAnsi"/>
          <w:color w:val="auto"/>
          <w:sz w:val="20"/>
          <w:szCs w:val="20"/>
        </w:rPr>
        <w:t>20</w:t>
      </w:r>
      <w:r w:rsidR="00027D49">
        <w:rPr>
          <w:rFonts w:asciiTheme="minorHAnsi" w:hAnsiTheme="minorHAnsi"/>
          <w:color w:val="auto"/>
          <w:sz w:val="20"/>
          <w:szCs w:val="20"/>
        </w:rPr>
        <w:t xml:space="preserve"> </w:t>
      </w:r>
      <w:r w:rsidRPr="00AC095B">
        <w:rPr>
          <w:rFonts w:asciiTheme="minorHAnsi" w:hAnsiTheme="minorHAnsi"/>
          <w:color w:val="auto"/>
          <w:sz w:val="20"/>
          <w:szCs w:val="20"/>
        </w:rPr>
        <w:t xml:space="preserve">bola uložená do registra účtovných závierok dňa </w:t>
      </w:r>
      <w:r w:rsidR="00A30DAD">
        <w:rPr>
          <w:rFonts w:asciiTheme="minorHAnsi" w:hAnsiTheme="minorHAnsi"/>
          <w:color w:val="auto"/>
          <w:sz w:val="20"/>
          <w:szCs w:val="20"/>
        </w:rPr>
        <w:t>02</w:t>
      </w:r>
      <w:r w:rsidRPr="00AC095B">
        <w:rPr>
          <w:rFonts w:asciiTheme="minorHAnsi" w:hAnsiTheme="minorHAnsi"/>
          <w:color w:val="auto"/>
          <w:sz w:val="20"/>
          <w:szCs w:val="20"/>
        </w:rPr>
        <w:t>.0</w:t>
      </w:r>
      <w:r w:rsidR="00A30DAD">
        <w:rPr>
          <w:rFonts w:asciiTheme="minorHAnsi" w:hAnsiTheme="minorHAnsi"/>
          <w:color w:val="auto"/>
          <w:sz w:val="20"/>
          <w:szCs w:val="20"/>
        </w:rPr>
        <w:t>6</w:t>
      </w:r>
      <w:r w:rsidRPr="00AC095B">
        <w:rPr>
          <w:rFonts w:asciiTheme="minorHAnsi" w:hAnsiTheme="minorHAnsi"/>
          <w:color w:val="auto"/>
          <w:sz w:val="20"/>
          <w:szCs w:val="20"/>
        </w:rPr>
        <w:t>.20</w:t>
      </w:r>
      <w:r w:rsidR="00A30DAD">
        <w:rPr>
          <w:rFonts w:asciiTheme="minorHAnsi" w:hAnsiTheme="minorHAnsi"/>
          <w:color w:val="auto"/>
          <w:sz w:val="20"/>
          <w:szCs w:val="20"/>
        </w:rPr>
        <w:t>21.</w:t>
      </w:r>
      <w:r w:rsidRPr="00AC095B">
        <w:rPr>
          <w:rFonts w:asciiTheme="minorHAnsi" w:hAnsiTheme="minorHAnsi"/>
          <w:color w:val="auto"/>
          <w:sz w:val="20"/>
          <w:szCs w:val="20"/>
        </w:rPr>
        <w:t xml:space="preserve">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8. Schválenie audítora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AC095B">
        <w:rPr>
          <w:rFonts w:asciiTheme="minorHAnsi" w:hAnsiTheme="minorHAnsi"/>
          <w:color w:val="auto"/>
          <w:sz w:val="20"/>
          <w:szCs w:val="20"/>
        </w:rPr>
        <w:t xml:space="preserve">Spoločnosť nemá povinnosť auditu.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B. INFORMÁCIE O ORGÁNOCH ÚČTOVNEJ JEDNOTKY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Konateľ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MUDr. Marta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Sninčáková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, Lukáčová 8, 903 01 Senec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MUDr. Deana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Sninčáková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, Štúrova 7, 903 01 Senec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20"/>
          <w:szCs w:val="20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AC095B">
        <w:rPr>
          <w:rFonts w:asciiTheme="minorHAnsi" w:hAnsiTheme="minorHAnsi"/>
          <w:b/>
          <w:bCs/>
          <w:color w:val="auto"/>
          <w:sz w:val="20"/>
          <w:szCs w:val="20"/>
        </w:rPr>
        <w:t xml:space="preserve">Konanie menom spoločnosti: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AC095B">
        <w:rPr>
          <w:rFonts w:asciiTheme="minorHAnsi" w:hAnsiTheme="minorHAnsi"/>
          <w:color w:val="auto"/>
          <w:sz w:val="20"/>
          <w:szCs w:val="20"/>
        </w:rPr>
        <w:t xml:space="preserve">Za spoločnosť je oprávnený konať konateľ samostatne . Konateľ za spoločnosť sa podpisuje tak, že k vytlačenému alebo napísanému obchodnému menu spoločnosti pripojí svoj podpis.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</w:p>
    <w:p w:rsidR="00AC095B" w:rsidRPr="00AC095B" w:rsidRDefault="00AC095B" w:rsidP="00AC095B">
      <w:pPr>
        <w:pStyle w:val="Default"/>
        <w:pageBreakBefore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lastRenderedPageBreak/>
        <w:t xml:space="preserve">C. INFORMÁCIE O SPOLOČNÍKOCH ÚČTOVNEJ JEDNOTKY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>Štruktúra spoločníkov Spoločnosti bola od 01.01.20</w:t>
      </w:r>
      <w:r w:rsidR="00A30DAD">
        <w:rPr>
          <w:rFonts w:asciiTheme="minorHAnsi" w:hAnsiTheme="minorHAnsi"/>
          <w:b/>
          <w:bCs/>
          <w:color w:val="auto"/>
          <w:sz w:val="18"/>
          <w:szCs w:val="18"/>
        </w:rPr>
        <w:t>20</w:t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 do 31.12.20</w:t>
      </w:r>
      <w:r w:rsidR="00A30DAD">
        <w:rPr>
          <w:rFonts w:asciiTheme="minorHAnsi" w:hAnsiTheme="minorHAnsi"/>
          <w:b/>
          <w:bCs/>
          <w:color w:val="auto"/>
          <w:sz w:val="18"/>
          <w:szCs w:val="18"/>
        </w:rPr>
        <w:t>20</w:t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 takáto: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ind w:left="4248" w:firstLine="708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Podiel na základnom imaní </w:t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  <w:t xml:space="preserve">Hlasovacie práva </w:t>
      </w:r>
    </w:p>
    <w:p w:rsidR="00AC095B" w:rsidRPr="00AC095B" w:rsidRDefault="00AC095B" w:rsidP="00AC095B">
      <w:pPr>
        <w:pStyle w:val="Default"/>
        <w:ind w:left="4956" w:firstLine="708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EUR </w:t>
      </w:r>
      <w:r w:rsidRPr="00AC095B">
        <w:rPr>
          <w:rFonts w:asciiTheme="minorHAnsi" w:hAnsiTheme="minorHAnsi"/>
          <w:color w:val="auto"/>
          <w:sz w:val="18"/>
          <w:szCs w:val="18"/>
        </w:rPr>
        <w:tab/>
        <w:t xml:space="preserve">% </w:t>
      </w:r>
      <w:r w:rsidRPr="00AC095B">
        <w:rPr>
          <w:rFonts w:asciiTheme="minorHAnsi" w:hAnsiTheme="minorHAnsi"/>
          <w:color w:val="auto"/>
          <w:sz w:val="18"/>
          <w:szCs w:val="18"/>
        </w:rPr>
        <w:tab/>
        <w:t xml:space="preserve">                       %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MUDr. Marta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Sninčáková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</w:t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  <w:t xml:space="preserve">          6639,00       100 </w:t>
      </w:r>
      <w:r w:rsidRPr="00AC095B">
        <w:rPr>
          <w:rFonts w:asciiTheme="minorHAnsi" w:hAnsiTheme="minorHAnsi"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color w:val="auto"/>
          <w:sz w:val="18"/>
          <w:szCs w:val="18"/>
        </w:rPr>
        <w:tab/>
        <w:t xml:space="preserve">      100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Spolu: </w:t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ab/>
        <w:t xml:space="preserve">          </w:t>
      </w:r>
      <w:r w:rsidRPr="00AC095B">
        <w:rPr>
          <w:rFonts w:asciiTheme="minorHAnsi" w:hAnsiTheme="minorHAnsi"/>
          <w:color w:val="auto"/>
          <w:sz w:val="18"/>
          <w:szCs w:val="18"/>
        </w:rPr>
        <w:t>6639</w:t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>,</w:t>
      </w:r>
      <w:r w:rsidRPr="00AC095B">
        <w:rPr>
          <w:rFonts w:asciiTheme="minorHAnsi" w:hAnsiTheme="minorHAnsi"/>
          <w:bCs/>
          <w:color w:val="auto"/>
          <w:sz w:val="18"/>
          <w:szCs w:val="18"/>
        </w:rPr>
        <w:t xml:space="preserve">00       100 </w:t>
      </w:r>
      <w:r w:rsidRPr="00AC095B">
        <w:rPr>
          <w:rFonts w:asciiTheme="minorHAnsi" w:hAnsiTheme="minorHAnsi"/>
          <w:bCs/>
          <w:color w:val="auto"/>
          <w:sz w:val="18"/>
          <w:szCs w:val="18"/>
        </w:rPr>
        <w:tab/>
      </w:r>
      <w:r w:rsidRPr="00AC095B">
        <w:rPr>
          <w:rFonts w:asciiTheme="minorHAnsi" w:hAnsiTheme="minorHAnsi"/>
          <w:bCs/>
          <w:color w:val="auto"/>
          <w:sz w:val="18"/>
          <w:szCs w:val="18"/>
        </w:rPr>
        <w:tab/>
        <w:t xml:space="preserve">      100</w:t>
      </w: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E. INFORMÁCIE O ÚČTOVNÝCH ZÁSADÁCH A ÚČTOVNÝCH METÓDACH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(a) Východiská pre zostavenie účtovnej závierky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Účtovná závierka bola zostavená za predpokladu, že Spoločnosť bude nepretržite pokračovať vo svojej činnosti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>(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going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concern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).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Účtovné metódy a všeobecné účtovné zásady boli účtovnou jednotkou konzistentne aplikované. K 31. decembru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2014 sa zmenila štruktúra súvahy a výkazu ziskov a strát. Zmena si vyžiadala aj preradenie položiek v súvahe a výkaze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ziskov a strát za predchádzajúce účtovné obdobie podľa novej štruktúry výkazov.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Od 1. Januára 2014 nadobudol účinnosť zákon číslo 352/2013 Z. z., ktorým sa dopĺňa zákon číslo 431/2002 Z. z.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o účtovníctve v znení neskorších predpisov. V ustanovení § 2 ods. 5 až 7 definuje nový typ účtovnej jednotky – </w:t>
      </w:r>
      <w:proofErr w:type="spellStart"/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>mikro</w:t>
      </w:r>
      <w:proofErr w:type="spellEnd"/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účtovnú jednotku.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Mikro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účtovná jednotka bola v zákone o účtovníctve definovaná z dôvodu zjednodušenia povinností v oblasti vedenia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účtovníctva.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Keďže naša účtovná jednotka spĺňa podmienky uvedené v písm. b) a c) sa v zmysle § 2 ods. 6 zákona o účtovníctve rozhodla postupovať pri účtovaní a vykazovaní ako </w:t>
      </w:r>
      <w:proofErr w:type="spellStart"/>
      <w:r w:rsidRPr="00AC095B">
        <w:rPr>
          <w:rFonts w:asciiTheme="minorHAnsi" w:hAnsiTheme="minorHAnsi"/>
          <w:color w:val="auto"/>
          <w:sz w:val="18"/>
          <w:szCs w:val="18"/>
        </w:rPr>
        <w:t>mikro</w:t>
      </w:r>
      <w:proofErr w:type="spellEnd"/>
      <w:r w:rsidRPr="00AC095B">
        <w:rPr>
          <w:rFonts w:asciiTheme="minorHAnsi" w:hAnsiTheme="minorHAnsi"/>
          <w:color w:val="auto"/>
          <w:sz w:val="18"/>
          <w:szCs w:val="18"/>
        </w:rPr>
        <w:t xml:space="preserve"> účtovná jednotka. </w:t>
      </w:r>
      <w:r w:rsidR="00027D49">
        <w:rPr>
          <w:rFonts w:asciiTheme="minorHAnsi" w:hAnsiTheme="minorHAnsi"/>
          <w:color w:val="auto"/>
          <w:sz w:val="18"/>
          <w:szCs w:val="18"/>
        </w:rPr>
        <w:t xml:space="preserve"> 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Zmena nemala žiadny vplyv na výsledok hospodárenia bežného účtovného obdobia, ani na výsledok hospodárenia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minulých rokov.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>V účtovnom období 201</w:t>
      </w:r>
      <w:r w:rsidR="00027D49">
        <w:rPr>
          <w:rFonts w:asciiTheme="minorHAnsi" w:hAnsiTheme="minorHAnsi"/>
          <w:color w:val="auto"/>
          <w:sz w:val="18"/>
          <w:szCs w:val="18"/>
        </w:rPr>
        <w:t>9</w:t>
      </w:r>
      <w:r w:rsidRPr="00AC095B">
        <w:rPr>
          <w:rFonts w:asciiTheme="minorHAnsi" w:hAnsiTheme="minorHAnsi"/>
          <w:color w:val="auto"/>
          <w:sz w:val="18"/>
          <w:szCs w:val="18"/>
        </w:rPr>
        <w:t xml:space="preserve"> Spoločnosť nevykonala žiadne opravy významných chýb minulých účtovných období.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color w:val="auto"/>
          <w:sz w:val="18"/>
          <w:szCs w:val="18"/>
        </w:rPr>
      </w:pPr>
      <w:r w:rsidRPr="00AC095B">
        <w:rPr>
          <w:rFonts w:asciiTheme="minorHAnsi" w:hAnsiTheme="minorHAnsi"/>
          <w:b/>
          <w:bCs/>
          <w:color w:val="auto"/>
          <w:sz w:val="18"/>
          <w:szCs w:val="18"/>
        </w:rPr>
        <w:t xml:space="preserve">(b) Dlhodobý nehmotný majetok a dlhodobý hmotný majetok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Súčasťou obstarávacej ceny dlhodobého hmotného majetku od 1. januára 2003 nie sú úroky z cudzích zdrojov ani realizované kurzové rozdiely, ktoré vznikli do momentu uvedenia dlhodobého majetku do používania.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AC095B">
        <w:rPr>
          <w:rFonts w:asciiTheme="minorHAnsi" w:hAnsiTheme="minorHAnsi"/>
          <w:color w:val="auto"/>
          <w:sz w:val="18"/>
          <w:szCs w:val="18"/>
        </w:rPr>
        <w:t xml:space="preserve">Predpokladaná doba používania, metóda odpisovania a odpisová sadzba sú uvedené v nasledujúcej tabuľke: </w:t>
      </w:r>
      <w:r w:rsidRPr="00AC095B">
        <w:rPr>
          <w:rFonts w:asciiTheme="minorHAnsi" w:hAnsiTheme="minorHAnsi"/>
          <w:color w:val="auto"/>
          <w:sz w:val="20"/>
          <w:szCs w:val="20"/>
        </w:rPr>
        <w:t xml:space="preserve">Poznámky </w:t>
      </w:r>
      <w:proofErr w:type="spellStart"/>
      <w:r w:rsidRPr="00AC095B">
        <w:rPr>
          <w:rFonts w:asciiTheme="minorHAnsi" w:hAnsiTheme="minorHAnsi"/>
          <w:color w:val="auto"/>
          <w:sz w:val="20"/>
          <w:szCs w:val="20"/>
        </w:rPr>
        <w:t>Úč</w:t>
      </w:r>
      <w:proofErr w:type="spellEnd"/>
      <w:r w:rsidRPr="00AC095B">
        <w:rPr>
          <w:rFonts w:asciiTheme="minorHAnsi" w:hAnsiTheme="minorHAnsi"/>
          <w:color w:val="auto"/>
          <w:sz w:val="20"/>
          <w:szCs w:val="20"/>
        </w:rPr>
        <w:t xml:space="preserve"> MÚJ 3-01 MUDr. </w:t>
      </w:r>
      <w:proofErr w:type="spellStart"/>
      <w:r w:rsidRPr="00AC095B">
        <w:rPr>
          <w:rFonts w:asciiTheme="minorHAnsi" w:hAnsiTheme="minorHAnsi"/>
          <w:color w:val="auto"/>
          <w:sz w:val="20"/>
          <w:szCs w:val="20"/>
        </w:rPr>
        <w:t>Sninčáková</w:t>
      </w:r>
      <w:proofErr w:type="spellEnd"/>
      <w:r w:rsidRPr="00AC095B">
        <w:rPr>
          <w:rFonts w:asciiTheme="minorHAnsi" w:hAnsiTheme="minorHAnsi"/>
          <w:color w:val="auto"/>
          <w:sz w:val="20"/>
          <w:szCs w:val="20"/>
        </w:rPr>
        <w:t xml:space="preserve"> Marta spol. s.r.o. IČO:35918250 DIČ:2021942582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color w:val="auto"/>
        </w:rPr>
      </w:pPr>
      <w:r w:rsidRPr="00AC095B">
        <w:rPr>
          <w:rFonts w:asciiTheme="minorHAnsi" w:hAnsiTheme="minorHAnsi"/>
          <w:color w:val="auto"/>
        </w:rPr>
        <w:t xml:space="preserve"> </w:t>
      </w:r>
    </w:p>
    <w:p w:rsidR="00AC095B" w:rsidRPr="00AC095B" w:rsidRDefault="00AC095B" w:rsidP="00AC095B">
      <w:pPr>
        <w:spacing w:after="0"/>
        <w:ind w:left="1418" w:firstLine="709"/>
        <w:jc w:val="both"/>
        <w:rPr>
          <w:sz w:val="18"/>
          <w:szCs w:val="18"/>
        </w:rPr>
      </w:pPr>
      <w:r w:rsidRPr="00AC095B">
        <w:rPr>
          <w:sz w:val="18"/>
          <w:szCs w:val="18"/>
        </w:rPr>
        <w:t xml:space="preserve">Predpokladaná doba           Metóda </w:t>
      </w:r>
      <w:r w:rsidRPr="00AC095B">
        <w:rPr>
          <w:sz w:val="18"/>
          <w:szCs w:val="18"/>
        </w:rPr>
        <w:tab/>
      </w:r>
      <w:r w:rsidRPr="00AC095B">
        <w:rPr>
          <w:sz w:val="18"/>
          <w:szCs w:val="18"/>
        </w:rPr>
        <w:tab/>
      </w:r>
      <w:r w:rsidRPr="00AC095B">
        <w:rPr>
          <w:sz w:val="18"/>
          <w:szCs w:val="18"/>
        </w:rPr>
        <w:tab/>
        <w:t>Ročná odpisová</w:t>
      </w:r>
    </w:p>
    <w:p w:rsidR="00EA1942" w:rsidRPr="00AC095B" w:rsidRDefault="00AC095B" w:rsidP="00AC095B">
      <w:pPr>
        <w:spacing w:after="0"/>
        <w:ind w:left="1418" w:firstLine="709"/>
        <w:jc w:val="both"/>
      </w:pPr>
      <w:r w:rsidRPr="00AC095B">
        <w:rPr>
          <w:sz w:val="18"/>
          <w:szCs w:val="18"/>
        </w:rPr>
        <w:t xml:space="preserve">používania v rokoch            odpisovania </w:t>
      </w:r>
      <w:r w:rsidRPr="00AC095B">
        <w:rPr>
          <w:sz w:val="18"/>
          <w:szCs w:val="18"/>
        </w:rPr>
        <w:tab/>
      </w:r>
      <w:r w:rsidRPr="00AC095B">
        <w:rPr>
          <w:sz w:val="18"/>
          <w:szCs w:val="18"/>
        </w:rPr>
        <w:tab/>
        <w:t>sadzba v %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99"/>
        <w:gridCol w:w="2099"/>
        <w:gridCol w:w="2099"/>
        <w:gridCol w:w="2099"/>
      </w:tblGrid>
      <w:tr w:rsidR="00AC095B" w:rsidRPr="00AC095B" w:rsidTr="00CA02AB">
        <w:trPr>
          <w:trHeight w:val="81"/>
        </w:trPr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Aktivované náklady na vývoj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5 </w:t>
            </w:r>
          </w:p>
        </w:tc>
        <w:tc>
          <w:tcPr>
            <w:tcW w:w="2099" w:type="dxa"/>
          </w:tcPr>
          <w:p w:rsidR="00AC095B" w:rsidRPr="00AC095B" w:rsidRDefault="00A30DAD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rovnomerná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20 </w:t>
            </w:r>
          </w:p>
        </w:tc>
      </w:tr>
      <w:tr w:rsidR="00AC095B" w:rsidRPr="00AC095B" w:rsidTr="00CA02AB">
        <w:trPr>
          <w:trHeight w:val="81"/>
        </w:trPr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Softvér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4 </w:t>
            </w:r>
          </w:p>
        </w:tc>
        <w:tc>
          <w:tcPr>
            <w:tcW w:w="2099" w:type="dxa"/>
          </w:tcPr>
          <w:p w:rsidR="00AC095B" w:rsidRPr="00AC095B" w:rsidRDefault="00A30DAD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rovnomerná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25 </w:t>
            </w:r>
          </w:p>
        </w:tc>
      </w:tr>
      <w:tr w:rsidR="00AC095B" w:rsidRPr="00AC095B" w:rsidTr="00CA02AB">
        <w:trPr>
          <w:trHeight w:val="81"/>
        </w:trPr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Oceniteľné práva (licencia)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8 </w:t>
            </w:r>
          </w:p>
        </w:tc>
        <w:tc>
          <w:tcPr>
            <w:tcW w:w="2099" w:type="dxa"/>
          </w:tcPr>
          <w:p w:rsidR="00AC095B" w:rsidRPr="00AC095B" w:rsidRDefault="00A30DAD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rovnomerná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12,5 </w:t>
            </w:r>
          </w:p>
        </w:tc>
      </w:tr>
      <w:tr w:rsidR="00AC095B" w:rsidRPr="00AC095B" w:rsidTr="00CA02AB">
        <w:trPr>
          <w:trHeight w:val="81"/>
        </w:trPr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Drobný dlhodobý nehmotný majetok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Rôzna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jednorazový odpis </w:t>
            </w:r>
          </w:p>
        </w:tc>
        <w:tc>
          <w:tcPr>
            <w:tcW w:w="2099" w:type="dxa"/>
          </w:tcPr>
          <w:p w:rsidR="00AC095B" w:rsidRPr="00AC095B" w:rsidRDefault="00AC095B" w:rsidP="00CA02AB">
            <w:pPr>
              <w:pStyle w:val="Default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100 </w:t>
            </w:r>
          </w:p>
        </w:tc>
      </w:tr>
    </w:tbl>
    <w:p w:rsidR="00AC095B" w:rsidRPr="00AC095B" w:rsidRDefault="00AC095B" w:rsidP="00AC095B">
      <w:pPr>
        <w:jc w:val="both"/>
      </w:pPr>
    </w:p>
    <w:p w:rsidR="00AC095B" w:rsidRPr="00AC095B" w:rsidRDefault="00AC095B" w:rsidP="00AC095B">
      <w:pPr>
        <w:jc w:val="both"/>
        <w:rPr>
          <w:sz w:val="18"/>
          <w:szCs w:val="18"/>
        </w:rPr>
      </w:pPr>
      <w:r w:rsidRPr="00AC095B">
        <w:rPr>
          <w:sz w:val="18"/>
          <w:szCs w:val="18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121"/>
        <w:gridCol w:w="707"/>
        <w:gridCol w:w="1414"/>
        <w:gridCol w:w="1414"/>
        <w:gridCol w:w="707"/>
        <w:gridCol w:w="2121"/>
      </w:tblGrid>
      <w:tr w:rsidR="00AC095B" w:rsidRPr="00AC095B" w:rsidTr="00AC095B">
        <w:trPr>
          <w:trHeight w:val="81"/>
        </w:trPr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Predpokladaná </w:t>
            </w:r>
          </w:p>
        </w:tc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Metóda </w:t>
            </w:r>
          </w:p>
        </w:tc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Ročná odpisová </w:t>
            </w:r>
          </w:p>
        </w:tc>
      </w:tr>
      <w:tr w:rsidR="00AC095B" w:rsidRPr="00AC095B" w:rsidTr="00AC095B">
        <w:trPr>
          <w:trHeight w:val="81"/>
        </w:trPr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doba používania v rokoch </w:t>
            </w:r>
          </w:p>
        </w:tc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odpisovania </w:t>
            </w:r>
          </w:p>
        </w:tc>
        <w:tc>
          <w:tcPr>
            <w:tcW w:w="2828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sadzba v % </w:t>
            </w:r>
          </w:p>
        </w:tc>
      </w:tr>
      <w:tr w:rsidR="00AC095B" w:rsidRPr="00AC095B" w:rsidTr="00AC095B">
        <w:trPr>
          <w:trHeight w:val="81"/>
        </w:trPr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Stavby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40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lineárna </w:t>
            </w:r>
          </w:p>
        </w:tc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2,5 </w:t>
            </w:r>
          </w:p>
        </w:tc>
      </w:tr>
      <w:tr w:rsidR="00AC095B" w:rsidRPr="00AC095B" w:rsidTr="00AC095B">
        <w:trPr>
          <w:trHeight w:val="81"/>
        </w:trPr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Stroje, prístroje a zariadenia </w:t>
            </w:r>
          </w:p>
        </w:tc>
        <w:tc>
          <w:tcPr>
            <w:tcW w:w="2121" w:type="dxa"/>
            <w:gridSpan w:val="2"/>
          </w:tcPr>
          <w:p w:rsidR="00AC095B" w:rsidRPr="00AC095B" w:rsidRDefault="00A30DA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</w:t>
            </w:r>
            <w:r w:rsidR="00AC095B" w:rsidRPr="00AC095B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lineárna </w:t>
            </w:r>
          </w:p>
        </w:tc>
        <w:tc>
          <w:tcPr>
            <w:tcW w:w="2121" w:type="dxa"/>
          </w:tcPr>
          <w:p w:rsidR="00AC095B" w:rsidRPr="00AC095B" w:rsidRDefault="00A30DA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</w:t>
            </w:r>
            <w:r w:rsidR="00AC095B" w:rsidRPr="00AC095B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AC095B" w:rsidRPr="00AC095B" w:rsidTr="00AC095B">
        <w:trPr>
          <w:trHeight w:val="81"/>
        </w:trPr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>Dopravné prostriedky</w:t>
            </w:r>
            <w:r w:rsidR="002723B3">
              <w:rPr>
                <w:rFonts w:asciiTheme="minorHAnsi" w:hAnsiTheme="minorHAnsi"/>
                <w:sz w:val="18"/>
                <w:szCs w:val="18"/>
              </w:rPr>
              <w:t>, spotrebná elekronika</w:t>
            </w:r>
            <w:r w:rsidRPr="00AC095B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4 až 6 </w:t>
            </w:r>
          </w:p>
        </w:tc>
        <w:tc>
          <w:tcPr>
            <w:tcW w:w="2121" w:type="dxa"/>
            <w:gridSpan w:val="2"/>
          </w:tcPr>
          <w:p w:rsidR="00AC095B" w:rsidRPr="00AC095B" w:rsidRDefault="002723B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>lineárna</w:t>
            </w:r>
          </w:p>
        </w:tc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16 až 30 </w:t>
            </w:r>
          </w:p>
        </w:tc>
      </w:tr>
      <w:tr w:rsidR="00AC095B" w:rsidRPr="00AC095B" w:rsidTr="00AC095B">
        <w:trPr>
          <w:trHeight w:val="81"/>
        </w:trPr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Drobný dlhodobý hmotný majetok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Rôzna </w:t>
            </w:r>
          </w:p>
        </w:tc>
        <w:tc>
          <w:tcPr>
            <w:tcW w:w="2121" w:type="dxa"/>
            <w:gridSpan w:val="2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jednorazový odpis </w:t>
            </w:r>
          </w:p>
        </w:tc>
        <w:tc>
          <w:tcPr>
            <w:tcW w:w="2121" w:type="dxa"/>
          </w:tcPr>
          <w:p w:rsidR="00AC095B" w:rsidRPr="00AC095B" w:rsidRDefault="00AC095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AC095B">
              <w:rPr>
                <w:rFonts w:asciiTheme="minorHAnsi" w:hAnsiTheme="minorHAnsi"/>
                <w:sz w:val="18"/>
                <w:szCs w:val="18"/>
              </w:rPr>
              <w:t xml:space="preserve">100 </w:t>
            </w:r>
          </w:p>
        </w:tc>
      </w:tr>
    </w:tbl>
    <w:p w:rsidR="00AC095B" w:rsidRPr="00AC095B" w:rsidRDefault="00AC095B" w:rsidP="00AC095B">
      <w:pPr>
        <w:jc w:val="both"/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(c) Cenné papiere a podiely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Cenné papiere a podiely sa oceňujú obstarávacími cenami vrátane nákladov súvisiacich s obstaraním. Od obstarávacej ceny je odpočítané zníženie hodnoty cenných papierov a podielov. Cenné papiere na obchodovanie sa pri ich obstarávaní oceňujú reálnou hodnotou.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(d) Zásoby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Čistá realizačná hodnota je predpokladaná predajná cena znížená o predpokladané náklady na ich dokončenie a o predpokladané náklady súvisiace s ich predajom. </w:t>
      </w:r>
      <w:r>
        <w:rPr>
          <w:rFonts w:asciiTheme="minorHAnsi" w:hAnsiTheme="minorHAnsi"/>
          <w:sz w:val="18"/>
          <w:szCs w:val="18"/>
        </w:rPr>
        <w:t xml:space="preserve"> </w:t>
      </w:r>
      <w:r w:rsidRPr="00AC095B">
        <w:rPr>
          <w:rFonts w:asciiTheme="minorHAnsi" w:hAnsiTheme="minorHAnsi"/>
          <w:sz w:val="18"/>
          <w:szCs w:val="18"/>
        </w:rPr>
        <w:t xml:space="preserve">Zníženie hodnoty zásob sa upravuje vytvorením opravnej položky.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(e) Zákazková výroba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Zákazková výroba sa vykazuje použitím metódy stupňa dokončenia zákazky (angl. </w:t>
      </w:r>
      <w:proofErr w:type="spellStart"/>
      <w:r w:rsidRPr="00AC095B">
        <w:rPr>
          <w:rFonts w:asciiTheme="minorHAnsi" w:hAnsiTheme="minorHAnsi"/>
          <w:sz w:val="18"/>
          <w:szCs w:val="18"/>
        </w:rPr>
        <w:t>percentage-of-completion-method</w:t>
      </w:r>
      <w:proofErr w:type="spellEnd"/>
      <w:r w:rsidRPr="00AC095B">
        <w:rPr>
          <w:rFonts w:asciiTheme="minorHAnsi" w:hAnsiTheme="minorHAnsi"/>
          <w:sz w:val="18"/>
          <w:szCs w:val="18"/>
        </w:rPr>
        <w:t xml:space="preserve">).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(f) Zákazková výstavba nehnuteľnosti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i/>
          <w:i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i/>
          <w:iCs/>
          <w:sz w:val="18"/>
          <w:szCs w:val="18"/>
        </w:rPr>
        <w:t xml:space="preserve">Zákazková výstavba nehnuteľnosti – priebežný transfer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Zákazková výstavba nehnuteľnosti určenej na predaj sa vykazuje podľa metódy stupňa dokončenia.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i/>
          <w:iCs/>
          <w:sz w:val="18"/>
          <w:szCs w:val="18"/>
        </w:rPr>
        <w:t xml:space="preserve">Zákazková výstavba nehnuteľnosti – ostatná (nie priebežný transfer)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Zákazková výstavba nehnuteľnosti určenej na predaj – ostatná (nie priebežný transfer) sa vykazuje metódou tzv. nulového zisku, t. j. zisk sa vykáže pri predaji nehnuteľnosti. </w:t>
      </w:r>
    </w:p>
    <w:p w:rsidR="00AC095B" w:rsidRDefault="00AC095B" w:rsidP="00AC095B">
      <w:pPr>
        <w:jc w:val="both"/>
        <w:rPr>
          <w:b/>
          <w:bCs/>
          <w:sz w:val="18"/>
          <w:szCs w:val="18"/>
        </w:rPr>
      </w:pPr>
    </w:p>
    <w:p w:rsidR="00AC095B" w:rsidRPr="00AC095B" w:rsidRDefault="00AC095B" w:rsidP="00AC095B">
      <w:pPr>
        <w:jc w:val="both"/>
        <w:rPr>
          <w:b/>
          <w:bCs/>
          <w:sz w:val="18"/>
          <w:szCs w:val="18"/>
        </w:rPr>
      </w:pPr>
      <w:r w:rsidRPr="00AC095B">
        <w:rPr>
          <w:b/>
          <w:bCs/>
          <w:sz w:val="18"/>
          <w:szCs w:val="18"/>
        </w:rPr>
        <w:t>(g) Pohľadávky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(h) Peňažné prostriedky a ceniny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Peňažné prostriedky a ceniny sa oceňujú ich menovitou hodnotou. Zníženie ich hodnoty sa vyjadruje opravnou položkou.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(i) Náklady budúcich období a príjmy budúcich období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(j) Rezervy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(k)Záväzky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(l) Odložené dane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Odložené dane (odložená daňová pohľadávka a odložený daňový záväzok) sa vzťahujú na: </w:t>
      </w:r>
    </w:p>
    <w:p w:rsidR="00AC095B" w:rsidRPr="00AC095B" w:rsidRDefault="00AC095B" w:rsidP="00AC095B">
      <w:pPr>
        <w:pStyle w:val="Default"/>
        <w:spacing w:after="13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a) dočasné rozdiely medzi účtovnou hodnotou majetku a účtovnou hodnotou záväzkov vykázanou v súvahe a ich daňovou základňou, </w:t>
      </w:r>
    </w:p>
    <w:p w:rsidR="00AC095B" w:rsidRPr="00AC095B" w:rsidRDefault="00AC095B" w:rsidP="00AC095B">
      <w:pPr>
        <w:pStyle w:val="Default"/>
        <w:spacing w:after="13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b) možnosť umorovať daňovú stratu v budúcnosti, ktorou sa rozumie možnosť odpočítať daňovú stratu od základu dane v budúcnosti,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c) možnosť previesť nevyužité daňové odpočty a iné daňové nároky do budúcich období.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(m) Výdavky budúcich období a výnosy budúcich období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(n) Emisné kvóty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Bezodplatne pripísaný proporčný podiel emisných kvót v ocenení reprodukčnou obstarávacou cenou sa účtuje v prospech výnosov budúcich období.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Zúčtovanie výnosov budúcich období sa uskutočňuje v časovej a vecnej súvislosti s použitím bezodplatne pripísaných emisných kvót z dôvodu ich predaja alebo tvorby rezervy alebo splnenia povinnosti odovzdania emisných kvót.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Nakúpené emisné kvóty sa oceňujú obstarávacou cenou.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(o) Dotácie zo štátneho rozpočtu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O nároku na dotácie zo štátneho rozpočtu sa účtuje, ak je takmer isté, že sa splnia podmienky súvisiace s dotáciou a súčasne, že sa dotácia poskytne.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Dotácie na hospodársku činnosť Spoločnosti sa najskôr vykazujú ako výnosy budúcich období a do výkazu ziskov a strát sa rozpúšťajú ako výnosy z hospodárskej činnosti v časovej a vecnej súvislosti s vynaložením nákladov na príslušný účel.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(p)Prenájom (lízing) </w:t>
      </w:r>
    </w:p>
    <w:p w:rsidR="00AC095B" w:rsidRPr="00AC095B" w:rsidRDefault="00AC095B" w:rsidP="00AC095B">
      <w:pPr>
        <w:jc w:val="both"/>
        <w:rPr>
          <w:sz w:val="18"/>
          <w:szCs w:val="18"/>
        </w:rPr>
      </w:pPr>
      <w:r w:rsidRPr="00AC095B">
        <w:rPr>
          <w:sz w:val="18"/>
          <w:szCs w:val="18"/>
        </w:rPr>
        <w:t>Majetok prenajatý na základe operatívneho prenájmu vykazuje ako svoj majetok jeho vlastník, nie nájomca.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Finančný prenájom je obstaranie dlhodobého hmotného majetku na základe na základe nájomnej s dojednaným právom kúpy prenajatej veci za dohodnuté platby počas dohodnutej doby nájmu. Majetok prenajatý formou finančného prenájmu vykazuje ako svoj majetok a odpisuje ho jeho nájomca, nie vlastník.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Prijatie majetku nájomcom sa v účtovníctve nájomcu účtuje v deň prijatia majetku na ťarchu príslušného účtu majetku so súvzťažným zápisom v prospech účtu 474 – Záväzky z nájmu vo výške dohodnutých platieb zníženými o nerealizované finančné náklady. Súčasťou dohodnutých platieb je aj kúpna cena, za ktorú na konci dohodnutej doby finančného prenájmu prechádza vlastnícke právo k prenajatému majetku z prenajímateľa na nájomcu. Dohodnutá doba nájmu je najmenej 60% doby odpisovania podľa daňových predpisov, minimálne však 3 roky. Platba nájomného je alokovaná medzi splátku istiny a finančné náklady, vypočítané metódou efektívnej úrokovej miery. Finančné náklady sa účtujú na ťarchu účtu 562 – Úroky.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(q) Deriváty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Deriváty sa oceňujú reálnou hodnotou.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Zmeny reálnych hodnôt zabezpečovacích derivátov sa účtujú bez vplyvu na výsledok hospodárenia, priamo do vlastného imania.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Zmeny reálnych hodnôt derivátov určených na obchodovanie na tuzemskej burze, zahraničnej burze alebo na inom verejnom trhu sa účtujú s vplyvom na výsledok hospodárenia.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Zmeny reálnych hodnôt derivátov určených na obchodovanie na neverejnom trhu sa účtujú bez vplyvu na výsledok hospodárenia, priamo do vlastného imania.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(r) Majetok a záväzky zabezpečené derivátmi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Majetok a záväzky zabezpečené derivátmi sa oceňujú reálnou hodnotou. Zmeny reálnych hodnôt majetku a záväzkov zabezpečených derivátmi sa účtujú bez vplyvu na výsledok hospodárenia, priamo do vlastného imania.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(s) Cudzia mena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Na ocenenie prírastku cudzej meny nakúpenej za euro sa použije kurz, za ktorý bola táto mena nakúpená.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Na úbytok rovnakej cudzej meny v hotovosti alebo z devízového účtu sa na prepočet cudzej meny na eurá použije referenčný kurz určeným a vyhláseným Európskou centrálnou bankou alebo Národnou bankou Slovenska v deň predchádzajúci dňu uskutočnenia účtovného prípadu.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(t) Výnosy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Tržby za vlastné výkony a tovar neobsahujú daň z pridanej hodnoty. Sú tiež znížené o zľavy a zrážky (rabaty, bonusy, skontá, dobropisy a pod.), bez ohľadu na to, či zákazník mal vopred na zľavu nárok, alebo či ide o dodatočne uznanú zľavu.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Tržby z predaja výrobkov a tovaru sa vykazujú v deň splnenia dodávky podľa Obchodného zákonníka, podľa </w:t>
      </w:r>
      <w:proofErr w:type="spellStart"/>
      <w:r w:rsidRPr="00AC095B">
        <w:rPr>
          <w:rFonts w:asciiTheme="minorHAnsi" w:hAnsiTheme="minorHAnsi"/>
          <w:sz w:val="18"/>
          <w:szCs w:val="18"/>
        </w:rPr>
        <w:t>Incoterms</w:t>
      </w:r>
      <w:proofErr w:type="spellEnd"/>
      <w:r w:rsidRPr="00AC095B">
        <w:rPr>
          <w:rFonts w:asciiTheme="minorHAnsi" w:hAnsiTheme="minorHAnsi"/>
          <w:sz w:val="18"/>
          <w:szCs w:val="18"/>
        </w:rPr>
        <w:t xml:space="preserve"> </w:t>
      </w:r>
    </w:p>
    <w:p w:rsidR="00AC095B" w:rsidRPr="00027D49" w:rsidRDefault="00AC095B" w:rsidP="00027D49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alebo iných podmienok dohodnutých v zmluve. </w:t>
      </w:r>
      <w:r w:rsidR="00027D49">
        <w:rPr>
          <w:rFonts w:asciiTheme="minorHAnsi" w:hAnsiTheme="minorHAnsi"/>
          <w:sz w:val="18"/>
          <w:szCs w:val="18"/>
        </w:rPr>
        <w:t xml:space="preserve"> </w:t>
      </w:r>
      <w:r w:rsidRPr="00AC095B">
        <w:rPr>
          <w:rFonts w:asciiTheme="minorHAnsi" w:hAnsiTheme="minorHAnsi"/>
          <w:sz w:val="18"/>
          <w:szCs w:val="18"/>
        </w:rPr>
        <w:t xml:space="preserve">Tržby z predaja služieb sa vykazujú v účtovnom období, v ktorom boli služby poskytnuté. Výnosové úroky sa účtujú rovnomerne v účtovných obdobiach, ktorých sa vecne a časovo týkajú / na základe časového </w:t>
      </w:r>
      <w:r w:rsidRPr="00AC095B">
        <w:rPr>
          <w:sz w:val="18"/>
          <w:szCs w:val="18"/>
        </w:rPr>
        <w:t>rozlíšenia metódou efektívnej úrokovej miery.</w:t>
      </w:r>
    </w:p>
    <w:p w:rsidR="00027D49" w:rsidRDefault="00027D49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(u) Oprava chýb minulých období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V roku 201</w:t>
      </w:r>
      <w:r w:rsidR="00027D49">
        <w:rPr>
          <w:rFonts w:asciiTheme="minorHAnsi" w:hAnsiTheme="minorHAnsi"/>
          <w:sz w:val="18"/>
          <w:szCs w:val="18"/>
        </w:rPr>
        <w:t>9</w:t>
      </w:r>
      <w:r w:rsidRPr="00AC095B">
        <w:rPr>
          <w:rFonts w:asciiTheme="minorHAnsi" w:hAnsiTheme="minorHAnsi"/>
          <w:sz w:val="18"/>
          <w:szCs w:val="18"/>
        </w:rPr>
        <w:t xml:space="preserve"> Spoločnosť neúčtovala o oprave významných chýb minulých období.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D. INFORMÁCIE O ÚDAJOCH NA STRANE AKTÍV SÚVAHY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1. V spoločnosti sa v roku 201</w:t>
      </w:r>
      <w:r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nevyskytli náklady ani výnosy, ktoré majú výnimočný rozsah alebo výskyt.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2. Dlhodobý nehmotný majetok a dlhodobý hmotný majetok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nevlastní dlhodobý nehmotný majetok.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nevlastní dlhodobý hmotný majetok.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3. Dlhodobý finančný majetok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nemá žiaden dlhodobý finančný majetok.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4. Zásoby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Spoločnosť k 31. decembru 201</w:t>
      </w:r>
      <w:r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nemá na sklade žiadne zásoby.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netvorila opravnú položku k zásobám. </w:t>
      </w:r>
    </w:p>
    <w:p w:rsidR="00AC095B" w:rsidRDefault="00AC095B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5. Pohľadávky </w:t>
      </w:r>
    </w:p>
    <w:p w:rsidR="00AC095B" w:rsidRPr="00AC095B" w:rsidRDefault="00AC095B" w:rsidP="00AC095B">
      <w:pPr>
        <w:jc w:val="both"/>
        <w:rPr>
          <w:sz w:val="18"/>
          <w:szCs w:val="18"/>
        </w:rPr>
      </w:pPr>
      <w:r w:rsidRPr="00AC095B">
        <w:rPr>
          <w:sz w:val="18"/>
          <w:szCs w:val="18"/>
        </w:rPr>
        <w:t>Veková štruktúra pohľadávok je uvedená v nasledujúcom prehľade:</w:t>
      </w:r>
    </w:p>
    <w:p w:rsidR="00AC095B" w:rsidRPr="00AC095B" w:rsidRDefault="00AC095B" w:rsidP="00850B9F">
      <w:pPr>
        <w:pStyle w:val="Default"/>
        <w:ind w:left="4248" w:firstLine="708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31.12.20</w:t>
      </w:r>
      <w:r w:rsidR="00A30DAD">
        <w:rPr>
          <w:rFonts w:asciiTheme="minorHAnsi" w:hAnsiTheme="minorHAnsi"/>
          <w:sz w:val="18"/>
          <w:szCs w:val="18"/>
        </w:rPr>
        <w:t>20</w:t>
      </w:r>
      <w:r w:rsidRPr="00AC095B">
        <w:rPr>
          <w:rFonts w:asciiTheme="minorHAnsi" w:hAnsiTheme="minorHAnsi"/>
          <w:sz w:val="18"/>
          <w:szCs w:val="18"/>
        </w:rPr>
        <w:t xml:space="preserve">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>31.12.20</w:t>
      </w:r>
      <w:r w:rsidR="00A30DAD">
        <w:rPr>
          <w:rFonts w:asciiTheme="minorHAnsi" w:hAnsiTheme="minorHAnsi"/>
          <w:sz w:val="18"/>
          <w:szCs w:val="18"/>
        </w:rPr>
        <w:t>19</w:t>
      </w:r>
      <w:r w:rsidRPr="00AC095B">
        <w:rPr>
          <w:rFonts w:asciiTheme="minorHAnsi" w:hAnsiTheme="minorHAnsi"/>
          <w:sz w:val="18"/>
          <w:szCs w:val="18"/>
        </w:rPr>
        <w:t xml:space="preserve"> </w:t>
      </w:r>
    </w:p>
    <w:p w:rsidR="00AC095B" w:rsidRPr="00AC095B" w:rsidRDefault="00AC095B" w:rsidP="00850B9F">
      <w:pPr>
        <w:pStyle w:val="Default"/>
        <w:ind w:left="4248" w:firstLine="708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EUR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 xml:space="preserve">EUR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___________________________________________________________________________________________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Pohľadá</w:t>
      </w:r>
      <w:r w:rsidR="00850B9F">
        <w:rPr>
          <w:rFonts w:asciiTheme="minorHAnsi" w:hAnsiTheme="minorHAnsi"/>
          <w:sz w:val="18"/>
          <w:szCs w:val="18"/>
        </w:rPr>
        <w:t>vky v lehote splatnosti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76709E" w:rsidRPr="0076709E">
        <w:rPr>
          <w:rFonts w:asciiTheme="minorHAnsi" w:hAnsiTheme="minorHAnsi"/>
          <w:sz w:val="18"/>
          <w:szCs w:val="18"/>
        </w:rPr>
        <w:t>-</w:t>
      </w:r>
      <w:r w:rsidR="00027D49">
        <w:rPr>
          <w:rFonts w:asciiTheme="minorHAnsi" w:hAnsiTheme="minorHAnsi"/>
          <w:sz w:val="18"/>
          <w:szCs w:val="18"/>
        </w:rPr>
        <w:t>2</w:t>
      </w:r>
      <w:r w:rsidR="00A30DAD">
        <w:rPr>
          <w:rFonts w:asciiTheme="minorHAnsi" w:hAnsiTheme="minorHAnsi"/>
          <w:sz w:val="18"/>
          <w:szCs w:val="18"/>
        </w:rPr>
        <w:t>4406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  <w:t xml:space="preserve"> -</w:t>
      </w:r>
      <w:r w:rsidR="00A30DAD">
        <w:rPr>
          <w:rFonts w:asciiTheme="minorHAnsi" w:hAnsiTheme="minorHAnsi"/>
          <w:sz w:val="18"/>
          <w:szCs w:val="18"/>
        </w:rPr>
        <w:t>21199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Pohľadávky po lehote splatnosti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 xml:space="preserve">0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 xml:space="preserve">0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___________________________________________________________________________________________ </w:t>
      </w:r>
    </w:p>
    <w:p w:rsidR="00AC095B" w:rsidRPr="00AC095B" w:rsidRDefault="00AC095B" w:rsidP="00AC095B">
      <w:pPr>
        <w:jc w:val="both"/>
        <w:rPr>
          <w:b/>
          <w:bCs/>
          <w:sz w:val="18"/>
          <w:szCs w:val="18"/>
        </w:rPr>
      </w:pPr>
      <w:r w:rsidRPr="00AC095B">
        <w:rPr>
          <w:b/>
          <w:bCs/>
          <w:sz w:val="18"/>
          <w:szCs w:val="18"/>
        </w:rPr>
        <w:t xml:space="preserve">Spolu: </w:t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76709E" w:rsidRPr="0076709E">
        <w:rPr>
          <w:b/>
          <w:bCs/>
          <w:sz w:val="18"/>
          <w:szCs w:val="18"/>
        </w:rPr>
        <w:t>-</w:t>
      </w:r>
      <w:r w:rsidR="00027D49">
        <w:rPr>
          <w:b/>
          <w:bCs/>
          <w:sz w:val="18"/>
          <w:szCs w:val="18"/>
        </w:rPr>
        <w:t>2</w:t>
      </w:r>
      <w:r w:rsidR="00A30DAD">
        <w:rPr>
          <w:b/>
          <w:bCs/>
          <w:sz w:val="18"/>
          <w:szCs w:val="18"/>
        </w:rPr>
        <w:t>4406</w:t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Pr="00AC095B">
        <w:rPr>
          <w:b/>
          <w:bCs/>
          <w:sz w:val="18"/>
          <w:szCs w:val="18"/>
        </w:rPr>
        <w:t xml:space="preserve">- </w:t>
      </w:r>
      <w:r w:rsidR="00A30DAD">
        <w:rPr>
          <w:sz w:val="18"/>
          <w:szCs w:val="18"/>
        </w:rPr>
        <w:t>21199</w:t>
      </w:r>
      <w:r w:rsidRPr="00AC095B">
        <w:rPr>
          <w:b/>
          <w:bCs/>
          <w:sz w:val="18"/>
          <w:szCs w:val="18"/>
        </w:rPr>
        <w:t xml:space="preserve"> </w:t>
      </w:r>
      <w:r w:rsidR="00850B9F">
        <w:rPr>
          <w:b/>
          <w:bCs/>
          <w:sz w:val="18"/>
          <w:szCs w:val="18"/>
        </w:rPr>
        <w:tab/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netvorila opravnú položku k pohľadávkam.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6. Finančné účty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Ako finančné účty sú vykázané peniaze v pokladnici a účet v banke. S finančnými prostriedkami na bežnom účte v banke môže Spoločnosť voľne disponovať.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7. Rezervy </w:t>
      </w:r>
    </w:p>
    <w:p w:rsidR="00AC095B" w:rsidRPr="00AC095B" w:rsidRDefault="00AC095B" w:rsidP="00AC095B">
      <w:pPr>
        <w:jc w:val="both"/>
        <w:rPr>
          <w:sz w:val="18"/>
          <w:szCs w:val="18"/>
        </w:rPr>
      </w:pPr>
      <w:r w:rsidRPr="00AC095B">
        <w:rPr>
          <w:sz w:val="18"/>
          <w:szCs w:val="18"/>
        </w:rPr>
        <w:t>Spoločnosť nemala v roku 201</w:t>
      </w:r>
      <w:r w:rsidR="00850B9F">
        <w:rPr>
          <w:sz w:val="18"/>
          <w:szCs w:val="18"/>
        </w:rPr>
        <w:t>7</w:t>
      </w:r>
      <w:r w:rsidRPr="00AC095B">
        <w:rPr>
          <w:sz w:val="18"/>
          <w:szCs w:val="18"/>
        </w:rPr>
        <w:t xml:space="preserve"> vytvorenú žiadnu rezervu a tiež nevytvorila k 31. decembru 201</w:t>
      </w:r>
      <w:r w:rsidR="00850B9F">
        <w:rPr>
          <w:sz w:val="18"/>
          <w:szCs w:val="18"/>
        </w:rPr>
        <w:t>8</w:t>
      </w:r>
      <w:r w:rsidRPr="00AC095B">
        <w:rPr>
          <w:sz w:val="18"/>
          <w:szCs w:val="18"/>
        </w:rPr>
        <w:t xml:space="preserve"> nijakú rezervu.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8. Záväzky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Štruktúra záväzkov podľa je uvedená v nasledujúcom prehľade: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850B9F">
      <w:pPr>
        <w:pStyle w:val="Default"/>
        <w:ind w:left="4248" w:firstLine="708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31.12.20</w:t>
      </w:r>
      <w:r w:rsidR="00A30DAD">
        <w:rPr>
          <w:rFonts w:asciiTheme="minorHAnsi" w:hAnsiTheme="minorHAnsi"/>
          <w:sz w:val="18"/>
          <w:szCs w:val="18"/>
        </w:rPr>
        <w:t>19</w:t>
      </w:r>
      <w:r w:rsidRPr="00AC095B">
        <w:rPr>
          <w:rFonts w:asciiTheme="minorHAnsi" w:hAnsiTheme="minorHAnsi"/>
          <w:sz w:val="18"/>
          <w:szCs w:val="18"/>
        </w:rPr>
        <w:t xml:space="preserve">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>31.12.20</w:t>
      </w:r>
      <w:r w:rsidR="00A30DAD">
        <w:rPr>
          <w:rFonts w:asciiTheme="minorHAnsi" w:hAnsiTheme="minorHAnsi"/>
          <w:sz w:val="18"/>
          <w:szCs w:val="18"/>
        </w:rPr>
        <w:t>20</w:t>
      </w:r>
      <w:r w:rsidRPr="00AC095B">
        <w:rPr>
          <w:rFonts w:asciiTheme="minorHAnsi" w:hAnsiTheme="minorHAnsi"/>
          <w:sz w:val="18"/>
          <w:szCs w:val="18"/>
        </w:rPr>
        <w:t xml:space="preserve">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Záväzky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>-</w:t>
      </w:r>
      <w:r w:rsidR="00027D49">
        <w:rPr>
          <w:rFonts w:asciiTheme="minorHAnsi" w:hAnsiTheme="minorHAnsi"/>
          <w:sz w:val="18"/>
          <w:szCs w:val="18"/>
        </w:rPr>
        <w:t>10</w:t>
      </w:r>
      <w:r w:rsidR="00A30DAD">
        <w:rPr>
          <w:rFonts w:asciiTheme="minorHAnsi" w:hAnsiTheme="minorHAnsi"/>
          <w:sz w:val="18"/>
          <w:szCs w:val="18"/>
        </w:rPr>
        <w:t>121</w:t>
      </w:r>
      <w:r w:rsidRPr="00AC095B">
        <w:rPr>
          <w:rFonts w:asciiTheme="minorHAnsi" w:hAnsiTheme="minorHAnsi"/>
          <w:sz w:val="18"/>
          <w:szCs w:val="18"/>
        </w:rPr>
        <w:t xml:space="preserve"> </w:t>
      </w:r>
      <w:r w:rsidR="0076709E">
        <w:rPr>
          <w:rFonts w:asciiTheme="minorHAnsi" w:hAnsiTheme="minorHAnsi"/>
          <w:sz w:val="18"/>
          <w:szCs w:val="18"/>
        </w:rPr>
        <w:t xml:space="preserve"> </w:t>
      </w:r>
      <w:r w:rsidR="0076709E">
        <w:rPr>
          <w:rFonts w:asciiTheme="minorHAnsi" w:hAnsiTheme="minorHAnsi"/>
          <w:sz w:val="18"/>
          <w:szCs w:val="18"/>
        </w:rPr>
        <w:tab/>
      </w:r>
      <w:r w:rsidR="0076709E">
        <w:rPr>
          <w:rFonts w:asciiTheme="minorHAnsi" w:hAnsiTheme="minorHAnsi"/>
          <w:sz w:val="18"/>
          <w:szCs w:val="18"/>
        </w:rPr>
        <w:tab/>
      </w:r>
      <w:r w:rsidR="0076709E">
        <w:rPr>
          <w:rFonts w:asciiTheme="minorHAnsi" w:hAnsiTheme="minorHAnsi"/>
          <w:sz w:val="18"/>
          <w:szCs w:val="18"/>
        </w:rPr>
        <w:tab/>
      </w:r>
      <w:r w:rsidR="0076709E" w:rsidRPr="0076709E">
        <w:rPr>
          <w:rFonts w:asciiTheme="minorHAnsi" w:hAnsiTheme="minorHAnsi"/>
          <w:sz w:val="18"/>
          <w:szCs w:val="18"/>
        </w:rPr>
        <w:t>-10</w:t>
      </w:r>
      <w:r w:rsidR="00A30DAD">
        <w:rPr>
          <w:rFonts w:asciiTheme="minorHAnsi" w:hAnsiTheme="minorHAnsi"/>
          <w:sz w:val="18"/>
          <w:szCs w:val="18"/>
        </w:rPr>
        <w:t>551</w:t>
      </w:r>
    </w:p>
    <w:p w:rsidR="00850B9F" w:rsidRDefault="00850B9F" w:rsidP="00850B9F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Default="00AC095B" w:rsidP="00850B9F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V rámci krátkodobých záväzkov Spoločnosť eviduje záväzky voči dodávateľom, záväzky voči sociálnym inštitúciám z titulu sociálneho poistenia, záväzky voči zamestnancom, záväzky voči daňovému úradu z titulu dane z príjmov zo závislej činnosti a záväzky voči spoločníkom. </w:t>
      </w:r>
    </w:p>
    <w:p w:rsidR="00850B9F" w:rsidRPr="00AC095B" w:rsidRDefault="00850B9F" w:rsidP="00850B9F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1. Čistý obrat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Čistý obrat Spoločnosti na účely zistenia povinnosti overenia individuálnej účtovnej závierky audítorom [§ 19 ods. 1 písm. a) zákona o účtovníctve] je uvedený v nasledujúcom prehľade: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AC095B" w:rsidRPr="00AC095B" w:rsidRDefault="00AC095B" w:rsidP="00850B9F">
      <w:pPr>
        <w:pStyle w:val="Default"/>
        <w:ind w:left="4248" w:firstLine="708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20</w:t>
      </w:r>
      <w:r w:rsidR="00A30DAD">
        <w:rPr>
          <w:rFonts w:asciiTheme="minorHAnsi" w:hAnsiTheme="minorHAnsi"/>
          <w:sz w:val="18"/>
          <w:szCs w:val="18"/>
        </w:rPr>
        <w:t>20</w:t>
      </w:r>
      <w:r w:rsidRPr="00AC095B">
        <w:rPr>
          <w:rFonts w:asciiTheme="minorHAnsi" w:hAnsiTheme="minorHAnsi"/>
          <w:sz w:val="18"/>
          <w:szCs w:val="18"/>
        </w:rPr>
        <w:t xml:space="preserve">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>201</w:t>
      </w:r>
      <w:r w:rsidR="00027D49">
        <w:rPr>
          <w:rFonts w:asciiTheme="minorHAnsi" w:hAnsiTheme="minorHAnsi"/>
          <w:sz w:val="18"/>
          <w:szCs w:val="18"/>
        </w:rPr>
        <w:t>9</w:t>
      </w:r>
      <w:r w:rsidRPr="00AC095B">
        <w:rPr>
          <w:rFonts w:asciiTheme="minorHAnsi" w:hAnsiTheme="minorHAnsi"/>
          <w:sz w:val="18"/>
          <w:szCs w:val="18"/>
        </w:rPr>
        <w:t xml:space="preserve">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________________________________________________________________________________________________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Tržby z predaja služieb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027D49">
        <w:rPr>
          <w:rFonts w:asciiTheme="minorHAnsi" w:hAnsiTheme="minorHAnsi"/>
          <w:sz w:val="18"/>
          <w:szCs w:val="18"/>
        </w:rPr>
        <w:t>4</w:t>
      </w:r>
      <w:r w:rsidR="00A30DAD">
        <w:rPr>
          <w:rFonts w:asciiTheme="minorHAnsi" w:hAnsiTheme="minorHAnsi"/>
          <w:sz w:val="18"/>
          <w:szCs w:val="18"/>
        </w:rPr>
        <w:t>7877</w:t>
      </w:r>
      <w:r w:rsidRPr="00AC095B">
        <w:rPr>
          <w:rFonts w:asciiTheme="minorHAnsi" w:hAnsiTheme="minorHAnsi"/>
          <w:sz w:val="18"/>
          <w:szCs w:val="18"/>
        </w:rPr>
        <w:t xml:space="preserve"> </w:t>
      </w:r>
      <w:r w:rsidR="0076709E">
        <w:rPr>
          <w:rFonts w:asciiTheme="minorHAnsi" w:hAnsiTheme="minorHAnsi"/>
          <w:sz w:val="18"/>
          <w:szCs w:val="18"/>
        </w:rPr>
        <w:tab/>
      </w:r>
      <w:r w:rsidR="0076709E">
        <w:rPr>
          <w:rFonts w:asciiTheme="minorHAnsi" w:hAnsiTheme="minorHAnsi"/>
          <w:sz w:val="18"/>
          <w:szCs w:val="18"/>
        </w:rPr>
        <w:tab/>
      </w:r>
      <w:r w:rsidR="0076709E">
        <w:rPr>
          <w:rFonts w:asciiTheme="minorHAnsi" w:hAnsiTheme="minorHAnsi"/>
          <w:sz w:val="18"/>
          <w:szCs w:val="18"/>
        </w:rPr>
        <w:tab/>
      </w:r>
      <w:r w:rsidR="00027D49">
        <w:rPr>
          <w:rFonts w:asciiTheme="minorHAnsi" w:hAnsiTheme="minorHAnsi"/>
          <w:sz w:val="18"/>
          <w:szCs w:val="18"/>
        </w:rPr>
        <w:t>51039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 </w:t>
      </w:r>
    </w:p>
    <w:p w:rsidR="00AC095B" w:rsidRPr="00AC095B" w:rsidRDefault="00AC095B" w:rsidP="00AC095B">
      <w:pPr>
        <w:jc w:val="both"/>
        <w:rPr>
          <w:sz w:val="18"/>
          <w:szCs w:val="18"/>
        </w:rPr>
      </w:pPr>
      <w:r w:rsidRPr="00AC095B">
        <w:rPr>
          <w:b/>
          <w:bCs/>
          <w:sz w:val="18"/>
          <w:szCs w:val="18"/>
        </w:rPr>
        <w:t xml:space="preserve">Čistý obrat spolu: </w:t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850B9F">
        <w:rPr>
          <w:b/>
          <w:bCs/>
          <w:sz w:val="18"/>
          <w:szCs w:val="18"/>
        </w:rPr>
        <w:tab/>
      </w:r>
      <w:r w:rsidR="00027D49">
        <w:rPr>
          <w:sz w:val="18"/>
          <w:szCs w:val="18"/>
        </w:rPr>
        <w:t>4</w:t>
      </w:r>
      <w:r w:rsidR="00A30DAD">
        <w:rPr>
          <w:sz w:val="18"/>
          <w:szCs w:val="18"/>
        </w:rPr>
        <w:t>7877</w:t>
      </w:r>
      <w:r w:rsidR="0076709E" w:rsidRPr="0076709E">
        <w:t xml:space="preserve"> </w:t>
      </w:r>
      <w:r w:rsidR="0076709E">
        <w:tab/>
      </w:r>
      <w:r w:rsidR="0076709E">
        <w:tab/>
      </w:r>
      <w:r w:rsidR="0076709E">
        <w:tab/>
      </w:r>
      <w:r w:rsidR="00027D49">
        <w:rPr>
          <w:sz w:val="18"/>
          <w:szCs w:val="18"/>
        </w:rPr>
        <w:t>51039</w:t>
      </w:r>
    </w:p>
    <w:p w:rsidR="00AC095B" w:rsidRDefault="00AC095B" w:rsidP="00AC095B">
      <w:pPr>
        <w:jc w:val="both"/>
        <w:rPr>
          <w:sz w:val="18"/>
          <w:szCs w:val="18"/>
        </w:rPr>
      </w:pPr>
    </w:p>
    <w:p w:rsidR="00850B9F" w:rsidRDefault="00850B9F" w:rsidP="00AC095B">
      <w:pPr>
        <w:jc w:val="both"/>
        <w:rPr>
          <w:sz w:val="18"/>
          <w:szCs w:val="18"/>
        </w:rPr>
      </w:pPr>
    </w:p>
    <w:p w:rsidR="00027D49" w:rsidRPr="00AC095B" w:rsidRDefault="00027D49" w:rsidP="00AC095B">
      <w:pPr>
        <w:jc w:val="both"/>
        <w:rPr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E. INFORMÁCIE O ORGÁNOCH ÚČTOVNEJ JEDNOTKY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Členom štatutárneho orgánu, ani členom dozorných orgánov neboli v roku 201</w:t>
      </w:r>
      <w:r w:rsidR="0076709E"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poskytnuté žiadne pôžičky, záruky alebo iné formy zabezpečenia, ani finančné prostriedky alebo iné plnenia na súkromné účely členov, ktoré sa vyúčtovávajú.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F. INFORMÁCIE O POVINNOSTIACH SPOLOČNOSTI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1. Významné finančné povinnosti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neeviduje významné finančné povinnosti, ktoré sa nesledujú v bežnom účtovníctve a neuvádzajú v súvahe.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2. Podmienené záväzky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neeviduje podmienené záväzky, ktoré sa nesledujú v bežnom účtovníctve a neuvádzajú sa v súvahe: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3. Najatý majetok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nemá v prenájme (operatívny prenájom) žiaden majetok.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4. Prenajatý majetok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neprenajíma žiaden vlastný majetok tretej osobe. </w:t>
      </w:r>
    </w:p>
    <w:p w:rsidR="00850B9F" w:rsidRDefault="00850B9F" w:rsidP="00AC095B">
      <w:pPr>
        <w:jc w:val="both"/>
        <w:rPr>
          <w:b/>
          <w:bCs/>
          <w:sz w:val="18"/>
          <w:szCs w:val="18"/>
        </w:rPr>
      </w:pPr>
    </w:p>
    <w:p w:rsidR="00AC095B" w:rsidRPr="00AC095B" w:rsidRDefault="00AC095B" w:rsidP="00AC095B">
      <w:pPr>
        <w:jc w:val="both"/>
        <w:rPr>
          <w:b/>
          <w:bCs/>
          <w:sz w:val="18"/>
          <w:szCs w:val="18"/>
        </w:rPr>
      </w:pPr>
      <w:r w:rsidRPr="00AC095B">
        <w:rPr>
          <w:b/>
          <w:bCs/>
          <w:sz w:val="18"/>
          <w:szCs w:val="18"/>
        </w:rPr>
        <w:t>G. INFORMÁCIE O PRÍJMOCH A VÝHODÁCH ČLENOV ŠTATUTÁRNYCH ORGÁNOV, DOZORNÝCH ORGÁNOV A INÝCH ORGÁNOV ÚČTOVNEJ JEDNOTKY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Členovia štatutárnych orgánov nepoberali v priebehu roka 201</w:t>
      </w:r>
      <w:r w:rsidR="00850B9F"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žiadne príjmy, odmeny ani výhody.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H. INFORMÁCIE O EKONOMICKÝCH VZŤAHOCH ÚČTOVNEJ JEDNOTKY A SPRIAZNENÝCH OSÔB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Spoločnosť neuskutočnila v priebehu účtovného obdobia transakcie so spriaznenými osobami.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b/>
          <w:bCs/>
          <w:sz w:val="18"/>
          <w:szCs w:val="18"/>
        </w:rPr>
        <w:t xml:space="preserve">I. NFORMÁCIE O SKUTOČNOSTIACH, KTORÉ NASTALI PO DNI, KU KTORÉMU SA ZOSTAVUJE ÚČTOVNÁ ZÁVIERKA, DO DŇA ZOSTAVENIA ÚČTOVNEJ ZÁVIERKY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>Spoločnosť nezistila žiadne skutočnosti medzi dňom, ku ktorému bola zostavená účtovná závierka a dňom, ku ktorému sa účtovná závierka zostavuje, ktoré by mali významný vplyv na výsledok hospodárenia Spoločnosti, prípadne na celkovú finančnú situáciu Spoločnosti za účtovné obdobie od 01. januára 201</w:t>
      </w:r>
      <w:r w:rsidR="00850B9F"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 do 31. decembra 201</w:t>
      </w:r>
      <w:r w:rsidR="00850B9F">
        <w:rPr>
          <w:rFonts w:asciiTheme="minorHAnsi" w:hAnsiTheme="minorHAnsi"/>
          <w:sz w:val="18"/>
          <w:szCs w:val="18"/>
        </w:rPr>
        <w:t>8</w:t>
      </w:r>
      <w:r w:rsidRPr="00AC095B">
        <w:rPr>
          <w:rFonts w:asciiTheme="minorHAnsi" w:hAnsiTheme="minorHAnsi"/>
          <w:sz w:val="18"/>
          <w:szCs w:val="18"/>
        </w:rPr>
        <w:t xml:space="preserve">. </w:t>
      </w: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850B9F" w:rsidRDefault="00850B9F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:rsidR="00850B9F" w:rsidRDefault="00A30DAD" w:rsidP="00850B9F">
      <w:pPr>
        <w:pStyle w:val="Default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02</w:t>
      </w:r>
      <w:r w:rsidR="00850B9F" w:rsidRPr="00AC095B">
        <w:rPr>
          <w:rFonts w:asciiTheme="minorHAnsi" w:hAnsiTheme="minorHAnsi"/>
          <w:sz w:val="18"/>
          <w:szCs w:val="18"/>
        </w:rPr>
        <w:t xml:space="preserve">. </w:t>
      </w:r>
      <w:r>
        <w:rPr>
          <w:rFonts w:asciiTheme="minorHAnsi" w:hAnsiTheme="minorHAnsi"/>
          <w:sz w:val="18"/>
          <w:szCs w:val="18"/>
        </w:rPr>
        <w:t>jún</w:t>
      </w:r>
      <w:r w:rsidR="00850B9F" w:rsidRPr="00AC095B">
        <w:rPr>
          <w:rFonts w:asciiTheme="minorHAnsi" w:hAnsiTheme="minorHAnsi"/>
          <w:sz w:val="18"/>
          <w:szCs w:val="18"/>
        </w:rPr>
        <w:t xml:space="preserve"> 20</w:t>
      </w:r>
      <w:r>
        <w:rPr>
          <w:rFonts w:asciiTheme="minorHAnsi" w:hAnsiTheme="minorHAnsi"/>
          <w:sz w:val="18"/>
          <w:szCs w:val="18"/>
        </w:rPr>
        <w:t>21</w:t>
      </w:r>
    </w:p>
    <w:p w:rsidR="00AC095B" w:rsidRPr="00AC095B" w:rsidRDefault="00AC095B" w:rsidP="00850B9F">
      <w:pPr>
        <w:pStyle w:val="Default"/>
        <w:ind w:left="4956" w:firstLine="708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..................................................... </w:t>
      </w:r>
    </w:p>
    <w:p w:rsidR="00AC095B" w:rsidRPr="00AC095B" w:rsidRDefault="00AC095B" w:rsidP="00AC095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AC095B">
        <w:rPr>
          <w:rFonts w:asciiTheme="minorHAnsi" w:hAnsiTheme="minorHAnsi"/>
          <w:sz w:val="18"/>
          <w:szCs w:val="18"/>
        </w:rPr>
        <w:t xml:space="preserve">Dátum zostavenia účtovnej závierky </w:t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="00850B9F">
        <w:rPr>
          <w:rFonts w:asciiTheme="minorHAnsi" w:hAnsiTheme="minorHAnsi"/>
          <w:sz w:val="18"/>
          <w:szCs w:val="18"/>
        </w:rPr>
        <w:tab/>
      </w:r>
      <w:r w:rsidRPr="00AC095B">
        <w:rPr>
          <w:rFonts w:asciiTheme="minorHAnsi" w:hAnsiTheme="minorHAnsi"/>
          <w:sz w:val="18"/>
          <w:szCs w:val="18"/>
        </w:rPr>
        <w:t xml:space="preserve">MUDr. Marta </w:t>
      </w:r>
      <w:proofErr w:type="spellStart"/>
      <w:r w:rsidRPr="00AC095B">
        <w:rPr>
          <w:rFonts w:asciiTheme="minorHAnsi" w:hAnsiTheme="minorHAnsi"/>
          <w:sz w:val="18"/>
          <w:szCs w:val="18"/>
        </w:rPr>
        <w:t>Sninčáková</w:t>
      </w:r>
      <w:proofErr w:type="spellEnd"/>
      <w:r w:rsidRPr="00AC095B">
        <w:rPr>
          <w:rFonts w:asciiTheme="minorHAnsi" w:hAnsiTheme="minorHAnsi"/>
          <w:sz w:val="18"/>
          <w:szCs w:val="18"/>
        </w:rPr>
        <w:t xml:space="preserve"> </w:t>
      </w:r>
    </w:p>
    <w:p w:rsidR="00AC095B" w:rsidRPr="00AC095B" w:rsidRDefault="00AC095B" w:rsidP="00850B9F">
      <w:pPr>
        <w:ind w:left="4956" w:firstLine="708"/>
        <w:jc w:val="both"/>
      </w:pPr>
      <w:r w:rsidRPr="00AC095B">
        <w:rPr>
          <w:i/>
          <w:iCs/>
          <w:sz w:val="18"/>
          <w:szCs w:val="18"/>
        </w:rPr>
        <w:t>konateľ spoločnosti</w:t>
      </w:r>
    </w:p>
    <w:sectPr w:rsidR="00AC095B" w:rsidRPr="00AC095B" w:rsidSect="00EA194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17E2" w:rsidRDefault="00D717E2" w:rsidP="00AC095B">
      <w:pPr>
        <w:spacing w:after="0" w:line="240" w:lineRule="auto"/>
      </w:pPr>
      <w:r>
        <w:separator/>
      </w:r>
    </w:p>
  </w:endnote>
  <w:endnote w:type="continuationSeparator" w:id="0">
    <w:p w:rsidR="00D717E2" w:rsidRDefault="00D717E2" w:rsidP="00AC09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17E2" w:rsidRDefault="00D717E2" w:rsidP="00AC095B">
      <w:pPr>
        <w:spacing w:after="0" w:line="240" w:lineRule="auto"/>
      </w:pPr>
      <w:r>
        <w:separator/>
      </w:r>
    </w:p>
  </w:footnote>
  <w:footnote w:type="continuationSeparator" w:id="0">
    <w:p w:rsidR="00D717E2" w:rsidRDefault="00D717E2" w:rsidP="00AC09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95B" w:rsidRDefault="00AC095B" w:rsidP="00AC095B">
    <w:pPr>
      <w:pStyle w:val="Default"/>
      <w:jc w:val="both"/>
      <w:rPr>
        <w:sz w:val="20"/>
        <w:szCs w:val="20"/>
      </w:rPr>
    </w:pPr>
    <w:r>
      <w:rPr>
        <w:sz w:val="20"/>
        <w:szCs w:val="20"/>
      </w:rPr>
      <w:t xml:space="preserve">Poznámky </w:t>
    </w:r>
    <w:proofErr w:type="spellStart"/>
    <w:r>
      <w:rPr>
        <w:sz w:val="20"/>
        <w:szCs w:val="20"/>
      </w:rPr>
      <w:t>Úč</w:t>
    </w:r>
    <w:proofErr w:type="spellEnd"/>
    <w:r>
      <w:rPr>
        <w:sz w:val="20"/>
        <w:szCs w:val="20"/>
      </w:rPr>
      <w:t xml:space="preserve"> MÚJ 3-01 MUDr. </w:t>
    </w:r>
    <w:proofErr w:type="spellStart"/>
    <w:r>
      <w:rPr>
        <w:sz w:val="20"/>
        <w:szCs w:val="20"/>
      </w:rPr>
      <w:t>Sninčáková</w:t>
    </w:r>
    <w:proofErr w:type="spellEnd"/>
    <w:r>
      <w:rPr>
        <w:sz w:val="20"/>
        <w:szCs w:val="20"/>
      </w:rPr>
      <w:t xml:space="preserve"> Marta spol. s.r.o. IČO:35918250 DIČ:2021942582 </w:t>
    </w:r>
  </w:p>
  <w:p w:rsidR="00AC095B" w:rsidRDefault="00AC095B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AC095B"/>
    <w:rsid w:val="00027D49"/>
    <w:rsid w:val="00152E8F"/>
    <w:rsid w:val="002723B3"/>
    <w:rsid w:val="003D6065"/>
    <w:rsid w:val="00510665"/>
    <w:rsid w:val="00762FBA"/>
    <w:rsid w:val="0076709E"/>
    <w:rsid w:val="00850B9F"/>
    <w:rsid w:val="00A30DAD"/>
    <w:rsid w:val="00AC095B"/>
    <w:rsid w:val="00D133D5"/>
    <w:rsid w:val="00D717E2"/>
    <w:rsid w:val="00DD3B82"/>
    <w:rsid w:val="00E65164"/>
    <w:rsid w:val="00EA19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9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C09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AC09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C095B"/>
  </w:style>
  <w:style w:type="paragraph" w:styleId="Pta">
    <w:name w:val="footer"/>
    <w:basedOn w:val="Normlny"/>
    <w:link w:val="PtaChar"/>
    <w:uiPriority w:val="99"/>
    <w:semiHidden/>
    <w:unhideWhenUsed/>
    <w:rsid w:val="00AC09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C095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9C0F6C-0DDA-4627-AAB4-9B2EFD204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3240</Words>
  <Characters>18473</Characters>
  <Application>Microsoft Office Word</Application>
  <DocSecurity>0</DocSecurity>
  <Lines>153</Lines>
  <Paragraphs>43</Paragraphs>
  <ScaleCrop>false</ScaleCrop>
  <Company>Hewlett-Packard Company</Company>
  <LinksUpToDate>false</LinksUpToDate>
  <CharactersWithSpaces>21670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Sninčák</dc:creator>
  <cp:lastModifiedBy>Sninčák</cp:lastModifiedBy>
  <cp:revision>2</cp:revision>
  <dcterms:created xsi:type="dcterms:W3CDTF">2021-06-02T17:02:00Z</dcterms:created>
  <dcterms:modified xsi:type="dcterms:W3CDTF">2021-06-02T17:02:00Z</dcterms:modified>
</cp:coreProperties>
</file>