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83E" w:rsidRDefault="001A083E">
      <w:pPr>
        <w:ind w:left="1077" w:hanging="680"/>
        <w:jc w:val="both"/>
        <w:rPr>
          <w:b/>
          <w:sz w:val="24"/>
        </w:rPr>
      </w:pPr>
    </w:p>
    <w:p w:rsidR="001A083E" w:rsidRDefault="001A083E">
      <w:pPr>
        <w:tabs>
          <w:tab w:val="left" w:pos="1605"/>
        </w:tabs>
        <w:ind w:left="1077" w:hanging="680"/>
        <w:jc w:val="both"/>
        <w:rPr>
          <w:b/>
          <w:color w:val="4F6228"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:rsidR="001A083E" w:rsidRDefault="001A083E">
      <w:pPr>
        <w:tabs>
          <w:tab w:val="left" w:pos="1605"/>
        </w:tabs>
        <w:ind w:left="1077" w:hanging="680"/>
        <w:jc w:val="both"/>
        <w:rPr>
          <w:b/>
          <w:color w:val="4F6228"/>
          <w:sz w:val="24"/>
          <w:highlight w:val="green"/>
        </w:rPr>
      </w:pPr>
      <w:r>
        <w:rPr>
          <w:b/>
          <w:color w:val="EAF1DD"/>
          <w:sz w:val="24"/>
        </w:rPr>
        <w:t xml:space="preserve">           </w:t>
      </w:r>
    </w:p>
    <w:p w:rsidR="001A083E" w:rsidRDefault="001A08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POZNÁMKY</w:t>
      </w:r>
    </w:p>
    <w:p w:rsidR="001A083E" w:rsidRDefault="001A083E">
      <w:pPr>
        <w:ind w:left="1077" w:hanging="680"/>
        <w:jc w:val="center"/>
        <w:rPr>
          <w:b/>
          <w:sz w:val="24"/>
        </w:rPr>
      </w:pPr>
      <w:r>
        <w:rPr>
          <w:b/>
          <w:sz w:val="24"/>
        </w:rPr>
        <w:t xml:space="preserve"> individuálnej účtovnej závierky zostavenej </w:t>
      </w:r>
      <w:r w:rsidRPr="006A3E96">
        <w:rPr>
          <w:b/>
          <w:sz w:val="24"/>
        </w:rPr>
        <w:t>malou účtovnou jednotkou</w:t>
      </w:r>
      <w:r>
        <w:rPr>
          <w:b/>
          <w:sz w:val="24"/>
        </w:rPr>
        <w:t xml:space="preserve"> (ďalej </w:t>
      </w:r>
      <w:r w:rsidR="0031710C">
        <w:rPr>
          <w:b/>
          <w:sz w:val="24"/>
        </w:rPr>
        <w:t>Ú</w:t>
      </w:r>
      <w:r>
        <w:rPr>
          <w:b/>
          <w:sz w:val="24"/>
        </w:rPr>
        <w:t>J)</w:t>
      </w:r>
    </w:p>
    <w:p w:rsidR="001A083E" w:rsidRDefault="001A083E">
      <w:pPr>
        <w:ind w:left="1077" w:hanging="680"/>
        <w:jc w:val="center"/>
        <w:rPr>
          <w:sz w:val="24"/>
        </w:rPr>
      </w:pPr>
      <w:r>
        <w:rPr>
          <w:sz w:val="24"/>
        </w:rPr>
        <w:t>(v rozsahu prílohy č. 1 k opatrenia MF SR č. MF/23378/2014-74)</w:t>
      </w:r>
    </w:p>
    <w:p w:rsidR="001A083E" w:rsidRDefault="001A083E">
      <w:pPr>
        <w:tabs>
          <w:tab w:val="left" w:pos="3375"/>
        </w:tabs>
        <w:jc w:val="both"/>
        <w:rPr>
          <w:b/>
          <w:sz w:val="24"/>
        </w:rPr>
      </w:pPr>
      <w:r>
        <w:rPr>
          <w:b/>
          <w:sz w:val="24"/>
        </w:rPr>
        <w:tab/>
      </w:r>
    </w:p>
    <w:p w:rsidR="001A083E" w:rsidRDefault="001A083E">
      <w:pPr>
        <w:tabs>
          <w:tab w:val="left" w:pos="2970"/>
        </w:tabs>
        <w:jc w:val="center"/>
        <w:rPr>
          <w:b/>
          <w:sz w:val="24"/>
        </w:rPr>
      </w:pPr>
    </w:p>
    <w:p w:rsidR="001A083E" w:rsidRDefault="001A083E">
      <w:pPr>
        <w:jc w:val="center"/>
        <w:rPr>
          <w:b/>
          <w:sz w:val="24"/>
        </w:rPr>
      </w:pPr>
      <w:r>
        <w:rPr>
          <w:b/>
          <w:sz w:val="24"/>
        </w:rPr>
        <w:t xml:space="preserve">Doplňujúce informácie k účtovnej závierke za rok </w:t>
      </w:r>
      <w:r w:rsidR="005E12E0">
        <w:rPr>
          <w:b/>
          <w:sz w:val="24"/>
        </w:rPr>
        <w:t>2020</w:t>
      </w:r>
    </w:p>
    <w:p w:rsidR="001A083E" w:rsidRDefault="001A083E">
      <w:pPr>
        <w:tabs>
          <w:tab w:val="left" w:pos="2970"/>
        </w:tabs>
        <w:jc w:val="center"/>
        <w:rPr>
          <w:b/>
          <w:sz w:val="24"/>
        </w:rPr>
      </w:pPr>
    </w:p>
    <w:p w:rsidR="001A083E" w:rsidRDefault="001A083E">
      <w:pPr>
        <w:ind w:left="1077" w:hanging="680"/>
        <w:jc w:val="both"/>
        <w:rPr>
          <w:b/>
          <w:sz w:val="24"/>
        </w:rPr>
      </w:pPr>
    </w:p>
    <w:p w:rsidR="001A083E" w:rsidRDefault="001A083E">
      <w:pPr>
        <w:ind w:left="1077" w:hanging="680"/>
        <w:jc w:val="both"/>
        <w:rPr>
          <w:b/>
          <w:sz w:val="24"/>
        </w:rPr>
      </w:pPr>
    </w:p>
    <w:p w:rsidR="001A083E" w:rsidRDefault="001A083E">
      <w:pPr>
        <w:ind w:left="1077" w:hanging="680"/>
        <w:jc w:val="both"/>
        <w:rPr>
          <w:b/>
          <w:sz w:val="24"/>
        </w:rPr>
      </w:pPr>
    </w:p>
    <w:p w:rsidR="001A083E" w:rsidRDefault="001A083E">
      <w:pPr>
        <w:jc w:val="center"/>
        <w:rPr>
          <w:b/>
          <w:sz w:val="24"/>
        </w:rPr>
      </w:pPr>
      <w:r>
        <w:rPr>
          <w:b/>
          <w:sz w:val="24"/>
        </w:rPr>
        <w:t xml:space="preserve">Čl. 1 </w:t>
      </w:r>
    </w:p>
    <w:p w:rsidR="001A083E" w:rsidRDefault="001A083E">
      <w:pPr>
        <w:jc w:val="center"/>
        <w:rPr>
          <w:b/>
          <w:sz w:val="24"/>
        </w:rPr>
      </w:pPr>
    </w:p>
    <w:p w:rsidR="001A083E" w:rsidRDefault="001A083E">
      <w:pPr>
        <w:jc w:val="center"/>
        <w:rPr>
          <w:b/>
          <w:sz w:val="24"/>
        </w:rPr>
      </w:pPr>
      <w:r>
        <w:rPr>
          <w:b/>
          <w:sz w:val="24"/>
        </w:rPr>
        <w:t>Všeobecné informácie</w:t>
      </w:r>
    </w:p>
    <w:p w:rsidR="001A083E" w:rsidRDefault="001A083E">
      <w:pPr>
        <w:jc w:val="center"/>
        <w:rPr>
          <w:b/>
          <w:szCs w:val="22"/>
        </w:rPr>
      </w:pPr>
    </w:p>
    <w:p w:rsidR="001A083E" w:rsidRDefault="001A083E">
      <w:pPr>
        <w:pStyle w:val="Zkladntex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(1) Identifikácia </w:t>
      </w:r>
      <w:r w:rsidR="0031710C">
        <w:rPr>
          <w:rFonts w:ascii="Arial Narrow" w:hAnsi="Arial Narrow"/>
          <w:sz w:val="22"/>
          <w:szCs w:val="22"/>
        </w:rPr>
        <w:t>Ú</w:t>
      </w:r>
      <w:r>
        <w:rPr>
          <w:rFonts w:ascii="Arial Narrow" w:hAnsi="Arial Narrow"/>
          <w:sz w:val="22"/>
          <w:szCs w:val="22"/>
        </w:rPr>
        <w:t>J</w:t>
      </w:r>
    </w:p>
    <w:p w:rsidR="001A083E" w:rsidRDefault="001A083E">
      <w:pPr>
        <w:pStyle w:val="Zkladntext"/>
        <w:rPr>
          <w:rFonts w:ascii="Arial Narrow" w:hAnsi="Arial Narrow"/>
          <w:b w:val="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</w:t>
      </w:r>
      <w:r>
        <w:rPr>
          <w:rFonts w:ascii="Arial Narrow" w:hAnsi="Arial Narrow"/>
          <w:b w:val="0"/>
          <w:sz w:val="22"/>
          <w:szCs w:val="22"/>
        </w:rPr>
        <w:t>Obchodné meno:</w:t>
      </w:r>
      <w:r w:rsidR="006A3E96">
        <w:rPr>
          <w:rFonts w:ascii="Arial Narrow" w:hAnsi="Arial Narrow"/>
          <w:b w:val="0"/>
          <w:sz w:val="22"/>
          <w:szCs w:val="22"/>
        </w:rPr>
        <w:t xml:space="preserve"> </w:t>
      </w:r>
      <w:r w:rsidR="005E12E0">
        <w:rPr>
          <w:rFonts w:ascii="Arial Narrow" w:hAnsi="Arial Narrow"/>
          <w:b w:val="0"/>
          <w:sz w:val="22"/>
          <w:szCs w:val="22"/>
        </w:rPr>
        <w:t>. BOSTA ,</w:t>
      </w:r>
      <w:r w:rsidR="006A3E96">
        <w:rPr>
          <w:rFonts w:ascii="Arial Narrow" w:hAnsi="Arial Narrow"/>
          <w:b w:val="0"/>
          <w:sz w:val="22"/>
          <w:szCs w:val="22"/>
        </w:rPr>
        <w:t>s.r.o.</w:t>
      </w:r>
    </w:p>
    <w:p w:rsidR="001A083E" w:rsidRDefault="001A083E">
      <w:pPr>
        <w:jc w:val="both"/>
        <w:rPr>
          <w:szCs w:val="22"/>
        </w:rPr>
      </w:pPr>
      <w:r>
        <w:rPr>
          <w:szCs w:val="22"/>
        </w:rPr>
        <w:t xml:space="preserve">     Sídlo:</w:t>
      </w:r>
      <w:r w:rsidR="006A3E96">
        <w:rPr>
          <w:szCs w:val="22"/>
        </w:rPr>
        <w:t xml:space="preserve"> </w:t>
      </w:r>
      <w:r w:rsidR="005E12E0">
        <w:rPr>
          <w:szCs w:val="22"/>
        </w:rPr>
        <w:t xml:space="preserve">                     Nam.padlých hrdinov 7, 90028 Ivanka  pri Dunaji</w:t>
      </w:r>
    </w:p>
    <w:p w:rsidR="003A7DFF" w:rsidRPr="003A7DFF" w:rsidRDefault="003A7DFF" w:rsidP="003A7DFF">
      <w:pPr>
        <w:jc w:val="both"/>
        <w:rPr>
          <w:szCs w:val="22"/>
        </w:rPr>
      </w:pPr>
      <w:r>
        <w:rPr>
          <w:szCs w:val="22"/>
        </w:rPr>
        <w:t xml:space="preserve">     </w:t>
      </w:r>
      <w:r w:rsidRPr="003A7DFF">
        <w:rPr>
          <w:szCs w:val="22"/>
        </w:rPr>
        <w:t xml:space="preserve">Založená: </w:t>
      </w:r>
      <w:r w:rsidR="00FA43D6">
        <w:rPr>
          <w:szCs w:val="22"/>
        </w:rPr>
        <w:t>spoločensk</w:t>
      </w:r>
      <w:r w:rsidR="008341DD">
        <w:rPr>
          <w:szCs w:val="22"/>
        </w:rPr>
        <w:t>ou</w:t>
      </w:r>
      <w:r w:rsidR="00FA43D6">
        <w:rPr>
          <w:szCs w:val="22"/>
        </w:rPr>
        <w:t xml:space="preserve">  zmluv</w:t>
      </w:r>
      <w:r w:rsidR="008341DD">
        <w:rPr>
          <w:szCs w:val="22"/>
        </w:rPr>
        <w:t>ou</w:t>
      </w:r>
      <w:r w:rsidR="005E12E0">
        <w:rPr>
          <w:szCs w:val="22"/>
        </w:rPr>
        <w:t xml:space="preserve">  zo dňa  8.4.2005</w:t>
      </w:r>
      <w:r w:rsidR="00312CF9">
        <w:rPr>
          <w:szCs w:val="22"/>
        </w:rPr>
        <w:t>.</w:t>
      </w:r>
      <w:r w:rsidR="00FA43D6">
        <w:rPr>
          <w:szCs w:val="22"/>
        </w:rPr>
        <w:t xml:space="preserve"> </w:t>
      </w:r>
    </w:p>
    <w:p w:rsidR="003A7DFF" w:rsidRDefault="003A7DFF" w:rsidP="003A7DFF">
      <w:pPr>
        <w:jc w:val="both"/>
        <w:rPr>
          <w:szCs w:val="22"/>
        </w:rPr>
      </w:pPr>
      <w:r w:rsidRPr="003A7DFF">
        <w:rPr>
          <w:szCs w:val="22"/>
        </w:rPr>
        <w:t xml:space="preserve">     Zapísaná:</w:t>
      </w:r>
      <w:r>
        <w:rPr>
          <w:szCs w:val="22"/>
        </w:rPr>
        <w:t xml:space="preserve"> </w:t>
      </w:r>
      <w:r w:rsidRPr="003A7DFF">
        <w:rPr>
          <w:szCs w:val="22"/>
        </w:rPr>
        <w:t>v Obchodnom registri Okresného súdu v</w:t>
      </w:r>
      <w:r w:rsidR="00FA43D6">
        <w:rPr>
          <w:szCs w:val="22"/>
        </w:rPr>
        <w:t xml:space="preserve"> Bratislave </w:t>
      </w:r>
      <w:r w:rsidR="008341DD">
        <w:rPr>
          <w:szCs w:val="22"/>
        </w:rPr>
        <w:t>I</w:t>
      </w:r>
      <w:r w:rsidRPr="003A7DFF">
        <w:rPr>
          <w:szCs w:val="22"/>
        </w:rPr>
        <w:t>, odd.</w:t>
      </w:r>
      <w:r w:rsidR="00FA43D6">
        <w:rPr>
          <w:szCs w:val="22"/>
        </w:rPr>
        <w:t xml:space="preserve"> Sro</w:t>
      </w:r>
      <w:r>
        <w:rPr>
          <w:szCs w:val="22"/>
        </w:rPr>
        <w:t>, vl</w:t>
      </w:r>
      <w:r w:rsidR="008341DD">
        <w:rPr>
          <w:szCs w:val="22"/>
        </w:rPr>
        <w:t>ožka č.</w:t>
      </w:r>
      <w:r>
        <w:rPr>
          <w:szCs w:val="22"/>
        </w:rPr>
        <w:t xml:space="preserve"> </w:t>
      </w:r>
      <w:r w:rsidR="005E12E0">
        <w:rPr>
          <w:szCs w:val="22"/>
        </w:rPr>
        <w:t xml:space="preserve"> 35556</w:t>
      </w:r>
      <w:r w:rsidR="00FA43D6">
        <w:rPr>
          <w:szCs w:val="22"/>
        </w:rPr>
        <w:t>/B</w:t>
      </w:r>
    </w:p>
    <w:p w:rsidR="001A083E" w:rsidRDefault="001A083E">
      <w:pPr>
        <w:jc w:val="both"/>
        <w:rPr>
          <w:szCs w:val="22"/>
        </w:rPr>
      </w:pPr>
      <w:r>
        <w:rPr>
          <w:szCs w:val="22"/>
        </w:rPr>
        <w:t xml:space="preserve">     </w:t>
      </w:r>
    </w:p>
    <w:p w:rsidR="00FA43D6" w:rsidRDefault="001A083E" w:rsidP="009F29BE">
      <w:pPr>
        <w:ind w:left="284" w:hanging="284"/>
        <w:jc w:val="both"/>
        <w:rPr>
          <w:szCs w:val="22"/>
        </w:rPr>
      </w:pPr>
      <w:r>
        <w:rPr>
          <w:b/>
          <w:szCs w:val="22"/>
        </w:rPr>
        <w:t xml:space="preserve">  </w:t>
      </w:r>
      <w:r>
        <w:rPr>
          <w:szCs w:val="22"/>
        </w:rPr>
        <w:t xml:space="preserve">   Z činností zapísaných v Obchodnom registri vykonávala ÚJ v bežnom účtovnom období (ďalej BUO) predovšetkým nasledovné činnosti:</w:t>
      </w:r>
    </w:p>
    <w:p w:rsidR="00E960EA" w:rsidRPr="009F29BE" w:rsidRDefault="005E12E0" w:rsidP="009F29BE">
      <w:pPr>
        <w:pStyle w:val="Odsekzoznamu"/>
        <w:numPr>
          <w:ilvl w:val="0"/>
          <w:numId w:val="25"/>
        </w:numPr>
        <w:spacing w:line="240" w:lineRule="auto"/>
        <w:jc w:val="both"/>
        <w:rPr>
          <w:szCs w:val="22"/>
        </w:rPr>
      </w:pPr>
      <w:r>
        <w:rPr>
          <w:szCs w:val="22"/>
        </w:rPr>
        <w:t>Vnútroštátna nákladná cestna doprava</w:t>
      </w:r>
    </w:p>
    <w:p w:rsidR="00FA43D6" w:rsidRDefault="005E12E0" w:rsidP="009F29BE">
      <w:pPr>
        <w:pStyle w:val="Odsekzoznamu"/>
        <w:numPr>
          <w:ilvl w:val="0"/>
          <w:numId w:val="25"/>
        </w:numPr>
        <w:spacing w:line="240" w:lineRule="auto"/>
        <w:jc w:val="both"/>
        <w:rPr>
          <w:szCs w:val="22"/>
        </w:rPr>
      </w:pPr>
      <w:r>
        <w:rPr>
          <w:szCs w:val="22"/>
        </w:rPr>
        <w:t>Medzinárodná cestná preprvs tovaru, zasielatelstvo, prenájom motorových vozudiel</w:t>
      </w:r>
    </w:p>
    <w:p w:rsidR="00FA43D6" w:rsidRPr="005E12E0" w:rsidRDefault="00FA43D6" w:rsidP="005E12E0">
      <w:pPr>
        <w:ind w:left="660"/>
        <w:jc w:val="both"/>
        <w:rPr>
          <w:szCs w:val="22"/>
        </w:rPr>
      </w:pPr>
    </w:p>
    <w:p w:rsidR="001A083E" w:rsidRDefault="001A083E">
      <w:pPr>
        <w:ind w:left="737" w:firstLine="397"/>
        <w:rPr>
          <w:szCs w:val="22"/>
        </w:rPr>
      </w:pPr>
    </w:p>
    <w:p w:rsidR="001A083E" w:rsidRDefault="001A083E">
      <w:pPr>
        <w:rPr>
          <w:szCs w:val="22"/>
        </w:rPr>
      </w:pPr>
      <w:r>
        <w:rPr>
          <w:b/>
          <w:szCs w:val="22"/>
        </w:rPr>
        <w:t>(2)</w:t>
      </w:r>
      <w:r>
        <w:rPr>
          <w:szCs w:val="22"/>
        </w:rPr>
        <w:t xml:space="preserve">  Účtovná závierka</w:t>
      </w:r>
      <w:r w:rsidR="008341DD">
        <w:rPr>
          <w:szCs w:val="22"/>
        </w:rPr>
        <w:t xml:space="preserve"> (ďalej UZ)</w:t>
      </w:r>
      <w:r>
        <w:rPr>
          <w:szCs w:val="22"/>
        </w:rPr>
        <w:t xml:space="preserve"> za predchádzajúce účtovné obdobie bola schválená valným zhromaždením (resp. iným orgánom)</w:t>
      </w:r>
      <w:r w:rsidR="005E12E0">
        <w:rPr>
          <w:szCs w:val="22"/>
        </w:rPr>
        <w:t xml:space="preserve"> dňa 1.6.2020</w:t>
      </w:r>
    </w:p>
    <w:p w:rsidR="001A083E" w:rsidRDefault="001A083E">
      <w:pPr>
        <w:rPr>
          <w:szCs w:val="22"/>
        </w:rPr>
      </w:pPr>
    </w:p>
    <w:p w:rsidR="001A083E" w:rsidRDefault="001A083E">
      <w:pPr>
        <w:rPr>
          <w:szCs w:val="22"/>
        </w:rPr>
      </w:pPr>
    </w:p>
    <w:p w:rsidR="001A083E" w:rsidRDefault="001A083E">
      <w:pPr>
        <w:jc w:val="both"/>
        <w:rPr>
          <w:szCs w:val="22"/>
        </w:rPr>
      </w:pPr>
      <w:r>
        <w:rPr>
          <w:b/>
          <w:szCs w:val="22"/>
        </w:rPr>
        <w:t>(3)</w:t>
      </w:r>
      <w:r>
        <w:rPr>
          <w:szCs w:val="22"/>
        </w:rPr>
        <w:t xml:space="preserve">  Účtovná závierka bola zostavená ako riadna závierka k poslednému dňu BUO</w:t>
      </w:r>
      <w:r w:rsidR="00E960EA">
        <w:rPr>
          <w:szCs w:val="22"/>
        </w:rPr>
        <w:t xml:space="preserve"> 31.12.</w:t>
      </w:r>
      <w:r w:rsidR="000A320F">
        <w:rPr>
          <w:szCs w:val="22"/>
        </w:rPr>
        <w:t>2020</w:t>
      </w:r>
      <w:r w:rsidR="005C0682">
        <w:rPr>
          <w:szCs w:val="22"/>
        </w:rPr>
        <w:t>.</w:t>
      </w:r>
    </w:p>
    <w:p w:rsidR="001A083E" w:rsidRDefault="001A083E">
      <w:pPr>
        <w:ind w:left="1440"/>
        <w:jc w:val="both"/>
        <w:rPr>
          <w:szCs w:val="22"/>
        </w:rPr>
      </w:pPr>
      <w:r>
        <w:rPr>
          <w:szCs w:val="22"/>
        </w:rPr>
        <w:t xml:space="preserve"> </w:t>
      </w:r>
    </w:p>
    <w:p w:rsidR="001A083E" w:rsidRPr="00E55FDE" w:rsidRDefault="001A083E" w:rsidP="00E55FDE">
      <w:pPr>
        <w:pStyle w:val="Nadpis1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</w:t>
      </w:r>
      <w:r w:rsidR="004B6444">
        <w:rPr>
          <w:rFonts w:ascii="Arial Narrow" w:hAnsi="Arial Narrow"/>
          <w:sz w:val="24"/>
          <w:szCs w:val="24"/>
        </w:rPr>
        <w:t>4</w:t>
      </w:r>
      <w:r>
        <w:rPr>
          <w:rFonts w:ascii="Arial Narrow" w:hAnsi="Arial Narrow"/>
          <w:sz w:val="24"/>
          <w:szCs w:val="24"/>
        </w:rPr>
        <w:t xml:space="preserve">) Údaje o skupine </w:t>
      </w:r>
    </w:p>
    <w:p w:rsidR="001A083E" w:rsidRDefault="001A083E"/>
    <w:p w:rsidR="001A083E" w:rsidRDefault="0031710C">
      <w:r>
        <w:t>Ú</w:t>
      </w:r>
      <w:r w:rsidR="001A083E">
        <w:t xml:space="preserve">J </w:t>
      </w:r>
      <w:r w:rsidR="00FA43D6">
        <w:t xml:space="preserve"> nie je dcérskou spoločnosťou ani  materskou spoločnos</w:t>
      </w:r>
      <w:r w:rsidR="00072F5E">
        <w:t>ť</w:t>
      </w:r>
      <w:r w:rsidR="00FA43D6">
        <w:t>ou, nepatr</w:t>
      </w:r>
      <w:r w:rsidR="00072F5E">
        <w:t>í</w:t>
      </w:r>
      <w:r w:rsidR="00FA43D6">
        <w:t xml:space="preserve"> do žiadnej skupiny</w:t>
      </w:r>
      <w:r>
        <w:t>.</w:t>
      </w:r>
    </w:p>
    <w:p w:rsidR="00E55FDE" w:rsidRDefault="00E55FDE"/>
    <w:p w:rsidR="00E55FDE" w:rsidRDefault="00E55FDE"/>
    <w:p w:rsidR="001A083E" w:rsidRDefault="001A083E">
      <w:pPr>
        <w:rPr>
          <w:b/>
          <w:szCs w:val="22"/>
        </w:rPr>
      </w:pPr>
      <w:r>
        <w:rPr>
          <w:b/>
          <w:szCs w:val="22"/>
        </w:rPr>
        <w:t>(</w:t>
      </w:r>
      <w:r w:rsidR="004B6444">
        <w:rPr>
          <w:b/>
          <w:szCs w:val="22"/>
        </w:rPr>
        <w:t>5</w:t>
      </w:r>
      <w:r>
        <w:rPr>
          <w:b/>
          <w:szCs w:val="22"/>
        </w:rPr>
        <w:t>) Informácie o počte zamestnancov</w:t>
      </w:r>
    </w:p>
    <w:p w:rsidR="001A083E" w:rsidRDefault="001A083E">
      <w:pPr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584"/>
        <w:gridCol w:w="2807"/>
      </w:tblGrid>
      <w:tr w:rsidR="001A083E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A083E" w:rsidRDefault="001A083E">
            <w:pPr>
              <w:pStyle w:val="TopHeader"/>
            </w:pPr>
            <w: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A083E" w:rsidRDefault="001A083E">
            <w:pPr>
              <w:pStyle w:val="TopHeader"/>
            </w:pPr>
            <w:r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A083E" w:rsidRDefault="001A083E">
            <w:pPr>
              <w:pStyle w:val="TopHeader"/>
            </w:pPr>
            <w:r>
              <w:t>Bezprostredne predchádzajúce účtovné obdobie</w:t>
            </w:r>
          </w:p>
        </w:tc>
      </w:tr>
      <w:tr w:rsidR="001A083E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A083E" w:rsidRDefault="001A083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A17A5" w:rsidRDefault="00CB689E" w:rsidP="00FA17A5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60,84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1A083E" w:rsidRDefault="000A320F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59</w:t>
            </w:r>
            <w:r w:rsidR="00CB689E">
              <w:rPr>
                <w:rFonts w:cs="Arial"/>
                <w:szCs w:val="22"/>
              </w:rPr>
              <w:t>,37</w:t>
            </w:r>
            <w:bookmarkStart w:id="0" w:name="_GoBack"/>
            <w:bookmarkEnd w:id="0"/>
          </w:p>
        </w:tc>
      </w:tr>
      <w:tr w:rsidR="001A083E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A083E" w:rsidRDefault="001A083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Počet zamestnancov ku dňu, ku ktorému sa zostavuje účtovná závierka: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083E" w:rsidRDefault="00CB689E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65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1A083E" w:rsidRDefault="000A320F" w:rsidP="000A320F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                        </w:t>
            </w:r>
            <w:r w:rsidR="00207B6C">
              <w:rPr>
                <w:rFonts w:cs="Arial"/>
                <w:szCs w:val="22"/>
              </w:rPr>
              <w:t>63</w:t>
            </w:r>
          </w:p>
        </w:tc>
      </w:tr>
    </w:tbl>
    <w:p w:rsidR="001A083E" w:rsidRPr="00022C9C" w:rsidRDefault="001A083E">
      <w:pPr>
        <w:pStyle w:val="Nadpis1"/>
        <w:jc w:val="center"/>
        <w:rPr>
          <w:rFonts w:ascii="Arial Narrow" w:hAnsi="Arial Narrow"/>
          <w:sz w:val="24"/>
          <w:szCs w:val="24"/>
        </w:rPr>
      </w:pPr>
      <w:r w:rsidRPr="00022C9C">
        <w:rPr>
          <w:rFonts w:ascii="Arial Narrow" w:hAnsi="Arial Narrow"/>
          <w:sz w:val="24"/>
          <w:szCs w:val="24"/>
        </w:rPr>
        <w:lastRenderedPageBreak/>
        <w:t>Čl. II</w:t>
      </w:r>
    </w:p>
    <w:p w:rsidR="001A083E" w:rsidRPr="00022C9C" w:rsidRDefault="001A083E">
      <w:pPr>
        <w:rPr>
          <w:sz w:val="24"/>
        </w:rPr>
      </w:pPr>
    </w:p>
    <w:p w:rsidR="001A083E" w:rsidRDefault="001A083E" w:rsidP="0031710C">
      <w:pPr>
        <w:jc w:val="center"/>
        <w:rPr>
          <w:b/>
          <w:sz w:val="24"/>
        </w:rPr>
      </w:pPr>
      <w:r w:rsidRPr="00022C9C">
        <w:rPr>
          <w:b/>
          <w:sz w:val="24"/>
        </w:rPr>
        <w:t>Informácie o orgánoch spoločnosti</w:t>
      </w:r>
    </w:p>
    <w:p w:rsidR="0031710C" w:rsidRPr="00162AD0" w:rsidRDefault="0031710C" w:rsidP="009F29BE">
      <w:pPr>
        <w:jc w:val="center"/>
        <w:rPr>
          <w:i/>
          <w:color w:val="FF0000"/>
          <w:szCs w:val="22"/>
        </w:rPr>
      </w:pPr>
    </w:p>
    <w:p w:rsidR="00FA17A5" w:rsidRPr="00162AD0" w:rsidRDefault="0031710C" w:rsidP="00FA17A5">
      <w:pPr>
        <w:pStyle w:val="Zkladntext"/>
        <w:rPr>
          <w:rFonts w:ascii="Arial Narrow" w:hAnsi="Arial Narrow"/>
          <w:b w:val="0"/>
          <w:sz w:val="22"/>
          <w:szCs w:val="22"/>
        </w:rPr>
      </w:pPr>
      <w:r>
        <w:rPr>
          <w:rFonts w:ascii="Arial Narrow" w:hAnsi="Arial Narrow"/>
          <w:b w:val="0"/>
          <w:sz w:val="22"/>
          <w:szCs w:val="22"/>
        </w:rPr>
        <w:t>Účtovná jednotka</w:t>
      </w:r>
      <w:r w:rsidRPr="00162AD0">
        <w:rPr>
          <w:rFonts w:ascii="Arial Narrow" w:hAnsi="Arial Narrow"/>
          <w:b w:val="0"/>
          <w:sz w:val="22"/>
          <w:szCs w:val="22"/>
        </w:rPr>
        <w:t xml:space="preserve"> </w:t>
      </w:r>
      <w:r w:rsidR="00FA43D6">
        <w:rPr>
          <w:rFonts w:ascii="Arial Narrow" w:hAnsi="Arial Narrow"/>
          <w:b w:val="0"/>
          <w:sz w:val="22"/>
          <w:szCs w:val="22"/>
        </w:rPr>
        <w:t>ne</w:t>
      </w:r>
      <w:r w:rsidR="00FA17A5" w:rsidRPr="00162AD0">
        <w:rPr>
          <w:rFonts w:ascii="Arial Narrow" w:hAnsi="Arial Narrow"/>
          <w:b w:val="0"/>
          <w:sz w:val="22"/>
          <w:szCs w:val="22"/>
        </w:rPr>
        <w:t xml:space="preserve">poskytla v roku </w:t>
      </w:r>
      <w:r w:rsidR="000A320F">
        <w:rPr>
          <w:rFonts w:ascii="Arial Narrow" w:hAnsi="Arial Narrow"/>
          <w:b w:val="0"/>
          <w:sz w:val="22"/>
          <w:szCs w:val="22"/>
        </w:rPr>
        <w:t>2020 (ani 2019</w:t>
      </w:r>
      <w:r>
        <w:rPr>
          <w:rFonts w:ascii="Arial Narrow" w:hAnsi="Arial Narrow"/>
          <w:b w:val="0"/>
          <w:sz w:val="22"/>
          <w:szCs w:val="22"/>
        </w:rPr>
        <w:t>)</w:t>
      </w:r>
      <w:r w:rsidR="0018765B" w:rsidRPr="00162AD0">
        <w:rPr>
          <w:rFonts w:ascii="Arial Narrow" w:hAnsi="Arial Narrow"/>
          <w:b w:val="0"/>
          <w:sz w:val="22"/>
          <w:szCs w:val="22"/>
        </w:rPr>
        <w:t xml:space="preserve">  </w:t>
      </w:r>
      <w:r w:rsidR="00FA17A5" w:rsidRPr="00162AD0">
        <w:rPr>
          <w:rFonts w:ascii="Arial Narrow" w:hAnsi="Arial Narrow"/>
          <w:b w:val="0"/>
          <w:sz w:val="22"/>
          <w:szCs w:val="22"/>
        </w:rPr>
        <w:t xml:space="preserve">členom orgánov </w:t>
      </w:r>
      <w:r>
        <w:rPr>
          <w:rFonts w:ascii="Arial Narrow" w:hAnsi="Arial Narrow"/>
          <w:b w:val="0"/>
          <w:sz w:val="22"/>
          <w:szCs w:val="22"/>
        </w:rPr>
        <w:t>účtovnej jednotky</w:t>
      </w:r>
      <w:r w:rsidR="00312CF9">
        <w:rPr>
          <w:rFonts w:ascii="Arial Narrow" w:hAnsi="Arial Narrow"/>
          <w:b w:val="0"/>
          <w:sz w:val="22"/>
          <w:szCs w:val="22"/>
        </w:rPr>
        <w:t>:</w:t>
      </w:r>
    </w:p>
    <w:p w:rsidR="00FA17A5" w:rsidRPr="00162AD0" w:rsidRDefault="00FA17A5" w:rsidP="00FA17A5">
      <w:pPr>
        <w:pStyle w:val="Zkladntext"/>
        <w:numPr>
          <w:ilvl w:val="0"/>
          <w:numId w:val="24"/>
        </w:numPr>
        <w:rPr>
          <w:rFonts w:ascii="Arial Narrow" w:hAnsi="Arial Narrow"/>
          <w:b w:val="0"/>
          <w:sz w:val="22"/>
          <w:szCs w:val="22"/>
        </w:rPr>
      </w:pPr>
      <w:r w:rsidRPr="00162AD0">
        <w:rPr>
          <w:rFonts w:ascii="Arial Narrow" w:hAnsi="Arial Narrow"/>
          <w:b w:val="0"/>
          <w:sz w:val="22"/>
          <w:szCs w:val="22"/>
        </w:rPr>
        <w:t xml:space="preserve">záruky alebo iné zabezpečenia, </w:t>
      </w:r>
    </w:p>
    <w:p w:rsidR="00FA17A5" w:rsidRDefault="00FA17A5" w:rsidP="00162AD0">
      <w:pPr>
        <w:pStyle w:val="Zkladntext"/>
        <w:numPr>
          <w:ilvl w:val="0"/>
          <w:numId w:val="24"/>
        </w:numPr>
        <w:rPr>
          <w:rFonts w:ascii="Arial Narrow" w:hAnsi="Arial Narrow"/>
          <w:b w:val="0"/>
          <w:sz w:val="22"/>
          <w:szCs w:val="22"/>
        </w:rPr>
      </w:pPr>
      <w:r w:rsidRPr="00162AD0">
        <w:rPr>
          <w:rFonts w:ascii="Arial Narrow" w:hAnsi="Arial Narrow"/>
          <w:b w:val="0"/>
          <w:sz w:val="22"/>
          <w:szCs w:val="22"/>
        </w:rPr>
        <w:t>pôžičky,</w:t>
      </w:r>
    </w:p>
    <w:p w:rsidR="00FA17A5" w:rsidRPr="00162AD0" w:rsidRDefault="00FA17A5" w:rsidP="00162AD0">
      <w:pPr>
        <w:pStyle w:val="Zkladntext"/>
        <w:numPr>
          <w:ilvl w:val="0"/>
          <w:numId w:val="24"/>
        </w:numPr>
        <w:rPr>
          <w:rFonts w:ascii="Arial Narrow" w:hAnsi="Arial Narrow"/>
          <w:b w:val="0"/>
          <w:sz w:val="22"/>
          <w:szCs w:val="22"/>
        </w:rPr>
      </w:pPr>
      <w:r w:rsidRPr="00162AD0">
        <w:rPr>
          <w:rFonts w:ascii="Arial Narrow" w:hAnsi="Arial Narrow"/>
          <w:b w:val="0"/>
          <w:sz w:val="22"/>
          <w:szCs w:val="22"/>
        </w:rPr>
        <w:t>finančné prostriedky, resp. iné plnenia na súkromné použitie, ktoré by bolo potrebné vyúčtovať.</w:t>
      </w:r>
    </w:p>
    <w:p w:rsidR="00FA17A5" w:rsidRPr="00162AD0" w:rsidRDefault="00FA17A5" w:rsidP="00FA17A5">
      <w:pPr>
        <w:jc w:val="center"/>
        <w:rPr>
          <w:szCs w:val="22"/>
        </w:rPr>
      </w:pPr>
    </w:p>
    <w:p w:rsidR="001A083E" w:rsidRPr="00FA17A5" w:rsidRDefault="001A083E">
      <w:pPr>
        <w:rPr>
          <w:i/>
          <w:color w:val="FF0000"/>
          <w:szCs w:val="22"/>
        </w:rPr>
      </w:pPr>
    </w:p>
    <w:p w:rsidR="001A083E" w:rsidRDefault="001A083E">
      <w:pPr>
        <w:pStyle w:val="Nadpis1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Čl. III</w:t>
      </w:r>
    </w:p>
    <w:p w:rsidR="001A083E" w:rsidRDefault="001A083E">
      <w:pPr>
        <w:rPr>
          <w:sz w:val="24"/>
        </w:rPr>
      </w:pPr>
    </w:p>
    <w:p w:rsidR="001A083E" w:rsidRDefault="001A083E">
      <w:pPr>
        <w:jc w:val="center"/>
        <w:rPr>
          <w:b/>
          <w:sz w:val="24"/>
        </w:rPr>
      </w:pPr>
      <w:r>
        <w:rPr>
          <w:b/>
          <w:sz w:val="24"/>
        </w:rPr>
        <w:t>Informácie o prijatých postupoch</w:t>
      </w:r>
    </w:p>
    <w:p w:rsidR="001A083E" w:rsidRDefault="001A083E">
      <w:pPr>
        <w:pStyle w:val="Pta"/>
        <w:tabs>
          <w:tab w:val="clear" w:pos="4536"/>
          <w:tab w:val="clear" w:pos="9072"/>
        </w:tabs>
        <w:spacing w:line="360" w:lineRule="auto"/>
        <w:rPr>
          <w:rFonts w:ascii="Arial Narrow" w:hAnsi="Arial Narrow"/>
          <w:sz w:val="22"/>
          <w:szCs w:val="22"/>
        </w:rPr>
      </w:pPr>
    </w:p>
    <w:p w:rsidR="001A083E" w:rsidRDefault="001A083E" w:rsidP="0031710C">
      <w:pPr>
        <w:jc w:val="both"/>
        <w:rPr>
          <w:szCs w:val="22"/>
        </w:rPr>
      </w:pPr>
      <w:r>
        <w:rPr>
          <w:b/>
          <w:szCs w:val="22"/>
        </w:rPr>
        <w:t>(1)</w:t>
      </w:r>
      <w:r>
        <w:rPr>
          <w:szCs w:val="22"/>
        </w:rPr>
        <w:t xml:space="preserve">  Ku dňu zostavenia účtovnej závierky nie sú ÚJ známe žiadne subjektívne ani objektívne dôvody na </w:t>
      </w:r>
    </w:p>
    <w:p w:rsidR="001A083E" w:rsidRDefault="001A083E" w:rsidP="009F29BE">
      <w:pPr>
        <w:ind w:left="348"/>
        <w:jc w:val="both"/>
        <w:rPr>
          <w:szCs w:val="22"/>
        </w:rPr>
      </w:pPr>
      <w:r>
        <w:rPr>
          <w:szCs w:val="22"/>
        </w:rPr>
        <w:t>obmedzenie, prípadne ukončenie jej činnosti najmenej po dobu 12 mesiacov.</w:t>
      </w:r>
      <w:r w:rsidR="0031710C">
        <w:rPr>
          <w:szCs w:val="22"/>
        </w:rPr>
        <w:t xml:space="preserve"> </w:t>
      </w:r>
      <w:r w:rsidR="0031710C" w:rsidRPr="0031710C">
        <w:rPr>
          <w:szCs w:val="22"/>
        </w:rPr>
        <w:t xml:space="preserve">Účtovná závierka bola zostavená za predpokladu nepretržitého trvania </w:t>
      </w:r>
      <w:r w:rsidR="00197827">
        <w:rPr>
          <w:szCs w:val="22"/>
        </w:rPr>
        <w:t>Ú</w:t>
      </w:r>
      <w:r w:rsidR="0031710C" w:rsidRPr="0031710C">
        <w:rPr>
          <w:szCs w:val="22"/>
        </w:rPr>
        <w:t>J.</w:t>
      </w:r>
    </w:p>
    <w:p w:rsidR="0031710C" w:rsidRDefault="0031710C" w:rsidP="009F29BE">
      <w:pPr>
        <w:jc w:val="both"/>
        <w:rPr>
          <w:szCs w:val="22"/>
        </w:rPr>
      </w:pPr>
    </w:p>
    <w:p w:rsidR="001A083E" w:rsidRDefault="001A083E" w:rsidP="00455789">
      <w:pPr>
        <w:ind w:left="397" w:hanging="397"/>
        <w:jc w:val="both"/>
        <w:rPr>
          <w:szCs w:val="22"/>
        </w:rPr>
      </w:pPr>
      <w:r>
        <w:rPr>
          <w:b/>
          <w:szCs w:val="22"/>
        </w:rPr>
        <w:t>(2)</w:t>
      </w:r>
      <w:r>
        <w:rPr>
          <w:szCs w:val="22"/>
        </w:rPr>
        <w:t xml:space="preserve">  </w:t>
      </w:r>
      <w:r w:rsidR="00197827">
        <w:rPr>
          <w:szCs w:val="22"/>
        </w:rPr>
        <w:t>Ú</w:t>
      </w:r>
      <w:r>
        <w:rPr>
          <w:szCs w:val="22"/>
        </w:rPr>
        <w:t>J vedie účtovníctvo v súlade so zákonom o účtovníctve, pričom v rámci vedenia účtovníctva uplatňuje metódy a zásady v súlade s týmto zákonom. V ÚJ neboli v roku, za ktorý sa zostavuje účtovná závierka, vykonané zmeny v účto</w:t>
      </w:r>
      <w:r w:rsidR="00455789">
        <w:rPr>
          <w:szCs w:val="22"/>
        </w:rPr>
        <w:t>vných zásadách, resp. metódach.</w:t>
      </w:r>
      <w:r w:rsidR="00197827">
        <w:rPr>
          <w:szCs w:val="22"/>
        </w:rPr>
        <w:t xml:space="preserve"> </w:t>
      </w:r>
      <w:r w:rsidR="00197827" w:rsidRPr="00197827">
        <w:rPr>
          <w:szCs w:val="22"/>
        </w:rPr>
        <w:t xml:space="preserve">Účtovné metódy a všeobecné účtovné zásady boli </w:t>
      </w:r>
      <w:r w:rsidR="00197827">
        <w:rPr>
          <w:szCs w:val="22"/>
        </w:rPr>
        <w:t>Ú</w:t>
      </w:r>
      <w:r w:rsidR="00197827" w:rsidRPr="00197827">
        <w:rPr>
          <w:szCs w:val="22"/>
        </w:rPr>
        <w:t>J konzistentne aplikované.</w:t>
      </w:r>
    </w:p>
    <w:p w:rsidR="001A083E" w:rsidRDefault="001A083E">
      <w:pPr>
        <w:jc w:val="both"/>
        <w:rPr>
          <w:szCs w:val="22"/>
        </w:rPr>
      </w:pPr>
    </w:p>
    <w:p w:rsidR="001A083E" w:rsidRDefault="001A083E">
      <w:pPr>
        <w:jc w:val="both"/>
        <w:rPr>
          <w:b/>
          <w:szCs w:val="22"/>
        </w:rPr>
      </w:pPr>
      <w:r>
        <w:rPr>
          <w:b/>
          <w:szCs w:val="22"/>
        </w:rPr>
        <w:t>(3) Informácie o</w:t>
      </w:r>
      <w:r w:rsidR="00197827">
        <w:rPr>
          <w:b/>
          <w:szCs w:val="22"/>
        </w:rPr>
        <w:t> určení rozhodujúcich účtovných odhadov a predpokladov</w:t>
      </w:r>
    </w:p>
    <w:p w:rsidR="003458B1" w:rsidRDefault="001A083E">
      <w:pPr>
        <w:jc w:val="both"/>
        <w:rPr>
          <w:b/>
          <w:szCs w:val="22"/>
        </w:rPr>
      </w:pPr>
      <w:r>
        <w:rPr>
          <w:b/>
          <w:szCs w:val="22"/>
        </w:rPr>
        <w:t xml:space="preserve">      </w:t>
      </w:r>
    </w:p>
    <w:p w:rsidR="00197827" w:rsidRPr="00197827" w:rsidRDefault="00197827" w:rsidP="00197827">
      <w:pPr>
        <w:jc w:val="both"/>
        <w:rPr>
          <w:szCs w:val="22"/>
        </w:rPr>
      </w:pPr>
      <w:r w:rsidRPr="00197827">
        <w:rPr>
          <w:szCs w:val="22"/>
        </w:rPr>
        <w:t>Zostavenie účtovnej závierky si vyžaduje, aby vedenie UJ urobilo úsudky, odhady a predpoklady, ktoré ovplyvňujú aplikáciu účtovných metód a účtovných zásad a hodnotu vykazovaného majetku, záväzkov, výnosov a nákladov. Odhady a súvisiace predpoklady sú založené na minulých skúsenostiach a iných rozličných faktoroch, považovaných za primerané okolnostiam, na základe ktorých sa formuje východisko pre posúdenie účtovných hodnôt majetku a záväzkov, ktoré nie sú zrejmé z iných zdrojov. Skutočné výsledky sa preto môžu líšiť od odhadov.</w:t>
      </w:r>
    </w:p>
    <w:p w:rsidR="00197827" w:rsidRDefault="00197827" w:rsidP="00197827">
      <w:pPr>
        <w:jc w:val="both"/>
        <w:rPr>
          <w:szCs w:val="22"/>
        </w:rPr>
      </w:pPr>
    </w:p>
    <w:p w:rsidR="00197827" w:rsidRDefault="00197827" w:rsidP="00197827">
      <w:pPr>
        <w:jc w:val="both"/>
        <w:rPr>
          <w:szCs w:val="22"/>
        </w:rPr>
      </w:pPr>
      <w:r w:rsidRPr="00197827">
        <w:rPr>
          <w:szCs w:val="22"/>
        </w:rPr>
        <w:t>Odhady a súvisiace predpoklady sú neustále prehodnocované. Korekcie účtovných odhadov nie sú vykázané retrospektívne, ale sú vykázané v období, v ktorom je odhad korigovaný, ak korekcia ovplyvňuje iba toto obdobie, alebo v období korekcie a v budúcich obdobiach, ak korekcia ovplyvňuje toto aj budúce obdobia.</w:t>
      </w:r>
    </w:p>
    <w:p w:rsidR="00197827" w:rsidRDefault="00197827" w:rsidP="00197827">
      <w:pPr>
        <w:jc w:val="both"/>
        <w:rPr>
          <w:szCs w:val="22"/>
        </w:rPr>
      </w:pPr>
    </w:p>
    <w:p w:rsidR="00197827" w:rsidRDefault="00197827" w:rsidP="00197827">
      <w:pPr>
        <w:jc w:val="both"/>
        <w:rPr>
          <w:b/>
          <w:bCs/>
          <w:szCs w:val="22"/>
        </w:rPr>
      </w:pPr>
      <w:r w:rsidRPr="009F29BE">
        <w:rPr>
          <w:b/>
          <w:bCs/>
          <w:szCs w:val="22"/>
        </w:rPr>
        <w:t>(4) Informácie o oprave významných chýb minulých účtovných období</w:t>
      </w:r>
    </w:p>
    <w:p w:rsidR="00197827" w:rsidRPr="009F29BE" w:rsidRDefault="00197827" w:rsidP="00197827">
      <w:pPr>
        <w:jc w:val="both"/>
        <w:rPr>
          <w:b/>
          <w:bCs/>
          <w:szCs w:val="22"/>
        </w:rPr>
      </w:pPr>
    </w:p>
    <w:p w:rsidR="001A083E" w:rsidRDefault="00197827" w:rsidP="00197827">
      <w:pPr>
        <w:jc w:val="both"/>
        <w:rPr>
          <w:szCs w:val="22"/>
        </w:rPr>
      </w:pPr>
      <w:r w:rsidRPr="00197827">
        <w:rPr>
          <w:szCs w:val="22"/>
        </w:rPr>
        <w:t>Ak UJ zistí v bežnom účtovnom období významnú chybu týkajúcu sa minulých účtovných období, opraví túto chybu na účtoch 428 - Nerozdelený zisk minulých rokov a 429 - Neuhradená strata minulých rokov, t. j. bez vplyvu na výsledok hospodárenia v bežnom účtovnom období. Opravy nevýznamných chýb minulých účtovných období sa účtujú v bežnom účtovnom období na príslušný nákladový alebo výnosový účet.</w:t>
      </w:r>
    </w:p>
    <w:p w:rsidR="00326E3F" w:rsidRDefault="00326E3F" w:rsidP="00197827">
      <w:pPr>
        <w:jc w:val="both"/>
        <w:rPr>
          <w:szCs w:val="22"/>
        </w:rPr>
      </w:pPr>
    </w:p>
    <w:p w:rsidR="00326E3F" w:rsidRDefault="000A320F" w:rsidP="00197827">
      <w:pPr>
        <w:jc w:val="both"/>
        <w:rPr>
          <w:szCs w:val="22"/>
        </w:rPr>
      </w:pPr>
      <w:r>
        <w:rPr>
          <w:szCs w:val="22"/>
        </w:rPr>
        <w:t>V roku 2020</w:t>
      </w:r>
      <w:r w:rsidR="00F437C3">
        <w:rPr>
          <w:szCs w:val="22"/>
        </w:rPr>
        <w:t xml:space="preserve"> bolo účtované o opravách </w:t>
      </w:r>
      <w:r w:rsidR="001B0AB3">
        <w:rPr>
          <w:szCs w:val="22"/>
        </w:rPr>
        <w:t>chýb minulých období vo výške 12285</w:t>
      </w:r>
      <w:r w:rsidR="00F437C3">
        <w:rPr>
          <w:szCs w:val="22"/>
        </w:rPr>
        <w:t xml:space="preserve"> EUR. Najvýznamnejšou položkou bola op</w:t>
      </w:r>
      <w:r w:rsidR="001B0AB3">
        <w:rPr>
          <w:szCs w:val="22"/>
        </w:rPr>
        <w:t>rava účtovania inventury z </w:t>
      </w:r>
      <w:r w:rsidR="00F437C3">
        <w:rPr>
          <w:szCs w:val="22"/>
        </w:rPr>
        <w:t>pr</w:t>
      </w:r>
      <w:r w:rsidR="001B0AB3">
        <w:rPr>
          <w:szCs w:val="22"/>
        </w:rPr>
        <w:t>edchádzajúceho období vo výške 12</w:t>
      </w:r>
      <w:r w:rsidR="00F437C3">
        <w:rPr>
          <w:szCs w:val="22"/>
        </w:rPr>
        <w:t xml:space="preserve"> tis. EUR.</w:t>
      </w:r>
      <w:r w:rsidR="001B0AB3">
        <w:rPr>
          <w:szCs w:val="22"/>
        </w:rPr>
        <w:t xml:space="preserve"> </w:t>
      </w:r>
      <w:r w:rsidR="00326E3F">
        <w:rPr>
          <w:szCs w:val="22"/>
        </w:rPr>
        <w:t>.</w:t>
      </w:r>
    </w:p>
    <w:p w:rsidR="00197827" w:rsidRDefault="00197827" w:rsidP="009F29BE">
      <w:pPr>
        <w:jc w:val="both"/>
        <w:rPr>
          <w:szCs w:val="22"/>
        </w:rPr>
      </w:pPr>
    </w:p>
    <w:p w:rsidR="001A083E" w:rsidRDefault="001A083E">
      <w:pPr>
        <w:ind w:left="397" w:hanging="397"/>
        <w:jc w:val="both"/>
        <w:rPr>
          <w:szCs w:val="22"/>
        </w:rPr>
      </w:pPr>
      <w:r>
        <w:rPr>
          <w:b/>
          <w:szCs w:val="22"/>
        </w:rPr>
        <w:t>(</w:t>
      </w:r>
      <w:r w:rsidR="00197827">
        <w:rPr>
          <w:b/>
          <w:szCs w:val="22"/>
        </w:rPr>
        <w:t>5</w:t>
      </w:r>
      <w:r>
        <w:rPr>
          <w:b/>
          <w:szCs w:val="22"/>
        </w:rPr>
        <w:t>)</w:t>
      </w:r>
      <w:r>
        <w:rPr>
          <w:szCs w:val="22"/>
        </w:rPr>
        <w:t xml:space="preserve"> </w:t>
      </w:r>
      <w:r>
        <w:rPr>
          <w:b/>
          <w:szCs w:val="22"/>
        </w:rPr>
        <w:t>Informácie o ocenení majetku a záväzkov</w:t>
      </w:r>
      <w:r>
        <w:rPr>
          <w:szCs w:val="22"/>
        </w:rPr>
        <w:t xml:space="preserve"> </w:t>
      </w:r>
    </w:p>
    <w:p w:rsidR="001A083E" w:rsidRDefault="001A083E">
      <w:pPr>
        <w:ind w:left="397" w:hanging="397"/>
        <w:jc w:val="both"/>
        <w:rPr>
          <w:szCs w:val="22"/>
        </w:rPr>
      </w:pPr>
    </w:p>
    <w:p w:rsidR="001A083E" w:rsidRDefault="001A083E">
      <w:pPr>
        <w:ind w:left="397" w:hanging="397"/>
        <w:jc w:val="both"/>
        <w:rPr>
          <w:szCs w:val="22"/>
        </w:rPr>
      </w:pPr>
      <w:r>
        <w:rPr>
          <w:szCs w:val="22"/>
        </w:rPr>
        <w:t>a) Informácie o spôsobe oceňovania majetku a</w:t>
      </w:r>
      <w:r w:rsidR="00455789">
        <w:rPr>
          <w:szCs w:val="22"/>
        </w:rPr>
        <w:t> </w:t>
      </w:r>
      <w:r>
        <w:rPr>
          <w:szCs w:val="22"/>
        </w:rPr>
        <w:t>záväzkov</w:t>
      </w:r>
    </w:p>
    <w:p w:rsidR="00455789" w:rsidRDefault="00455789">
      <w:pPr>
        <w:ind w:left="397" w:hanging="397"/>
        <w:jc w:val="both"/>
        <w:rPr>
          <w:b/>
          <w:szCs w:val="22"/>
        </w:rPr>
      </w:pPr>
    </w:p>
    <w:p w:rsidR="001A083E" w:rsidRDefault="001A083E">
      <w:pPr>
        <w:ind w:left="397" w:hanging="397"/>
        <w:jc w:val="both"/>
        <w:rPr>
          <w:szCs w:val="22"/>
        </w:rPr>
      </w:pPr>
      <w:r>
        <w:rPr>
          <w:szCs w:val="22"/>
        </w:rPr>
        <w:t xml:space="preserve">         Majetok a záväzky oceňuje ÚJ v účtovníctve v súlade s ustanoveniami § 24 a 25 zákona o účtovníctve nasledovne:</w:t>
      </w:r>
    </w:p>
    <w:p w:rsidR="001A083E" w:rsidRDefault="001A083E" w:rsidP="00601A54">
      <w:pPr>
        <w:numPr>
          <w:ilvl w:val="0"/>
          <w:numId w:val="14"/>
        </w:numPr>
        <w:jc w:val="both"/>
        <w:rPr>
          <w:szCs w:val="22"/>
        </w:rPr>
      </w:pPr>
      <w:r>
        <w:rPr>
          <w:szCs w:val="22"/>
        </w:rPr>
        <w:lastRenderedPageBreak/>
        <w:t>dlhodobý hmotný a nehmotný majetok obstaraný kúpou obstarávacími cenami</w:t>
      </w:r>
      <w:r w:rsidR="00601A54">
        <w:rPr>
          <w:szCs w:val="22"/>
        </w:rPr>
        <w:t xml:space="preserve">. </w:t>
      </w:r>
      <w:r w:rsidR="00601A54" w:rsidRPr="00601A54">
        <w:rPr>
          <w:szCs w:val="22"/>
        </w:rPr>
        <w:t>Dlhodobý majetok bol obstarávaný aj prostredníctvom cudzích zdrojov (úverov). Úroky nevstupujú do obstarávacej ceny</w:t>
      </w:r>
      <w:r w:rsidR="00197827">
        <w:rPr>
          <w:szCs w:val="22"/>
        </w:rPr>
        <w:t>,</w:t>
      </w:r>
      <w:r w:rsidR="00601A54" w:rsidRPr="00601A54">
        <w:rPr>
          <w:szCs w:val="22"/>
        </w:rPr>
        <w:t xml:space="preserve"> ale sú súčasťou nákladov v období, s ktorým časovo a vecne súvisia</w:t>
      </w:r>
    </w:p>
    <w:p w:rsidR="001A083E" w:rsidRDefault="001A083E">
      <w:pPr>
        <w:numPr>
          <w:ilvl w:val="0"/>
          <w:numId w:val="14"/>
        </w:numPr>
        <w:jc w:val="both"/>
        <w:rPr>
          <w:szCs w:val="22"/>
        </w:rPr>
      </w:pPr>
      <w:r>
        <w:rPr>
          <w:szCs w:val="22"/>
        </w:rPr>
        <w:t>bežné pohľadávky a záväzky pri ich vzniku menovitou hodnotou, pohľadávky a záväzky v cudzej mene prepočítané ref</w:t>
      </w:r>
      <w:r w:rsidR="00197827">
        <w:rPr>
          <w:szCs w:val="22"/>
        </w:rPr>
        <w:t>erenčným</w:t>
      </w:r>
      <w:r>
        <w:rPr>
          <w:szCs w:val="22"/>
        </w:rPr>
        <w:t xml:space="preserve"> kurzom ECB v deň predchádzajúci ich vzniku</w:t>
      </w:r>
      <w:r w:rsidR="00E453B9">
        <w:rPr>
          <w:szCs w:val="22"/>
        </w:rPr>
        <w:t>. Pri pohľadávkach sa toto ocenenie znižuje o pochybné pohľadávky</w:t>
      </w:r>
    </w:p>
    <w:p w:rsidR="001A083E" w:rsidRDefault="001A083E">
      <w:pPr>
        <w:numPr>
          <w:ilvl w:val="0"/>
          <w:numId w:val="14"/>
        </w:numPr>
        <w:jc w:val="both"/>
        <w:rPr>
          <w:szCs w:val="22"/>
        </w:rPr>
      </w:pPr>
      <w:r>
        <w:rPr>
          <w:szCs w:val="22"/>
        </w:rPr>
        <w:t>pohľadávky a záväzky predstavujúce náplň účtovania na účtoch časového rozlíšenia menovitou hodnotou pri ich vzniku (resp. zaúčtovaní v rámci uzávierkových prác)</w:t>
      </w:r>
    </w:p>
    <w:p w:rsidR="001A083E" w:rsidRDefault="001A083E">
      <w:pPr>
        <w:numPr>
          <w:ilvl w:val="0"/>
          <w:numId w:val="14"/>
        </w:numPr>
        <w:jc w:val="both"/>
        <w:rPr>
          <w:szCs w:val="22"/>
        </w:rPr>
      </w:pPr>
      <w:r>
        <w:rPr>
          <w:szCs w:val="22"/>
        </w:rPr>
        <w:t>záväzky charakteru rezerv menovitou hodnotou, pričom tieto sú stanovené kvalifikovaným odhadom na základe smernice ÚJ</w:t>
      </w:r>
    </w:p>
    <w:p w:rsidR="001A083E" w:rsidRDefault="001A083E">
      <w:pPr>
        <w:numPr>
          <w:ilvl w:val="0"/>
          <w:numId w:val="14"/>
        </w:numPr>
        <w:jc w:val="both"/>
        <w:rPr>
          <w:szCs w:val="22"/>
        </w:rPr>
      </w:pPr>
      <w:r>
        <w:rPr>
          <w:szCs w:val="22"/>
        </w:rPr>
        <w:t>peňažné prostriedky menovitou hodnotou (cudzia mena kurzom ECB alebo kurzom nákupu podľa spôsobu obstarania - § 24 odsek 2 alebo 3 zákona o účtovníctve)</w:t>
      </w:r>
    </w:p>
    <w:p w:rsidR="001A083E" w:rsidRDefault="001A083E">
      <w:pPr>
        <w:numPr>
          <w:ilvl w:val="0"/>
          <w:numId w:val="14"/>
        </w:numPr>
        <w:jc w:val="both"/>
        <w:rPr>
          <w:szCs w:val="22"/>
        </w:rPr>
      </w:pPr>
      <w:r>
        <w:rPr>
          <w:szCs w:val="22"/>
        </w:rPr>
        <w:t>ceniny menovitou hodnotou</w:t>
      </w:r>
    </w:p>
    <w:p w:rsidR="001A083E" w:rsidRDefault="00197827">
      <w:pPr>
        <w:numPr>
          <w:ilvl w:val="0"/>
          <w:numId w:val="14"/>
        </w:numPr>
        <w:jc w:val="both"/>
        <w:rPr>
          <w:szCs w:val="22"/>
        </w:rPr>
      </w:pPr>
      <w:r>
        <w:rPr>
          <w:szCs w:val="22"/>
        </w:rPr>
        <w:t>Ú</w:t>
      </w:r>
      <w:r w:rsidR="00E55FDE">
        <w:rPr>
          <w:szCs w:val="22"/>
        </w:rPr>
        <w:t xml:space="preserve">J pri nákupe materiálu určeného priamo na spotrebu (kancelársky tovar, drobný </w:t>
      </w:r>
      <w:r w:rsidR="00601A54">
        <w:rPr>
          <w:szCs w:val="22"/>
        </w:rPr>
        <w:t xml:space="preserve">hmotný </w:t>
      </w:r>
      <w:r w:rsidR="00E55FDE">
        <w:rPr>
          <w:szCs w:val="22"/>
        </w:rPr>
        <w:t>majetok do 1 700 EUR</w:t>
      </w:r>
      <w:r w:rsidR="00601A54">
        <w:rPr>
          <w:szCs w:val="22"/>
        </w:rPr>
        <w:t xml:space="preserve"> a drobný nehmotný majetok do 2 400 EUR</w:t>
      </w:r>
      <w:r w:rsidR="00E55FDE">
        <w:rPr>
          <w:szCs w:val="22"/>
        </w:rPr>
        <w:t xml:space="preserve">), tento sa účtuje v zmysle vnútropodnikovej smernice priamo do spotreby. O drobnom majetku s dobou použiteľnosti dlhšou ako 1 rok vedie </w:t>
      </w:r>
      <w:r w:rsidR="005D442C">
        <w:rPr>
          <w:szCs w:val="22"/>
        </w:rPr>
        <w:t>Ú</w:t>
      </w:r>
      <w:r w:rsidR="00E55FDE">
        <w:rPr>
          <w:szCs w:val="22"/>
        </w:rPr>
        <w:t xml:space="preserve">J evidenciu podľa umiestnenia a zodpovedného pracovníka formou prehľadu v textovom súbore na účely inventarizácie. </w:t>
      </w:r>
      <w:r w:rsidR="005D442C">
        <w:rPr>
          <w:szCs w:val="22"/>
        </w:rPr>
        <w:t xml:space="preserve">ÚJ </w:t>
      </w:r>
      <w:r w:rsidR="00E55FDE">
        <w:rPr>
          <w:szCs w:val="22"/>
        </w:rPr>
        <w:t xml:space="preserve">netvorila zásoby vlastnou činnosťou. </w:t>
      </w:r>
    </w:p>
    <w:p w:rsidR="001A083E" w:rsidRDefault="001A083E" w:rsidP="00E55FDE">
      <w:pPr>
        <w:ind w:left="720"/>
        <w:jc w:val="both"/>
        <w:rPr>
          <w:szCs w:val="22"/>
        </w:rPr>
      </w:pPr>
    </w:p>
    <w:p w:rsidR="001A083E" w:rsidRDefault="001A083E">
      <w:pPr>
        <w:jc w:val="both"/>
        <w:rPr>
          <w:szCs w:val="22"/>
        </w:rPr>
      </w:pPr>
      <w:r>
        <w:rPr>
          <w:szCs w:val="22"/>
        </w:rPr>
        <w:t>Majetok a záväzky v cudzej mene ocenila ÚJ ku dňu zostavenia účtovnej závierky v súlade s ustanoveniami § 24 zákona o účtovníctve, keď:</w:t>
      </w:r>
    </w:p>
    <w:p w:rsidR="001A083E" w:rsidRDefault="001A083E" w:rsidP="009F29BE">
      <w:pPr>
        <w:numPr>
          <w:ilvl w:val="0"/>
          <w:numId w:val="14"/>
        </w:numPr>
        <w:jc w:val="both"/>
        <w:rPr>
          <w:szCs w:val="22"/>
        </w:rPr>
      </w:pPr>
      <w:r>
        <w:rPr>
          <w:szCs w:val="22"/>
        </w:rPr>
        <w:t>pohľadávky a záväzky v cudzej mene prepočítala kurzom ECB k 31.12.</w:t>
      </w:r>
    </w:p>
    <w:p w:rsidR="001A083E" w:rsidRDefault="001A083E" w:rsidP="009F29BE">
      <w:pPr>
        <w:numPr>
          <w:ilvl w:val="0"/>
          <w:numId w:val="14"/>
        </w:numPr>
        <w:jc w:val="both"/>
        <w:rPr>
          <w:szCs w:val="22"/>
        </w:rPr>
      </w:pPr>
      <w:r>
        <w:rPr>
          <w:szCs w:val="22"/>
        </w:rPr>
        <w:t xml:space="preserve">peňažné prostriedky a ostatný majetok v cudzej mene prepočítala kurzom ECB k 31.12.   </w:t>
      </w:r>
    </w:p>
    <w:p w:rsidR="00601A54" w:rsidRDefault="00601A54" w:rsidP="00162AD0">
      <w:pPr>
        <w:jc w:val="both"/>
        <w:rPr>
          <w:szCs w:val="22"/>
        </w:rPr>
      </w:pPr>
    </w:p>
    <w:p w:rsidR="00B60781" w:rsidRPr="00B60781" w:rsidRDefault="00B60781" w:rsidP="00162AD0">
      <w:pPr>
        <w:jc w:val="both"/>
        <w:rPr>
          <w:szCs w:val="22"/>
        </w:rPr>
      </w:pPr>
      <w:r w:rsidRPr="00B60781">
        <w:rPr>
          <w:szCs w:val="22"/>
        </w:rPr>
        <w:t>Odložená daň je vypočítaná použitím súvahovej metódy, pri ktorej vzniká dočasný rozdiel medzi účtovnou hodnotou majetku a záväzkov pre účely výkazníctva a hodnotami pre daňové účely. Odložená daň je počítaná pomocou daňových sadzieb, pri ktorých sa očakáva, že sa použijú na dočasné rozdiely v čase ich zúčtovania, na základe zákonov, ktoré boli platné alebo dodatočne uzákonené v deň, ku ktorému sa zostavuje účtovná závierka.</w:t>
      </w:r>
    </w:p>
    <w:p w:rsidR="00B60781" w:rsidRPr="00B60781" w:rsidRDefault="00B60781" w:rsidP="00162AD0">
      <w:pPr>
        <w:jc w:val="both"/>
        <w:rPr>
          <w:szCs w:val="22"/>
        </w:rPr>
      </w:pPr>
    </w:p>
    <w:p w:rsidR="00B60781" w:rsidRDefault="00B60781" w:rsidP="00162AD0">
      <w:pPr>
        <w:jc w:val="both"/>
        <w:rPr>
          <w:szCs w:val="22"/>
        </w:rPr>
      </w:pPr>
      <w:r w:rsidRPr="00B60781">
        <w:rPr>
          <w:szCs w:val="22"/>
        </w:rPr>
        <w:t>Odložená daňová pohľadávka je vykázaná iba do výšky, do akej je pravdepodobné, že budú dosiahnuté v budúcnosti základy dane, voči ktorým je možné uplatniť nevyužité daňové straty a dočasné rozdiely. Odložené daňové pohľadávky sú prehodnotené ku dňu, ku ktorému sa zostavuje účtovná závierka a znížené v rozsahu, pre ktorý je nepravdepodobné, že bude možné daňový úžitok, ktorý sa ich týka, realizovať.</w:t>
      </w:r>
    </w:p>
    <w:p w:rsidR="00B60781" w:rsidRDefault="00B60781" w:rsidP="00162AD0">
      <w:pPr>
        <w:jc w:val="both"/>
        <w:rPr>
          <w:szCs w:val="22"/>
        </w:rPr>
      </w:pPr>
    </w:p>
    <w:p w:rsidR="001A083E" w:rsidRDefault="001A083E">
      <w:pPr>
        <w:jc w:val="both"/>
        <w:rPr>
          <w:szCs w:val="22"/>
        </w:rPr>
      </w:pPr>
      <w:r>
        <w:rPr>
          <w:szCs w:val="22"/>
        </w:rPr>
        <w:t>b), c)  Informácie o aplikácii zásady opatrnosti (opravné položky, rezervy)</w:t>
      </w:r>
    </w:p>
    <w:p w:rsidR="00764147" w:rsidRDefault="00764147">
      <w:pPr>
        <w:jc w:val="both"/>
        <w:rPr>
          <w:szCs w:val="22"/>
        </w:rPr>
      </w:pPr>
    </w:p>
    <w:p w:rsidR="001A083E" w:rsidRDefault="005D442C">
      <w:pPr>
        <w:jc w:val="both"/>
        <w:rPr>
          <w:szCs w:val="22"/>
        </w:rPr>
      </w:pPr>
      <w:r>
        <w:rPr>
          <w:szCs w:val="22"/>
        </w:rPr>
        <w:t>Ú</w:t>
      </w:r>
      <w:r w:rsidR="001A083E">
        <w:rPr>
          <w:szCs w:val="22"/>
        </w:rPr>
        <w:t xml:space="preserve">J aplikovala v rámci zostavovania UZ zásadu opatrnosti v súlade s ust. § 26 zákona o účtovníctve, keď             tvorbou opravných položiek zreálnila hodnotu majetku pri všetkých položkách, pri ktorých boli </w:t>
      </w:r>
      <w:r w:rsidR="00601A54">
        <w:rPr>
          <w:szCs w:val="22"/>
        </w:rPr>
        <w:t>identifiko</w:t>
      </w:r>
      <w:r w:rsidR="001A083E">
        <w:rPr>
          <w:szCs w:val="22"/>
        </w:rPr>
        <w:t xml:space="preserve">vané tituly indikujúce zníženie hodnoty majetku oproti oceneniu v účtovníctve. Zároveň boli formou tvorby rezerv vykázané ku dňu zostavenia UZ všetky známe záväzky </w:t>
      </w:r>
      <w:r>
        <w:rPr>
          <w:szCs w:val="22"/>
        </w:rPr>
        <w:t>Ú</w:t>
      </w:r>
      <w:r w:rsidR="001A083E">
        <w:rPr>
          <w:szCs w:val="22"/>
        </w:rPr>
        <w:t xml:space="preserve">J. Opravné položky aj rezervy boli </w:t>
      </w:r>
      <w:r w:rsidR="00601A54">
        <w:rPr>
          <w:szCs w:val="22"/>
        </w:rPr>
        <w:t>vyčí</w:t>
      </w:r>
      <w:r w:rsidR="001A083E">
        <w:rPr>
          <w:szCs w:val="22"/>
        </w:rPr>
        <w:t>slené kvalifikovaným odhadom.</w:t>
      </w:r>
    </w:p>
    <w:p w:rsidR="001A083E" w:rsidRDefault="001A083E">
      <w:pPr>
        <w:jc w:val="both"/>
        <w:rPr>
          <w:szCs w:val="22"/>
        </w:rPr>
      </w:pPr>
    </w:p>
    <w:p w:rsidR="001A083E" w:rsidRDefault="001A083E" w:rsidP="00162AD0">
      <w:pPr>
        <w:pStyle w:val="Nadpis1"/>
        <w:spacing w:before="0"/>
        <w:rPr>
          <w:rFonts w:ascii="Arial Narrow" w:hAnsi="Arial Narrow"/>
          <w:b w:val="0"/>
          <w:sz w:val="22"/>
          <w:szCs w:val="22"/>
        </w:rPr>
      </w:pPr>
      <w:r>
        <w:rPr>
          <w:rFonts w:ascii="Arial Narrow" w:hAnsi="Arial Narrow"/>
          <w:b w:val="0"/>
          <w:sz w:val="22"/>
          <w:szCs w:val="22"/>
        </w:rPr>
        <w:t>g)  Informácie o odpisovaní dlhodobého majetku (odpisový plán)</w:t>
      </w:r>
    </w:p>
    <w:p w:rsidR="00FF5D6E" w:rsidRPr="00FF5D6E" w:rsidRDefault="00FF5D6E" w:rsidP="00FF5D6E"/>
    <w:tbl>
      <w:tblPr>
        <w:tblW w:w="7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179"/>
        <w:gridCol w:w="1177"/>
        <w:gridCol w:w="1643"/>
      </w:tblGrid>
      <w:tr w:rsidR="003F5F5F" w:rsidRPr="00FF5D6E" w:rsidTr="003F5F5F">
        <w:tc>
          <w:tcPr>
            <w:tcW w:w="3085" w:type="dxa"/>
          </w:tcPr>
          <w:p w:rsidR="003F5F5F" w:rsidRPr="00FF5D6E" w:rsidRDefault="003F5F5F" w:rsidP="00FF5D6E">
            <w:r w:rsidRPr="00FF5D6E">
              <w:t>Majetok</w:t>
            </w:r>
          </w:p>
        </w:tc>
        <w:tc>
          <w:tcPr>
            <w:tcW w:w="1179" w:type="dxa"/>
          </w:tcPr>
          <w:p w:rsidR="003F5F5F" w:rsidRPr="00FF5D6E" w:rsidRDefault="003F5F5F" w:rsidP="00FF5D6E">
            <w:r w:rsidRPr="00FF5D6E">
              <w:t>Doba odpisovania v rokoch</w:t>
            </w:r>
          </w:p>
        </w:tc>
        <w:tc>
          <w:tcPr>
            <w:tcW w:w="1177" w:type="dxa"/>
          </w:tcPr>
          <w:p w:rsidR="003F5F5F" w:rsidRPr="00FF5D6E" w:rsidRDefault="003F5F5F" w:rsidP="00FF5D6E">
            <w:r w:rsidRPr="00FF5D6E">
              <w:t>Lineárne odpisy</w:t>
            </w:r>
          </w:p>
        </w:tc>
        <w:tc>
          <w:tcPr>
            <w:tcW w:w="1643" w:type="dxa"/>
          </w:tcPr>
          <w:p w:rsidR="003F5F5F" w:rsidRPr="00FF5D6E" w:rsidRDefault="003F5F5F" w:rsidP="00FF5D6E">
            <w:r w:rsidRPr="00FF5D6E">
              <w:t>Ročná odpisová sadzba v %</w:t>
            </w:r>
          </w:p>
        </w:tc>
      </w:tr>
      <w:tr w:rsidR="003F5F5F" w:rsidRPr="00FF5D6E" w:rsidTr="003F5F5F">
        <w:tc>
          <w:tcPr>
            <w:tcW w:w="3085" w:type="dxa"/>
          </w:tcPr>
          <w:p w:rsidR="003F5F5F" w:rsidRPr="00FF5D6E" w:rsidRDefault="003F5F5F" w:rsidP="00FF5D6E"/>
        </w:tc>
        <w:tc>
          <w:tcPr>
            <w:tcW w:w="1179" w:type="dxa"/>
          </w:tcPr>
          <w:p w:rsidR="003F5F5F" w:rsidRPr="00FF5D6E" w:rsidRDefault="003F5F5F" w:rsidP="00FF5D6E"/>
        </w:tc>
        <w:tc>
          <w:tcPr>
            <w:tcW w:w="1177" w:type="dxa"/>
          </w:tcPr>
          <w:p w:rsidR="003F5F5F" w:rsidRPr="00FF5D6E" w:rsidRDefault="003F5F5F" w:rsidP="00FF5D6E"/>
        </w:tc>
        <w:tc>
          <w:tcPr>
            <w:tcW w:w="1643" w:type="dxa"/>
          </w:tcPr>
          <w:p w:rsidR="003F5F5F" w:rsidRPr="00FF5D6E" w:rsidRDefault="003F5F5F" w:rsidP="00FF5D6E"/>
        </w:tc>
      </w:tr>
      <w:tr w:rsidR="003F5F5F" w:rsidRPr="00FF5D6E" w:rsidTr="003F5F5F">
        <w:tc>
          <w:tcPr>
            <w:tcW w:w="3085" w:type="dxa"/>
          </w:tcPr>
          <w:p w:rsidR="003F5F5F" w:rsidRPr="00FF5D6E" w:rsidRDefault="003F5F5F" w:rsidP="00FF5D6E">
            <w:r w:rsidRPr="00FF5D6E">
              <w:t>Stavby</w:t>
            </w:r>
          </w:p>
        </w:tc>
        <w:tc>
          <w:tcPr>
            <w:tcW w:w="1179" w:type="dxa"/>
          </w:tcPr>
          <w:p w:rsidR="003F5F5F" w:rsidRPr="00FF5D6E" w:rsidRDefault="00A07342" w:rsidP="00FF5D6E">
            <w:r>
              <w:t xml:space="preserve">20 </w:t>
            </w:r>
          </w:p>
        </w:tc>
        <w:tc>
          <w:tcPr>
            <w:tcW w:w="1177" w:type="dxa"/>
          </w:tcPr>
          <w:p w:rsidR="003F5F5F" w:rsidRPr="00FF5D6E" w:rsidRDefault="003F5F5F" w:rsidP="00FF5D6E">
            <w:r w:rsidRPr="00FF5D6E">
              <w:t>X</w:t>
            </w:r>
          </w:p>
        </w:tc>
        <w:tc>
          <w:tcPr>
            <w:tcW w:w="1643" w:type="dxa"/>
          </w:tcPr>
          <w:p w:rsidR="003F5F5F" w:rsidRPr="00FF5D6E" w:rsidRDefault="00A07342" w:rsidP="00FF5D6E">
            <w:r>
              <w:t>5</w:t>
            </w:r>
          </w:p>
        </w:tc>
      </w:tr>
      <w:tr w:rsidR="003F5F5F" w:rsidRPr="00FF5D6E" w:rsidTr="003F5F5F">
        <w:tc>
          <w:tcPr>
            <w:tcW w:w="3085" w:type="dxa"/>
          </w:tcPr>
          <w:p w:rsidR="003F5F5F" w:rsidRPr="00FF5D6E" w:rsidRDefault="003F5F5F" w:rsidP="00FF5D6E">
            <w:r w:rsidRPr="00FF5D6E">
              <w:t>Drobné stavby</w:t>
            </w:r>
          </w:p>
        </w:tc>
        <w:tc>
          <w:tcPr>
            <w:tcW w:w="1179" w:type="dxa"/>
          </w:tcPr>
          <w:p w:rsidR="003F5F5F" w:rsidRPr="00FF5D6E" w:rsidRDefault="003F5F5F" w:rsidP="00FF5D6E">
            <w:r w:rsidRPr="00FF5D6E">
              <w:t>12</w:t>
            </w:r>
          </w:p>
        </w:tc>
        <w:tc>
          <w:tcPr>
            <w:tcW w:w="1177" w:type="dxa"/>
          </w:tcPr>
          <w:p w:rsidR="003F5F5F" w:rsidRPr="00FF5D6E" w:rsidRDefault="003F5F5F" w:rsidP="00FF5D6E">
            <w:r w:rsidRPr="00FF5D6E">
              <w:t>X</w:t>
            </w:r>
          </w:p>
        </w:tc>
        <w:tc>
          <w:tcPr>
            <w:tcW w:w="1643" w:type="dxa"/>
          </w:tcPr>
          <w:p w:rsidR="003F5F5F" w:rsidRPr="00FF5D6E" w:rsidRDefault="003F5F5F" w:rsidP="00FF5D6E">
            <w:r w:rsidRPr="00FF5D6E">
              <w:t>8,33</w:t>
            </w:r>
          </w:p>
        </w:tc>
      </w:tr>
      <w:tr w:rsidR="003F5F5F" w:rsidRPr="00FF5D6E" w:rsidTr="003F5F5F">
        <w:tc>
          <w:tcPr>
            <w:tcW w:w="3085" w:type="dxa"/>
          </w:tcPr>
          <w:p w:rsidR="003F5F5F" w:rsidRPr="00FF5D6E" w:rsidRDefault="003F5F5F" w:rsidP="00FF5D6E">
            <w:r w:rsidRPr="00FF5D6E">
              <w:t>Stroje, prístroje a zariadenia</w:t>
            </w:r>
          </w:p>
        </w:tc>
        <w:tc>
          <w:tcPr>
            <w:tcW w:w="1179" w:type="dxa"/>
          </w:tcPr>
          <w:p w:rsidR="003F5F5F" w:rsidRPr="00FF5D6E" w:rsidRDefault="00A07342" w:rsidP="00FF5D6E">
            <w:r>
              <w:t>4 až 12</w:t>
            </w:r>
          </w:p>
        </w:tc>
        <w:tc>
          <w:tcPr>
            <w:tcW w:w="1177" w:type="dxa"/>
          </w:tcPr>
          <w:p w:rsidR="003F5F5F" w:rsidRPr="00FF5D6E" w:rsidRDefault="003F5F5F" w:rsidP="00FF5D6E">
            <w:r w:rsidRPr="00FF5D6E">
              <w:t>X</w:t>
            </w:r>
          </w:p>
        </w:tc>
        <w:tc>
          <w:tcPr>
            <w:tcW w:w="1643" w:type="dxa"/>
          </w:tcPr>
          <w:p w:rsidR="003F5F5F" w:rsidRPr="00FF5D6E" w:rsidRDefault="003F5F5F" w:rsidP="00FF5D6E">
            <w:r w:rsidRPr="00FF5D6E">
              <w:t xml:space="preserve">25 – </w:t>
            </w:r>
            <w:r w:rsidR="00A07342">
              <w:t>8,33</w:t>
            </w:r>
          </w:p>
        </w:tc>
      </w:tr>
      <w:tr w:rsidR="003F5F5F" w:rsidRPr="00FF5D6E" w:rsidTr="003F5F5F">
        <w:tc>
          <w:tcPr>
            <w:tcW w:w="3085" w:type="dxa"/>
          </w:tcPr>
          <w:p w:rsidR="003F5F5F" w:rsidRPr="00FF5D6E" w:rsidRDefault="003F5F5F" w:rsidP="00FF5D6E">
            <w:r w:rsidRPr="00FF5D6E">
              <w:t>Dopravné prostriedky</w:t>
            </w:r>
          </w:p>
        </w:tc>
        <w:tc>
          <w:tcPr>
            <w:tcW w:w="1179" w:type="dxa"/>
          </w:tcPr>
          <w:p w:rsidR="003F5F5F" w:rsidRPr="00FF5D6E" w:rsidRDefault="003F5F5F" w:rsidP="00FF5D6E">
            <w:r w:rsidRPr="00FF5D6E">
              <w:t>4</w:t>
            </w:r>
          </w:p>
        </w:tc>
        <w:tc>
          <w:tcPr>
            <w:tcW w:w="1177" w:type="dxa"/>
          </w:tcPr>
          <w:p w:rsidR="003F5F5F" w:rsidRPr="00FF5D6E" w:rsidRDefault="003F5F5F" w:rsidP="00FF5D6E">
            <w:r w:rsidRPr="00FF5D6E">
              <w:t>X</w:t>
            </w:r>
          </w:p>
        </w:tc>
        <w:tc>
          <w:tcPr>
            <w:tcW w:w="1643" w:type="dxa"/>
          </w:tcPr>
          <w:p w:rsidR="003F5F5F" w:rsidRPr="00FF5D6E" w:rsidRDefault="003F5F5F" w:rsidP="00FF5D6E">
            <w:r w:rsidRPr="00FF5D6E">
              <w:t>25</w:t>
            </w:r>
          </w:p>
        </w:tc>
      </w:tr>
      <w:tr w:rsidR="003F5F5F" w:rsidRPr="00FF5D6E" w:rsidTr="003F5F5F">
        <w:tc>
          <w:tcPr>
            <w:tcW w:w="3085" w:type="dxa"/>
          </w:tcPr>
          <w:p w:rsidR="003F5F5F" w:rsidRPr="00FF5D6E" w:rsidRDefault="003F5F5F" w:rsidP="00FF5D6E">
            <w:r w:rsidRPr="00FF5D6E">
              <w:t>Výpočtová technika</w:t>
            </w:r>
          </w:p>
        </w:tc>
        <w:tc>
          <w:tcPr>
            <w:tcW w:w="1179" w:type="dxa"/>
          </w:tcPr>
          <w:p w:rsidR="003F5F5F" w:rsidRPr="00FF5D6E" w:rsidRDefault="003F5F5F" w:rsidP="00FF5D6E">
            <w:r w:rsidRPr="00FF5D6E">
              <w:t>4</w:t>
            </w:r>
          </w:p>
        </w:tc>
        <w:tc>
          <w:tcPr>
            <w:tcW w:w="1177" w:type="dxa"/>
          </w:tcPr>
          <w:p w:rsidR="003F5F5F" w:rsidRPr="00FF5D6E" w:rsidRDefault="003F5F5F" w:rsidP="003F5F5F">
            <w:r w:rsidRPr="00FF5D6E">
              <w:t>X</w:t>
            </w:r>
          </w:p>
        </w:tc>
        <w:tc>
          <w:tcPr>
            <w:tcW w:w="1643" w:type="dxa"/>
          </w:tcPr>
          <w:p w:rsidR="003F5F5F" w:rsidRPr="00FF5D6E" w:rsidRDefault="003F5F5F" w:rsidP="00FF5D6E">
            <w:r w:rsidRPr="00FF5D6E">
              <w:t>25</w:t>
            </w:r>
          </w:p>
        </w:tc>
      </w:tr>
    </w:tbl>
    <w:p w:rsidR="00FF5D6E" w:rsidRPr="00FF5D6E" w:rsidRDefault="00FF5D6E" w:rsidP="00FF5D6E"/>
    <w:p w:rsidR="00FF5D6E" w:rsidRDefault="00FF5D6E" w:rsidP="00FF5D6E"/>
    <w:p w:rsidR="001A083E" w:rsidRDefault="001A083E">
      <w:pPr>
        <w:jc w:val="both"/>
        <w:rPr>
          <w:szCs w:val="22"/>
        </w:rPr>
      </w:pPr>
      <w:r>
        <w:rPr>
          <w:szCs w:val="22"/>
        </w:rPr>
        <w:t xml:space="preserve">Zníženie hodnoty dlhodobého hmotného majetku z dôvodu jeho opotrebenia vyjadruje ÚJ </w:t>
      </w:r>
      <w:r w:rsidR="00B44F50">
        <w:rPr>
          <w:szCs w:val="22"/>
        </w:rPr>
        <w:t xml:space="preserve">mesačnými </w:t>
      </w:r>
      <w:r>
        <w:rPr>
          <w:szCs w:val="22"/>
        </w:rPr>
        <w:t>účtovnými odpismi. Účtovný odpis stanovuje ÚJ pri zaraďovaní majetku do užívania jednotlivo, pričom pri zaraďovaní je zohľadňovaná životnosť majetku v nadväznosti na intenzitu jeho využívania. Po stanovení celkovej životnosti je následne odvodený mesačný odpis lineárnym spôsobom.</w:t>
      </w:r>
    </w:p>
    <w:p w:rsidR="001A083E" w:rsidRDefault="001A083E">
      <w:pPr>
        <w:ind w:left="1080"/>
        <w:jc w:val="both"/>
        <w:rPr>
          <w:szCs w:val="22"/>
        </w:rPr>
      </w:pPr>
    </w:p>
    <w:p w:rsidR="001A083E" w:rsidRDefault="005D442C">
      <w:pPr>
        <w:tabs>
          <w:tab w:val="left" w:pos="1080"/>
        </w:tabs>
        <w:jc w:val="both"/>
        <w:rPr>
          <w:szCs w:val="22"/>
        </w:rPr>
      </w:pPr>
      <w:r>
        <w:rPr>
          <w:szCs w:val="22"/>
        </w:rPr>
        <w:t>Samostatne h</w:t>
      </w:r>
      <w:r w:rsidR="001A083E">
        <w:rPr>
          <w:szCs w:val="22"/>
        </w:rPr>
        <w:t>nuteľný majetok s obstarávacou cenou nižšou ako 1 700 EUR za kus a životnosťou dlhšou ako 1 rok je považovaný za zásoby a účtovaný do nákladov v súlade s postupmi účtovania (účet 501 – Spotreba materiálu).</w:t>
      </w:r>
      <w:r w:rsidR="008F2940">
        <w:rPr>
          <w:szCs w:val="22"/>
        </w:rPr>
        <w:t xml:space="preserve"> </w:t>
      </w:r>
      <w:r>
        <w:rPr>
          <w:szCs w:val="22"/>
        </w:rPr>
        <w:t xml:space="preserve">Nehmotný </w:t>
      </w:r>
      <w:r w:rsidR="008F2940">
        <w:rPr>
          <w:szCs w:val="22"/>
        </w:rPr>
        <w:t xml:space="preserve">majetok s obstarávacou cenou nižšou ako 2 400 EUR za kus a </w:t>
      </w:r>
      <w:r w:rsidR="008F2940" w:rsidRPr="008F2940">
        <w:rPr>
          <w:szCs w:val="22"/>
        </w:rPr>
        <w:t xml:space="preserve">životnosťou dlhšou ako 1 rok je považovaný za </w:t>
      </w:r>
      <w:r w:rsidR="008F2940">
        <w:rPr>
          <w:szCs w:val="22"/>
        </w:rPr>
        <w:t>službu</w:t>
      </w:r>
      <w:r w:rsidR="008F2940" w:rsidRPr="008F2940">
        <w:rPr>
          <w:szCs w:val="22"/>
        </w:rPr>
        <w:t xml:space="preserve"> a účtovaný do nákladov v súla</w:t>
      </w:r>
      <w:r w:rsidR="008F2940">
        <w:rPr>
          <w:szCs w:val="22"/>
        </w:rPr>
        <w:t>de s postupmi účtovania (účet 5</w:t>
      </w:r>
      <w:r w:rsidR="008F2940" w:rsidRPr="008F2940">
        <w:rPr>
          <w:szCs w:val="22"/>
        </w:rPr>
        <w:t>1</w:t>
      </w:r>
      <w:r w:rsidR="008F2940">
        <w:rPr>
          <w:szCs w:val="22"/>
        </w:rPr>
        <w:t>8</w:t>
      </w:r>
      <w:r w:rsidR="008F2940" w:rsidRPr="008F2940">
        <w:rPr>
          <w:szCs w:val="22"/>
        </w:rPr>
        <w:t xml:space="preserve"> – </w:t>
      </w:r>
      <w:r w:rsidR="008F2940">
        <w:rPr>
          <w:szCs w:val="22"/>
        </w:rPr>
        <w:t>Ostatné služby</w:t>
      </w:r>
      <w:r w:rsidR="008F2940" w:rsidRPr="008F2940">
        <w:rPr>
          <w:szCs w:val="22"/>
        </w:rPr>
        <w:t>).</w:t>
      </w:r>
    </w:p>
    <w:p w:rsidR="00A07342" w:rsidRDefault="00A07342">
      <w:pPr>
        <w:tabs>
          <w:tab w:val="left" w:pos="1080"/>
        </w:tabs>
        <w:jc w:val="both"/>
        <w:rPr>
          <w:szCs w:val="22"/>
        </w:rPr>
      </w:pPr>
    </w:p>
    <w:p w:rsidR="00A07342" w:rsidRDefault="00A07342">
      <w:pPr>
        <w:tabs>
          <w:tab w:val="left" w:pos="1080"/>
        </w:tabs>
        <w:jc w:val="both"/>
        <w:rPr>
          <w:szCs w:val="22"/>
        </w:rPr>
      </w:pPr>
      <w:r>
        <w:rPr>
          <w:szCs w:val="22"/>
        </w:rPr>
        <w:t xml:space="preserve">h/ </w:t>
      </w:r>
      <w:r w:rsidR="005D442C">
        <w:rPr>
          <w:szCs w:val="22"/>
        </w:rPr>
        <w:t>I</w:t>
      </w:r>
      <w:r>
        <w:rPr>
          <w:szCs w:val="22"/>
        </w:rPr>
        <w:t>nform</w:t>
      </w:r>
      <w:r w:rsidR="005D442C">
        <w:rPr>
          <w:szCs w:val="22"/>
        </w:rPr>
        <w:t>á</w:t>
      </w:r>
      <w:r>
        <w:rPr>
          <w:szCs w:val="22"/>
        </w:rPr>
        <w:t>cie  o</w:t>
      </w:r>
      <w:r w:rsidR="005D442C">
        <w:rPr>
          <w:szCs w:val="22"/>
        </w:rPr>
        <w:t> </w:t>
      </w:r>
      <w:r>
        <w:rPr>
          <w:szCs w:val="22"/>
        </w:rPr>
        <w:t>zásobach</w:t>
      </w:r>
    </w:p>
    <w:p w:rsidR="005D442C" w:rsidRDefault="005D442C">
      <w:pPr>
        <w:tabs>
          <w:tab w:val="left" w:pos="1080"/>
        </w:tabs>
        <w:jc w:val="both"/>
        <w:rPr>
          <w:szCs w:val="22"/>
        </w:rPr>
      </w:pPr>
    </w:p>
    <w:p w:rsidR="005D442C" w:rsidRPr="009F29BE" w:rsidRDefault="005D442C" w:rsidP="005D442C">
      <w:pPr>
        <w:pStyle w:val="Default"/>
        <w:rPr>
          <w:rFonts w:ascii="Arial Narrow" w:hAnsi="Arial Narrow"/>
          <w:sz w:val="22"/>
          <w:szCs w:val="22"/>
        </w:rPr>
      </w:pPr>
      <w:r w:rsidRPr="009F29BE">
        <w:rPr>
          <w:rFonts w:ascii="Arial Narrow" w:hAnsi="Arial Narrow"/>
          <w:sz w:val="22"/>
          <w:szCs w:val="22"/>
        </w:rPr>
        <w:t xml:space="preserve">Zásoby sa oceňujú obstarávacou cenou (nakupované zásoby). </w:t>
      </w:r>
    </w:p>
    <w:p w:rsidR="005D442C" w:rsidRPr="009F29BE" w:rsidRDefault="005D442C" w:rsidP="005D442C">
      <w:pPr>
        <w:pStyle w:val="Default"/>
        <w:rPr>
          <w:rFonts w:ascii="Arial Narrow" w:hAnsi="Arial Narrow"/>
          <w:sz w:val="22"/>
          <w:szCs w:val="22"/>
        </w:rPr>
      </w:pPr>
      <w:r w:rsidRPr="009F29BE">
        <w:rPr>
          <w:rFonts w:ascii="Arial Narrow" w:hAnsi="Arial Narrow"/>
          <w:sz w:val="22"/>
          <w:szCs w:val="22"/>
        </w:rPr>
        <w:t xml:space="preserve"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 </w:t>
      </w:r>
    </w:p>
    <w:p w:rsidR="005D442C" w:rsidRPr="009F29BE" w:rsidRDefault="005D442C" w:rsidP="005D442C">
      <w:pPr>
        <w:pStyle w:val="Default"/>
        <w:rPr>
          <w:rFonts w:ascii="Arial Narrow" w:hAnsi="Arial Narrow"/>
          <w:sz w:val="22"/>
          <w:szCs w:val="22"/>
        </w:rPr>
      </w:pPr>
      <w:r w:rsidRPr="009F29BE">
        <w:rPr>
          <w:rFonts w:ascii="Arial Narrow" w:hAnsi="Arial Narrow"/>
          <w:sz w:val="22"/>
          <w:szCs w:val="22"/>
        </w:rPr>
        <w:t xml:space="preserve">Zníženie hodnoty zásob sa upravuje vytvorením opravnej položky. </w:t>
      </w:r>
    </w:p>
    <w:p w:rsidR="001A083E" w:rsidRDefault="005D442C">
      <w:pPr>
        <w:tabs>
          <w:tab w:val="left" w:pos="1080"/>
        </w:tabs>
        <w:jc w:val="both"/>
        <w:rPr>
          <w:szCs w:val="22"/>
        </w:rPr>
      </w:pPr>
      <w:r w:rsidRPr="009F29BE">
        <w:rPr>
          <w:rFonts w:cs="Arial"/>
          <w:color w:val="000000"/>
          <w:szCs w:val="22"/>
          <w:lang w:eastAsia="sk-SK"/>
        </w:rPr>
        <w:t xml:space="preserve">Pri účtovaní obstarania a úbytku zásob postupovala </w:t>
      </w:r>
      <w:r w:rsidR="00FC4A30" w:rsidRPr="009F29BE">
        <w:rPr>
          <w:rFonts w:ascii="Arial" w:hAnsi="Arial" w:cs="Arial"/>
          <w:color w:val="000000"/>
          <w:sz w:val="24"/>
          <w:szCs w:val="22"/>
          <w:lang w:eastAsia="sk-SK"/>
        </w:rPr>
        <w:t>účtovná jednotka</w:t>
      </w:r>
      <w:r w:rsidRPr="009F29BE">
        <w:rPr>
          <w:rFonts w:cs="Arial"/>
          <w:color w:val="000000"/>
          <w:szCs w:val="22"/>
          <w:lang w:eastAsia="sk-SK"/>
        </w:rPr>
        <w:t xml:space="preserve"> podľa postupov účtovania spôsobom „A“.</w:t>
      </w:r>
      <w:r w:rsidRPr="009F29BE">
        <w:rPr>
          <w:rFonts w:ascii="Arial" w:hAnsi="Arial" w:cs="Arial"/>
          <w:color w:val="000000"/>
          <w:szCs w:val="22"/>
          <w:lang w:eastAsia="sk-SK"/>
        </w:rPr>
        <w:t xml:space="preserve"> </w:t>
      </w:r>
    </w:p>
    <w:p w:rsidR="00FC4A30" w:rsidRDefault="00FC4A30" w:rsidP="00FC4A30">
      <w:pPr>
        <w:pStyle w:val="Default"/>
        <w:rPr>
          <w:rFonts w:ascii="Arial Narrow" w:hAnsi="Arial Narrow"/>
          <w:sz w:val="22"/>
          <w:szCs w:val="22"/>
        </w:rPr>
      </w:pPr>
    </w:p>
    <w:p w:rsidR="00FC4A30" w:rsidRPr="009F29BE" w:rsidRDefault="00FC4A30" w:rsidP="009F29BE">
      <w:pPr>
        <w:pStyle w:val="Default"/>
        <w:rPr>
          <w:rFonts w:ascii="Arial Narrow" w:hAnsi="Arial Narrow"/>
          <w:sz w:val="22"/>
          <w:szCs w:val="22"/>
        </w:rPr>
      </w:pPr>
    </w:p>
    <w:p w:rsidR="001A083E" w:rsidRDefault="001A083E">
      <w:pPr>
        <w:pStyle w:val="Nadpis1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Čl. IV</w:t>
      </w:r>
    </w:p>
    <w:p w:rsidR="001A083E" w:rsidRDefault="001A083E">
      <w:pPr>
        <w:pStyle w:val="Nadpis1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Informácie, ktoré vysvetľujú a doplňujú súvahu a výkaz ziskov a strát</w:t>
      </w:r>
    </w:p>
    <w:p w:rsidR="001A083E" w:rsidRDefault="001A083E"/>
    <w:p w:rsidR="003458B1" w:rsidRDefault="003458B1">
      <w:pPr>
        <w:rPr>
          <w:b/>
        </w:rPr>
      </w:pPr>
    </w:p>
    <w:p w:rsidR="00E6382B" w:rsidRDefault="003458B1" w:rsidP="003458B1">
      <w:r>
        <w:rPr>
          <w:b/>
        </w:rPr>
        <w:t>(1)  Informácie o goodwille</w:t>
      </w:r>
      <w:r w:rsidR="009F36F6" w:rsidRPr="009F29BE">
        <w:rPr>
          <w:b/>
        </w:rPr>
        <w:t>, derivátoch</w:t>
      </w:r>
    </w:p>
    <w:p w:rsidR="00E6382B" w:rsidRPr="00FF5D6E" w:rsidRDefault="00E6382B" w:rsidP="003458B1"/>
    <w:p w:rsidR="003458B1" w:rsidRDefault="00FC4A30" w:rsidP="003458B1">
      <w:pPr>
        <w:rPr>
          <w:szCs w:val="22"/>
        </w:rPr>
      </w:pPr>
      <w:r>
        <w:rPr>
          <w:szCs w:val="22"/>
        </w:rPr>
        <w:t xml:space="preserve">Účtovná jednotka </w:t>
      </w:r>
      <w:r w:rsidR="003458B1">
        <w:rPr>
          <w:szCs w:val="22"/>
        </w:rPr>
        <w:t>nemá náplň pre tento bod.</w:t>
      </w:r>
    </w:p>
    <w:p w:rsidR="003458B1" w:rsidRDefault="003458B1" w:rsidP="003458B1">
      <w:pPr>
        <w:rPr>
          <w:b/>
        </w:rPr>
      </w:pPr>
    </w:p>
    <w:p w:rsidR="003458B1" w:rsidRDefault="003458B1" w:rsidP="003458B1">
      <w:pPr>
        <w:rPr>
          <w:b/>
        </w:rPr>
      </w:pPr>
    </w:p>
    <w:p w:rsidR="003458B1" w:rsidRPr="00FF5D6E" w:rsidRDefault="009F36F6" w:rsidP="003458B1">
      <w:r>
        <w:rPr>
          <w:b/>
        </w:rPr>
        <w:t>(2) Informácie o zabezpečených záväzko</w:t>
      </w:r>
      <w:r w:rsidR="000B3DBF">
        <w:rPr>
          <w:b/>
        </w:rPr>
        <w:t>ch</w:t>
      </w:r>
      <w:r>
        <w:rPr>
          <w:b/>
        </w:rPr>
        <w:t xml:space="preserve"> </w:t>
      </w:r>
      <w:r w:rsidR="00FC4A30">
        <w:rPr>
          <w:b/>
        </w:rPr>
        <w:t>Ú</w:t>
      </w:r>
      <w:r>
        <w:rPr>
          <w:b/>
        </w:rPr>
        <w:t>J</w:t>
      </w:r>
    </w:p>
    <w:p w:rsidR="003458B1" w:rsidRDefault="003458B1">
      <w:pPr>
        <w:rPr>
          <w:szCs w:val="22"/>
        </w:rPr>
      </w:pPr>
    </w:p>
    <w:p w:rsidR="009F36F6" w:rsidRDefault="00FC4A30">
      <w:pPr>
        <w:rPr>
          <w:szCs w:val="22"/>
        </w:rPr>
      </w:pPr>
      <w:r>
        <w:rPr>
          <w:szCs w:val="22"/>
        </w:rPr>
        <w:t xml:space="preserve">ÚJ  </w:t>
      </w:r>
      <w:r w:rsidR="009F36F6">
        <w:rPr>
          <w:szCs w:val="22"/>
        </w:rPr>
        <w:t xml:space="preserve">má uzavretú </w:t>
      </w:r>
      <w:r>
        <w:rPr>
          <w:szCs w:val="22"/>
        </w:rPr>
        <w:t>Z</w:t>
      </w:r>
      <w:r w:rsidR="009F36F6">
        <w:rPr>
          <w:szCs w:val="22"/>
        </w:rPr>
        <w:t>mluvu</w:t>
      </w:r>
      <w:r>
        <w:rPr>
          <w:szCs w:val="22"/>
        </w:rPr>
        <w:t xml:space="preserve"> o kontokorentnom úvere v</w:t>
      </w:r>
      <w:r w:rsidR="009F36F6">
        <w:rPr>
          <w:szCs w:val="22"/>
        </w:rPr>
        <w:t> Tatra bank</w:t>
      </w:r>
      <w:r>
        <w:rPr>
          <w:szCs w:val="22"/>
        </w:rPr>
        <w:t>e</w:t>
      </w:r>
      <w:r w:rsidR="00207B6C">
        <w:rPr>
          <w:szCs w:val="22"/>
        </w:rPr>
        <w:t xml:space="preserve">  vo výške 4</w:t>
      </w:r>
      <w:r w:rsidR="009F36F6">
        <w:rPr>
          <w:szCs w:val="22"/>
        </w:rPr>
        <w:t>00</w:t>
      </w:r>
      <w:r>
        <w:rPr>
          <w:szCs w:val="22"/>
        </w:rPr>
        <w:t xml:space="preserve"> </w:t>
      </w:r>
      <w:r w:rsidR="009F36F6">
        <w:rPr>
          <w:szCs w:val="22"/>
        </w:rPr>
        <w:t>tis.</w:t>
      </w:r>
      <w:r>
        <w:rPr>
          <w:szCs w:val="22"/>
        </w:rPr>
        <w:t xml:space="preserve"> EUR</w:t>
      </w:r>
      <w:r w:rsidR="00207B6C">
        <w:rPr>
          <w:szCs w:val="22"/>
        </w:rPr>
        <w:t>, ktorý nebol k 31.12.2020</w:t>
      </w:r>
      <w:r w:rsidR="009F36F6">
        <w:rPr>
          <w:szCs w:val="22"/>
        </w:rPr>
        <w:t xml:space="preserve"> čerpaný.</w:t>
      </w:r>
      <w:r>
        <w:rPr>
          <w:szCs w:val="22"/>
        </w:rPr>
        <w:t xml:space="preserve"> </w:t>
      </w:r>
      <w:r w:rsidR="009F36F6">
        <w:rPr>
          <w:szCs w:val="22"/>
        </w:rPr>
        <w:t>Úver</w:t>
      </w:r>
      <w:r>
        <w:rPr>
          <w:szCs w:val="22"/>
        </w:rPr>
        <w:t xml:space="preserve"> j</w:t>
      </w:r>
      <w:r w:rsidR="009F36F6">
        <w:rPr>
          <w:szCs w:val="22"/>
        </w:rPr>
        <w:t xml:space="preserve">e zabezpečený </w:t>
      </w:r>
      <w:r>
        <w:rPr>
          <w:szCs w:val="22"/>
        </w:rPr>
        <w:t>záložným právom na pohľadávky</w:t>
      </w:r>
      <w:r w:rsidR="009F36F6">
        <w:rPr>
          <w:szCs w:val="22"/>
        </w:rPr>
        <w:t>.</w:t>
      </w:r>
    </w:p>
    <w:p w:rsidR="00207B6C" w:rsidRDefault="00207B6C">
      <w:pPr>
        <w:rPr>
          <w:b/>
        </w:rPr>
      </w:pPr>
    </w:p>
    <w:p w:rsidR="003458B1" w:rsidRDefault="003458B1">
      <w:pPr>
        <w:rPr>
          <w:b/>
        </w:rPr>
      </w:pPr>
    </w:p>
    <w:p w:rsidR="00BC7FC8" w:rsidRDefault="00BC7FC8">
      <w:pPr>
        <w:rPr>
          <w:color w:val="FF0000"/>
          <w:szCs w:val="22"/>
        </w:rPr>
      </w:pPr>
    </w:p>
    <w:p w:rsidR="001A083E" w:rsidRDefault="001A083E">
      <w:pPr>
        <w:jc w:val="center"/>
        <w:rPr>
          <w:b/>
          <w:szCs w:val="22"/>
        </w:rPr>
      </w:pPr>
      <w:r>
        <w:rPr>
          <w:b/>
          <w:szCs w:val="22"/>
        </w:rPr>
        <w:t>Čl. V</w:t>
      </w:r>
    </w:p>
    <w:p w:rsidR="001A083E" w:rsidRDefault="001A083E">
      <w:pPr>
        <w:jc w:val="center"/>
        <w:rPr>
          <w:b/>
          <w:szCs w:val="22"/>
        </w:rPr>
      </w:pPr>
    </w:p>
    <w:p w:rsidR="001A083E" w:rsidRDefault="001A083E">
      <w:pPr>
        <w:jc w:val="center"/>
        <w:rPr>
          <w:b/>
          <w:szCs w:val="22"/>
        </w:rPr>
      </w:pPr>
      <w:r>
        <w:rPr>
          <w:b/>
          <w:szCs w:val="22"/>
        </w:rPr>
        <w:t>Informácie o iných aktívach a iných pasívach</w:t>
      </w:r>
    </w:p>
    <w:p w:rsidR="00654A71" w:rsidRDefault="00654A71">
      <w:pPr>
        <w:jc w:val="center"/>
        <w:rPr>
          <w:b/>
          <w:szCs w:val="22"/>
        </w:rPr>
      </w:pPr>
    </w:p>
    <w:p w:rsidR="001A083E" w:rsidRDefault="001A083E">
      <w:pPr>
        <w:jc w:val="center"/>
        <w:rPr>
          <w:b/>
          <w:szCs w:val="22"/>
        </w:rPr>
      </w:pPr>
    </w:p>
    <w:p w:rsidR="001A083E" w:rsidRDefault="001A083E">
      <w:pPr>
        <w:rPr>
          <w:b/>
          <w:szCs w:val="22"/>
        </w:rPr>
      </w:pPr>
      <w:r>
        <w:rPr>
          <w:b/>
          <w:szCs w:val="22"/>
        </w:rPr>
        <w:t>(1) Informácie o podmienenom majetku a podmienených záväzkoch</w:t>
      </w:r>
    </w:p>
    <w:p w:rsidR="001A083E" w:rsidRDefault="001A083E" w:rsidP="00162AD0">
      <w:pPr>
        <w:jc w:val="both"/>
        <w:rPr>
          <w:szCs w:val="22"/>
        </w:rPr>
      </w:pPr>
    </w:p>
    <w:p w:rsidR="008A3428" w:rsidRPr="00CA67FD" w:rsidRDefault="008A3428" w:rsidP="008A3428">
      <w:pPr>
        <w:jc w:val="both"/>
        <w:rPr>
          <w:szCs w:val="22"/>
        </w:rPr>
      </w:pPr>
      <w:r w:rsidRPr="00D91888">
        <w:rPr>
          <w:szCs w:val="22"/>
        </w:rPr>
        <w:t xml:space="preserve">Daňové prostredie, v ktorom </w:t>
      </w:r>
      <w:r w:rsidR="00FC4A30">
        <w:rPr>
          <w:szCs w:val="22"/>
        </w:rPr>
        <w:t>ÚJ</w:t>
      </w:r>
      <w:r w:rsidR="00FC4A30" w:rsidRPr="00D91888">
        <w:rPr>
          <w:szCs w:val="22"/>
        </w:rPr>
        <w:t xml:space="preserve"> </w:t>
      </w:r>
      <w:r w:rsidRPr="00D91888">
        <w:rPr>
          <w:szCs w:val="22"/>
        </w:rPr>
        <w:t xml:space="preserve">na Slovensku pôsobí, závisí od bežnej daňovej legislatívy a praxe s relatívne nízkym počtom precedensov. Pretože daňové úrady neposkytujú oficiálny výklad daňových zákonov, existuje riziko, že daňové úrady môžu požadovať úpravy základu dane. Daňové priznania ostávajú otvorené a môžu byť predmetom kontroly počas obdobia piatich rokov. Skutočnosť, že určité obdobie alebo daňové priznanie vzťahujúce sa na toto obdobie bolo kontrolované, nemá vplyv na vylúčenie tohto obdobia z prípadnej ďalšej kontroly počas obdobia piatich rokov. V dôsledku toho sú daňové priznania </w:t>
      </w:r>
      <w:r w:rsidR="00FC4A30">
        <w:rPr>
          <w:szCs w:val="22"/>
        </w:rPr>
        <w:t>ÚJ</w:t>
      </w:r>
      <w:r w:rsidR="00FC4A30" w:rsidRPr="00D91888">
        <w:rPr>
          <w:szCs w:val="22"/>
        </w:rPr>
        <w:t xml:space="preserve"> </w:t>
      </w:r>
      <w:r w:rsidRPr="00D91888">
        <w:rPr>
          <w:szCs w:val="22"/>
        </w:rPr>
        <w:t xml:space="preserve">za roky </w:t>
      </w:r>
      <w:r w:rsidR="00104D52" w:rsidRPr="00D91888">
        <w:rPr>
          <w:szCs w:val="22"/>
        </w:rPr>
        <w:t>201</w:t>
      </w:r>
      <w:r w:rsidR="00207B6C">
        <w:rPr>
          <w:szCs w:val="22"/>
        </w:rPr>
        <w:t>5</w:t>
      </w:r>
      <w:r w:rsidR="00104D52" w:rsidRPr="00D91888">
        <w:rPr>
          <w:szCs w:val="22"/>
        </w:rPr>
        <w:t xml:space="preserve"> </w:t>
      </w:r>
      <w:r w:rsidRPr="00D91888">
        <w:rPr>
          <w:szCs w:val="22"/>
        </w:rPr>
        <w:t xml:space="preserve">až </w:t>
      </w:r>
      <w:r w:rsidR="00207B6C">
        <w:rPr>
          <w:szCs w:val="22"/>
        </w:rPr>
        <w:t>2020</w:t>
      </w:r>
      <w:r w:rsidR="002E4AA9" w:rsidRPr="00D91888">
        <w:rPr>
          <w:szCs w:val="22"/>
        </w:rPr>
        <w:t xml:space="preserve"> </w:t>
      </w:r>
      <w:r w:rsidRPr="00D91888">
        <w:rPr>
          <w:szCs w:val="22"/>
        </w:rPr>
        <w:t>otvorené a môžu sa stať predmetom kontroly.</w:t>
      </w:r>
    </w:p>
    <w:p w:rsidR="001A083E" w:rsidRDefault="001A083E">
      <w:pPr>
        <w:jc w:val="center"/>
        <w:rPr>
          <w:b/>
          <w:szCs w:val="22"/>
        </w:rPr>
      </w:pPr>
    </w:p>
    <w:p w:rsidR="001A083E" w:rsidRDefault="001A083E">
      <w:pPr>
        <w:rPr>
          <w:b/>
        </w:rPr>
      </w:pPr>
      <w:r>
        <w:rPr>
          <w:b/>
        </w:rPr>
        <w:t>a) Informácie o podmienenom majetku</w:t>
      </w:r>
    </w:p>
    <w:p w:rsidR="001A083E" w:rsidRDefault="001A083E"/>
    <w:p w:rsidR="001F14A3" w:rsidRDefault="00FC4A30">
      <w:r>
        <w:t xml:space="preserve">ÚJ </w:t>
      </w:r>
      <w:r w:rsidR="001F14A3">
        <w:t>nemá podmienené aktíva.</w:t>
      </w:r>
    </w:p>
    <w:p w:rsidR="001A083E" w:rsidRDefault="001A083E">
      <w:pPr>
        <w:pStyle w:val="Nzov"/>
        <w:keepNext w:val="0"/>
        <w:widowControl w:val="0"/>
        <w:spacing w:before="0" w:beforeAutospacing="0" w:after="0"/>
        <w:jc w:val="left"/>
      </w:pPr>
    </w:p>
    <w:p w:rsidR="001A083E" w:rsidRDefault="008A3428" w:rsidP="008A3428">
      <w:pPr>
        <w:pStyle w:val="Nzov"/>
        <w:keepNext w:val="0"/>
        <w:widowControl w:val="0"/>
        <w:spacing w:before="0" w:beforeAutospacing="0" w:after="0"/>
        <w:jc w:val="left"/>
      </w:pPr>
      <w:r w:rsidRPr="00607384">
        <w:t xml:space="preserve">b) </w:t>
      </w:r>
      <w:r w:rsidR="001A083E" w:rsidRPr="00607384">
        <w:t>Informácie o podmienených záväzkoch</w:t>
      </w:r>
    </w:p>
    <w:p w:rsidR="00FC4A30" w:rsidRPr="009F29BE" w:rsidRDefault="00FC4A30" w:rsidP="009F29BE"/>
    <w:p w:rsidR="00F3264D" w:rsidRDefault="00FC4A30" w:rsidP="00FC4A30">
      <w:r>
        <w:t xml:space="preserve">ÚJ </w:t>
      </w:r>
      <w:r w:rsidR="009F36F6">
        <w:t>neeviduje  žiadne  podmienené záväzky zo súdnych  rozhodnutí, poskytnutých záruk,</w:t>
      </w:r>
      <w:r>
        <w:t xml:space="preserve"> </w:t>
      </w:r>
      <w:r w:rsidR="009F36F6">
        <w:t>zo všeobecne záväzn</w:t>
      </w:r>
      <w:r>
        <w:t>ý</w:t>
      </w:r>
      <w:r w:rsidR="009F36F6">
        <w:t>ch právnych predpisov, zo zmluvy o podriadenom záväzku, z ručenia záväzku</w:t>
      </w:r>
      <w:r>
        <w:t>, resp. iné podmienené záväzky</w:t>
      </w:r>
      <w:r w:rsidR="00207B6C">
        <w:t xml:space="preserve"> </w:t>
      </w:r>
    </w:p>
    <w:p w:rsidR="008341DD" w:rsidRPr="001E4446" w:rsidRDefault="008341DD" w:rsidP="009F29BE"/>
    <w:p w:rsidR="00214D20" w:rsidRDefault="00214D20" w:rsidP="00214D20">
      <w:pPr>
        <w:rPr>
          <w:b/>
        </w:rPr>
      </w:pPr>
      <w:r>
        <w:rPr>
          <w:b/>
        </w:rPr>
        <w:t>(2) Informácie o ostatných finančných povinnostiach nevykazovaných v súvahe</w:t>
      </w:r>
    </w:p>
    <w:p w:rsidR="00214D20" w:rsidRDefault="00214D20" w:rsidP="00162AD0"/>
    <w:p w:rsidR="00214D20" w:rsidRPr="00214D20" w:rsidRDefault="008341DD" w:rsidP="00162AD0">
      <w:r>
        <w:rPr>
          <w:szCs w:val="22"/>
        </w:rPr>
        <w:t xml:space="preserve">ÚJ </w:t>
      </w:r>
      <w:r w:rsidR="00214D20">
        <w:rPr>
          <w:szCs w:val="22"/>
        </w:rPr>
        <w:t>nemá náplň pre tento bod.</w:t>
      </w:r>
    </w:p>
    <w:p w:rsidR="001A083E" w:rsidRDefault="001A083E">
      <w:pPr>
        <w:jc w:val="center"/>
        <w:rPr>
          <w:b/>
          <w:szCs w:val="22"/>
        </w:rPr>
      </w:pPr>
    </w:p>
    <w:p w:rsidR="001A083E" w:rsidRDefault="00545BAD">
      <w:pPr>
        <w:rPr>
          <w:b/>
          <w:szCs w:val="22"/>
        </w:rPr>
      </w:pPr>
      <w:r w:rsidDel="00545BAD">
        <w:rPr>
          <w:b/>
        </w:rPr>
        <w:t xml:space="preserve"> </w:t>
      </w:r>
      <w:r w:rsidR="001A083E" w:rsidRPr="0067347E">
        <w:rPr>
          <w:b/>
          <w:szCs w:val="22"/>
        </w:rPr>
        <w:t>(3) Vybrané informácie o niektorých údajoch sledovaných na podsúvahových účtoch (významné položky)</w:t>
      </w:r>
    </w:p>
    <w:p w:rsidR="008341DD" w:rsidRDefault="008341DD">
      <w:pPr>
        <w:rPr>
          <w:b/>
          <w:szCs w:val="22"/>
        </w:rPr>
      </w:pPr>
    </w:p>
    <w:p w:rsidR="0092197B" w:rsidRPr="0092197B" w:rsidRDefault="008341DD">
      <w:pPr>
        <w:rPr>
          <w:szCs w:val="22"/>
        </w:rPr>
      </w:pPr>
      <w:r>
        <w:rPr>
          <w:szCs w:val="22"/>
        </w:rPr>
        <w:t>ÚJ</w:t>
      </w:r>
      <w:r w:rsidR="0092197B" w:rsidRPr="0092197B">
        <w:rPr>
          <w:szCs w:val="22"/>
        </w:rPr>
        <w:t xml:space="preserve"> neeviduje žiadny prenajatý  majetok, majetok v nájme, majetok prijatý do  úschovy, poh</w:t>
      </w:r>
      <w:r>
        <w:rPr>
          <w:szCs w:val="22"/>
        </w:rPr>
        <w:t>ľ</w:t>
      </w:r>
      <w:r w:rsidR="0092197B" w:rsidRPr="0092197B">
        <w:rPr>
          <w:szCs w:val="22"/>
        </w:rPr>
        <w:t>adávky a záväzky  z opcií,</w:t>
      </w:r>
      <w:r>
        <w:rPr>
          <w:szCs w:val="22"/>
        </w:rPr>
        <w:t xml:space="preserve"> </w:t>
      </w:r>
      <w:r w:rsidR="0092197B" w:rsidRPr="0092197B">
        <w:rPr>
          <w:szCs w:val="22"/>
        </w:rPr>
        <w:t>odpísan</w:t>
      </w:r>
      <w:r>
        <w:rPr>
          <w:szCs w:val="22"/>
        </w:rPr>
        <w:t>é</w:t>
      </w:r>
      <w:r w:rsidR="0092197B" w:rsidRPr="0092197B">
        <w:rPr>
          <w:szCs w:val="22"/>
        </w:rPr>
        <w:t xml:space="preserve"> poh</w:t>
      </w:r>
      <w:r>
        <w:rPr>
          <w:szCs w:val="22"/>
        </w:rPr>
        <w:t>ľ</w:t>
      </w:r>
      <w:r w:rsidR="0092197B" w:rsidRPr="0092197B">
        <w:rPr>
          <w:szCs w:val="22"/>
        </w:rPr>
        <w:t>adávky</w:t>
      </w:r>
      <w:r>
        <w:rPr>
          <w:szCs w:val="22"/>
        </w:rPr>
        <w:t>.</w:t>
      </w:r>
    </w:p>
    <w:p w:rsidR="001A083E" w:rsidRDefault="001A083E">
      <w:pPr>
        <w:jc w:val="center"/>
        <w:rPr>
          <w:b/>
          <w:szCs w:val="22"/>
        </w:rPr>
      </w:pPr>
    </w:p>
    <w:p w:rsidR="001A083E" w:rsidRDefault="001A083E">
      <w:pPr>
        <w:jc w:val="center"/>
        <w:rPr>
          <w:b/>
          <w:szCs w:val="22"/>
        </w:rPr>
      </w:pPr>
    </w:p>
    <w:p w:rsidR="001A083E" w:rsidRDefault="001A083E">
      <w:pPr>
        <w:jc w:val="center"/>
        <w:rPr>
          <w:b/>
          <w:szCs w:val="22"/>
        </w:rPr>
      </w:pPr>
      <w:r>
        <w:rPr>
          <w:b/>
          <w:szCs w:val="22"/>
        </w:rPr>
        <w:t>Čl. VI</w:t>
      </w:r>
    </w:p>
    <w:p w:rsidR="001A083E" w:rsidRDefault="001A083E">
      <w:pPr>
        <w:jc w:val="center"/>
        <w:rPr>
          <w:b/>
          <w:szCs w:val="22"/>
        </w:rPr>
      </w:pPr>
    </w:p>
    <w:p w:rsidR="001A083E" w:rsidRDefault="001A083E">
      <w:pPr>
        <w:jc w:val="center"/>
        <w:rPr>
          <w:b/>
          <w:szCs w:val="22"/>
        </w:rPr>
      </w:pPr>
      <w:r>
        <w:rPr>
          <w:b/>
          <w:szCs w:val="22"/>
        </w:rPr>
        <w:t>Udalosti, ktoré nastali po dni, ku ktorému sa zostavuje UZ</w:t>
      </w:r>
    </w:p>
    <w:p w:rsidR="00485844" w:rsidRDefault="00485844">
      <w:pPr>
        <w:jc w:val="center"/>
        <w:rPr>
          <w:b/>
          <w:szCs w:val="22"/>
        </w:rPr>
      </w:pPr>
    </w:p>
    <w:p w:rsidR="001A083E" w:rsidRDefault="001A083E">
      <w:pPr>
        <w:jc w:val="both"/>
        <w:rPr>
          <w:i/>
          <w:color w:val="FF0000"/>
        </w:rPr>
      </w:pPr>
    </w:p>
    <w:p w:rsidR="00485844" w:rsidRDefault="00485844" w:rsidP="00485844">
      <w:pPr>
        <w:jc w:val="both"/>
      </w:pPr>
      <w:r>
        <w:t xml:space="preserve">Začiatkom roku 2020 sa z Ázie do Európy rozšírilo ochorenie COVID-19. Jednotlivé štáty vrátane Slovenskej republiky začali prijímať rôzne opatrenia v súvislosti s ochorením COVID-19, ktoré môžu mať vplyv aj na ekonomiku Slovenskej republiky a následne aj na podnikateľské a obchodné aktivity a tiež na finančnú situáciu spoločnosti v roku 2020. Vzhľadom na charakter podnikateľskej činnosti spoločnosti, vedenie nepovažuje tento vplyv a udalosti ako udalosti, na  základe ktorých by bolo potrebné vykonať úpravu účtovnej </w:t>
      </w:r>
      <w:r w:rsidR="00207B6C">
        <w:t>závierky zostavenej k 31.12.2020</w:t>
      </w:r>
      <w:r>
        <w:t>, ale len ako udalosti, ktoré nastali po dni, ku ktorému sa zostavuje účtovná závierka a tieto je potrebné zverejniť v poznámka</w:t>
      </w:r>
      <w:r w:rsidR="00207B6C">
        <w:t>ch účtovnej závierky za rok 2020</w:t>
      </w:r>
      <w:r>
        <w:t>.</w:t>
      </w:r>
    </w:p>
    <w:p w:rsidR="00485844" w:rsidRDefault="00485844" w:rsidP="00485844">
      <w:pPr>
        <w:jc w:val="both"/>
      </w:pPr>
      <w:r>
        <w:t xml:space="preserve">Vedenie spoločnosti zvážilo všetky potenciálne dopady ochorenia COVID-19 na podnikateľské aktivity a dospelo k záveru, že tieto nemajú významný vplyv na spoločnosť pokračovať nepretržite v činnosti a fungovať ako zdravý subjekt nasledujúcich 12 mesiacov. </w:t>
      </w:r>
    </w:p>
    <w:p w:rsidR="00485844" w:rsidRDefault="00485844" w:rsidP="00485844">
      <w:pPr>
        <w:jc w:val="both"/>
      </w:pPr>
    </w:p>
    <w:p w:rsidR="00485844" w:rsidRDefault="00485844" w:rsidP="00485844">
      <w:pPr>
        <w:jc w:val="both"/>
      </w:pPr>
      <w:r>
        <w:t>Vedenie spoločnosti aj po dni zostavenia a zverejnenia tejto účtovnej závierky bude neustále sledovať  prijímané opatrenia zo strany kompetentných inštitúcií a tiež ostatných tretích strán, vyhodnocovať vzniknutú situáciu a možné dopady na spoločnosť a v prípade potreby bude podnikať a prijímať všetky opatrenia na odvrátenie, resp. zmiernenie prípadných negatívnych dopadov, ktoré by jej mohli z uvedeného titulu vzniknúť.</w:t>
      </w:r>
    </w:p>
    <w:p w:rsidR="00485844" w:rsidRDefault="00485844" w:rsidP="00485844">
      <w:pPr>
        <w:jc w:val="both"/>
      </w:pPr>
    </w:p>
    <w:p w:rsidR="00B65CFC" w:rsidRDefault="00485844">
      <w:pPr>
        <w:jc w:val="both"/>
      </w:pPr>
      <w:r>
        <w:t>Okrem vyšši</w:t>
      </w:r>
      <w:r w:rsidR="00207B6C">
        <w:t>e uvedeného po 31. decembri 2020</w:t>
      </w:r>
      <w:r>
        <w:t xml:space="preserve"> nenastali udalosti, ktoré majú významný vplyv na verné zobrazenie skutočností, ktoré sú predmetom účtovníctva.</w:t>
      </w:r>
    </w:p>
    <w:p w:rsidR="001A083E" w:rsidRDefault="001A083E" w:rsidP="009F29BE">
      <w:pPr>
        <w:jc w:val="both"/>
        <w:rPr>
          <w:szCs w:val="22"/>
        </w:rPr>
      </w:pPr>
    </w:p>
    <w:sectPr w:rsidR="001A083E">
      <w:headerReference w:type="default" r:id="rId8"/>
      <w:footerReference w:type="default" r:id="rId9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137" w:rsidRDefault="001A3137">
      <w:r>
        <w:separator/>
      </w:r>
    </w:p>
  </w:endnote>
  <w:endnote w:type="continuationSeparator" w:id="0">
    <w:p w:rsidR="001A3137" w:rsidRDefault="001A3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083E" w:rsidRDefault="001A083E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B689E">
      <w:rPr>
        <w:noProof/>
      </w:rPr>
      <w:t>5</w:t>
    </w:r>
    <w:r>
      <w:fldChar w:fldCharType="end"/>
    </w:r>
  </w:p>
  <w:p w:rsidR="001A083E" w:rsidRDefault="001A083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137" w:rsidRDefault="001A3137">
      <w:r>
        <w:separator/>
      </w:r>
    </w:p>
  </w:footnote>
  <w:footnote w:type="continuationSeparator" w:id="0">
    <w:p w:rsidR="001A3137" w:rsidRDefault="001A31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083E" w:rsidRDefault="001A083E">
    <w:pPr>
      <w:pStyle w:val="Hlavika"/>
      <w:tabs>
        <w:tab w:val="clear" w:pos="4536"/>
        <w:tab w:val="clear" w:pos="9072"/>
        <w:tab w:val="left" w:pos="5940"/>
      </w:tabs>
      <w:rPr>
        <w:sz w:val="22"/>
        <w:szCs w:val="22"/>
      </w:rPr>
    </w:pPr>
    <w:r>
      <w:rPr>
        <w:sz w:val="22"/>
        <w:szCs w:val="22"/>
        <w:bdr w:val="single" w:sz="4" w:space="0" w:color="auto"/>
      </w:rPr>
      <w:t>Poznámky Úč PODV 3- 01</w:t>
    </w:r>
    <w:r w:rsidR="006A3E96">
      <w:rPr>
        <w:sz w:val="22"/>
        <w:szCs w:val="22"/>
      </w:rPr>
      <w:tab/>
      <w:t xml:space="preserve">         IČO: </w:t>
    </w:r>
    <w:r w:rsidR="005E12E0">
      <w:rPr>
        <w:sz w:val="22"/>
        <w:szCs w:val="22"/>
      </w:rPr>
      <w:t>35929316</w:t>
    </w:r>
  </w:p>
  <w:p w:rsidR="001A083E" w:rsidRDefault="001A083E">
    <w:pPr>
      <w:pStyle w:val="Hlavika"/>
      <w:tabs>
        <w:tab w:val="clear" w:pos="4536"/>
        <w:tab w:val="clear" w:pos="9072"/>
        <w:tab w:val="left" w:pos="5940"/>
      </w:tabs>
      <w:rPr>
        <w:sz w:val="22"/>
        <w:szCs w:val="22"/>
      </w:rPr>
    </w:pPr>
    <w:r>
      <w:rPr>
        <w:sz w:val="22"/>
        <w:szCs w:val="22"/>
      </w:rPr>
      <w:t xml:space="preserve">                                                                                                          </w:t>
    </w:r>
    <w:r w:rsidR="006A3E96">
      <w:rPr>
        <w:sz w:val="22"/>
        <w:szCs w:val="22"/>
      </w:rPr>
      <w:t xml:space="preserve">           DIČ: </w:t>
    </w:r>
    <w:r w:rsidR="005E12E0">
      <w:rPr>
        <w:sz w:val="22"/>
        <w:szCs w:val="22"/>
      </w:rPr>
      <w:t>2021989959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97490"/>
    <w:multiLevelType w:val="hybridMultilevel"/>
    <w:tmpl w:val="B7941D1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B51F4"/>
    <w:multiLevelType w:val="hybridMultilevel"/>
    <w:tmpl w:val="7BEA3B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25CD6"/>
    <w:multiLevelType w:val="hybridMultilevel"/>
    <w:tmpl w:val="6E2055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F70FC"/>
    <w:multiLevelType w:val="hybridMultilevel"/>
    <w:tmpl w:val="43BE3380"/>
    <w:lvl w:ilvl="0" w:tplc="1E3666CE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1D6D0F88"/>
    <w:multiLevelType w:val="hybridMultilevel"/>
    <w:tmpl w:val="51D4C4BC"/>
    <w:lvl w:ilvl="0" w:tplc="874C18A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09C2A53"/>
    <w:multiLevelType w:val="hybridMultilevel"/>
    <w:tmpl w:val="47F055F2"/>
    <w:lvl w:ilvl="0" w:tplc="870C732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07EF2"/>
    <w:multiLevelType w:val="hybridMultilevel"/>
    <w:tmpl w:val="F4EEE4F8"/>
    <w:lvl w:ilvl="0" w:tplc="6B529E0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29107309"/>
    <w:multiLevelType w:val="hybridMultilevel"/>
    <w:tmpl w:val="9C9442DE"/>
    <w:lvl w:ilvl="0" w:tplc="45123264">
      <w:start w:val="5"/>
      <w:numFmt w:val="lowerRoman"/>
      <w:lvlText w:val="%1)"/>
      <w:lvlJc w:val="left"/>
      <w:pPr>
        <w:tabs>
          <w:tab w:val="num" w:pos="1457"/>
        </w:tabs>
        <w:ind w:left="145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8" w15:restartNumberingAfterBreak="0">
    <w:nsid w:val="349E4CA0"/>
    <w:multiLevelType w:val="hybridMultilevel"/>
    <w:tmpl w:val="2ED284BE"/>
    <w:lvl w:ilvl="0" w:tplc="E0524C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F0735"/>
    <w:multiLevelType w:val="multilevel"/>
    <w:tmpl w:val="3CECA0B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AF1E18"/>
    <w:multiLevelType w:val="hybridMultilevel"/>
    <w:tmpl w:val="8D42951A"/>
    <w:lvl w:ilvl="0" w:tplc="1DCA1E52">
      <w:start w:val="18"/>
      <w:numFmt w:val="lowerLetter"/>
      <w:lvlText w:val="%1)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11" w15:restartNumberingAfterBreak="0">
    <w:nsid w:val="3F025FD0"/>
    <w:multiLevelType w:val="hybridMultilevel"/>
    <w:tmpl w:val="C7D23CCE"/>
    <w:lvl w:ilvl="0" w:tplc="04050017">
      <w:start w:val="2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137582"/>
    <w:multiLevelType w:val="hybridMultilevel"/>
    <w:tmpl w:val="2A46146A"/>
    <w:lvl w:ilvl="0" w:tplc="EE3AA540">
      <w:start w:val="1"/>
      <w:numFmt w:val="bullet"/>
      <w:lvlText w:val=""/>
      <w:lvlJc w:val="left"/>
      <w:pPr>
        <w:ind w:left="757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3" w15:restartNumberingAfterBreak="0">
    <w:nsid w:val="40205C62"/>
    <w:multiLevelType w:val="hybridMultilevel"/>
    <w:tmpl w:val="A950E8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373F41"/>
    <w:multiLevelType w:val="multilevel"/>
    <w:tmpl w:val="3CECA0B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C66096"/>
    <w:multiLevelType w:val="hybridMultilevel"/>
    <w:tmpl w:val="C9F8D6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B648B"/>
    <w:multiLevelType w:val="hybridMultilevel"/>
    <w:tmpl w:val="A4909B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146596"/>
    <w:multiLevelType w:val="hybridMultilevel"/>
    <w:tmpl w:val="8C52BED4"/>
    <w:lvl w:ilvl="0" w:tplc="04050017">
      <w:start w:val="2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5F7556"/>
    <w:multiLevelType w:val="multilevel"/>
    <w:tmpl w:val="1AFCB794"/>
    <w:lvl w:ilvl="0">
      <w:start w:val="3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>
      <w:start w:val="1"/>
      <w:numFmt w:val="decimal"/>
      <w:lvlText w:val="(%5)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860" w:hanging="72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631A79"/>
    <w:multiLevelType w:val="hybridMultilevel"/>
    <w:tmpl w:val="BA5A8652"/>
    <w:lvl w:ilvl="0" w:tplc="874C18A2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0" w15:restartNumberingAfterBreak="0">
    <w:nsid w:val="6D052FCC"/>
    <w:multiLevelType w:val="hybridMultilevel"/>
    <w:tmpl w:val="D51E672A"/>
    <w:lvl w:ilvl="0" w:tplc="C826CDDA">
      <w:start w:val="9"/>
      <w:numFmt w:val="lowerLetter"/>
      <w:lvlText w:val="%1)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21" w15:restartNumberingAfterBreak="0">
    <w:nsid w:val="73275F62"/>
    <w:multiLevelType w:val="hybridMultilevel"/>
    <w:tmpl w:val="69AEAB50"/>
    <w:lvl w:ilvl="0" w:tplc="62BEAE32">
      <w:start w:val="1"/>
      <w:numFmt w:val="lowerLetter"/>
      <w:lvlText w:val="%1)"/>
      <w:lvlJc w:val="left"/>
      <w:pPr>
        <w:tabs>
          <w:tab w:val="num" w:pos="1554"/>
        </w:tabs>
        <w:ind w:left="1554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274"/>
        </w:tabs>
        <w:ind w:left="2274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994"/>
        </w:tabs>
        <w:ind w:left="299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714"/>
        </w:tabs>
        <w:ind w:left="371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434"/>
        </w:tabs>
        <w:ind w:left="443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154"/>
        </w:tabs>
        <w:ind w:left="515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874"/>
        </w:tabs>
        <w:ind w:left="587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594"/>
        </w:tabs>
        <w:ind w:left="659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314"/>
        </w:tabs>
        <w:ind w:left="7314" w:hanging="180"/>
      </w:pPr>
      <w:rPr>
        <w:rFonts w:cs="Times New Roman"/>
      </w:rPr>
    </w:lvl>
  </w:abstractNum>
  <w:abstractNum w:abstractNumId="22" w15:restartNumberingAfterBreak="0">
    <w:nsid w:val="75010368"/>
    <w:multiLevelType w:val="hybridMultilevel"/>
    <w:tmpl w:val="3886BF9A"/>
    <w:lvl w:ilvl="0" w:tplc="05B67AB6">
      <w:start w:val="18"/>
      <w:numFmt w:val="upperLetter"/>
      <w:lvlText w:val="%1."/>
      <w:lvlJc w:val="left"/>
      <w:pPr>
        <w:tabs>
          <w:tab w:val="num" w:pos="757"/>
        </w:tabs>
        <w:ind w:left="757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3" w15:restartNumberingAfterBreak="0">
    <w:nsid w:val="75405E18"/>
    <w:multiLevelType w:val="multilevel"/>
    <w:tmpl w:val="3CECA0B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9"/>
  </w:num>
  <w:num w:numId="3">
    <w:abstractNumId w:val="6"/>
  </w:num>
  <w:num w:numId="4">
    <w:abstractNumId w:val="10"/>
  </w:num>
  <w:num w:numId="5">
    <w:abstractNumId w:val="20"/>
  </w:num>
  <w:num w:numId="6">
    <w:abstractNumId w:val="22"/>
  </w:num>
  <w:num w:numId="7">
    <w:abstractNumId w:val="7"/>
  </w:num>
  <w:num w:numId="8">
    <w:abstractNumId w:val="17"/>
  </w:num>
  <w:num w:numId="9">
    <w:abstractNumId w:val="11"/>
  </w:num>
  <w:num w:numId="10">
    <w:abstractNumId w:val="0"/>
  </w:num>
  <w:num w:numId="11">
    <w:abstractNumId w:val="23"/>
  </w:num>
  <w:num w:numId="12">
    <w:abstractNumId w:val="3"/>
  </w:num>
  <w:num w:numId="13">
    <w:abstractNumId w:val="14"/>
  </w:num>
  <w:num w:numId="14">
    <w:abstractNumId w:val="18"/>
  </w:num>
  <w:num w:numId="15">
    <w:abstractNumId w:val="2"/>
  </w:num>
  <w:num w:numId="16">
    <w:abstractNumId w:val="1"/>
  </w:num>
  <w:num w:numId="17">
    <w:abstractNumId w:val="8"/>
  </w:num>
  <w:num w:numId="18">
    <w:abstractNumId w:val="12"/>
  </w:num>
  <w:num w:numId="19">
    <w:abstractNumId w:val="16"/>
  </w:num>
  <w:num w:numId="20">
    <w:abstractNumId w:val="13"/>
  </w:num>
  <w:num w:numId="21">
    <w:abstractNumId w:val="5"/>
  </w:num>
  <w:num w:numId="22">
    <w:abstractNumId w:val="21"/>
  </w:num>
  <w:num w:numId="23">
    <w:abstractNumId w:val="15"/>
  </w:num>
  <w:num w:numId="24">
    <w:abstractNumId w:val="4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EA9"/>
    <w:rsid w:val="00022C9C"/>
    <w:rsid w:val="000312E1"/>
    <w:rsid w:val="00072F5E"/>
    <w:rsid w:val="000A320F"/>
    <w:rsid w:val="000B3DBF"/>
    <w:rsid w:val="000B4B1B"/>
    <w:rsid w:val="000C4C85"/>
    <w:rsid w:val="000D181E"/>
    <w:rsid w:val="000D53A1"/>
    <w:rsid w:val="000F1DC9"/>
    <w:rsid w:val="00104D52"/>
    <w:rsid w:val="00162AD0"/>
    <w:rsid w:val="00186AD8"/>
    <w:rsid w:val="0018765B"/>
    <w:rsid w:val="00191FBE"/>
    <w:rsid w:val="00197827"/>
    <w:rsid w:val="001A083E"/>
    <w:rsid w:val="001A3137"/>
    <w:rsid w:val="001A5553"/>
    <w:rsid w:val="001B0AB3"/>
    <w:rsid w:val="001D4F03"/>
    <w:rsid w:val="001E4446"/>
    <w:rsid w:val="001F14A3"/>
    <w:rsid w:val="001F1592"/>
    <w:rsid w:val="0020313D"/>
    <w:rsid w:val="00207B6C"/>
    <w:rsid w:val="00214D20"/>
    <w:rsid w:val="00231ABB"/>
    <w:rsid w:val="0025291D"/>
    <w:rsid w:val="00281A0C"/>
    <w:rsid w:val="002A3880"/>
    <w:rsid w:val="002C05D9"/>
    <w:rsid w:val="002C6C47"/>
    <w:rsid w:val="002E4AA9"/>
    <w:rsid w:val="00312CF9"/>
    <w:rsid w:val="0031710C"/>
    <w:rsid w:val="00326E3F"/>
    <w:rsid w:val="00331EA9"/>
    <w:rsid w:val="00334084"/>
    <w:rsid w:val="003458B1"/>
    <w:rsid w:val="003A7DFF"/>
    <w:rsid w:val="003E585C"/>
    <w:rsid w:val="003F5F5F"/>
    <w:rsid w:val="004137F5"/>
    <w:rsid w:val="0045467B"/>
    <w:rsid w:val="0045571D"/>
    <w:rsid w:val="00455789"/>
    <w:rsid w:val="00457F1B"/>
    <w:rsid w:val="00460DB2"/>
    <w:rsid w:val="00463AAB"/>
    <w:rsid w:val="00485844"/>
    <w:rsid w:val="004A2FE4"/>
    <w:rsid w:val="004B03F7"/>
    <w:rsid w:val="004B545B"/>
    <w:rsid w:val="004B6444"/>
    <w:rsid w:val="004B6DD7"/>
    <w:rsid w:val="00545BAD"/>
    <w:rsid w:val="005A57B8"/>
    <w:rsid w:val="005C0682"/>
    <w:rsid w:val="005C3887"/>
    <w:rsid w:val="005D442C"/>
    <w:rsid w:val="005E12E0"/>
    <w:rsid w:val="005E21F4"/>
    <w:rsid w:val="005E402A"/>
    <w:rsid w:val="005F2057"/>
    <w:rsid w:val="00601A54"/>
    <w:rsid w:val="00607384"/>
    <w:rsid w:val="00610FB6"/>
    <w:rsid w:val="00620622"/>
    <w:rsid w:val="00654A71"/>
    <w:rsid w:val="0067347E"/>
    <w:rsid w:val="0067364A"/>
    <w:rsid w:val="00697E30"/>
    <w:rsid w:val="006A3E96"/>
    <w:rsid w:val="006C0950"/>
    <w:rsid w:val="006F16B8"/>
    <w:rsid w:val="00707158"/>
    <w:rsid w:val="007139E6"/>
    <w:rsid w:val="00755BD6"/>
    <w:rsid w:val="00764147"/>
    <w:rsid w:val="007B589C"/>
    <w:rsid w:val="008341DD"/>
    <w:rsid w:val="00842013"/>
    <w:rsid w:val="00846500"/>
    <w:rsid w:val="008723E4"/>
    <w:rsid w:val="00894A40"/>
    <w:rsid w:val="008A2994"/>
    <w:rsid w:val="008A3428"/>
    <w:rsid w:val="008E4453"/>
    <w:rsid w:val="008F2940"/>
    <w:rsid w:val="008F47EC"/>
    <w:rsid w:val="00905220"/>
    <w:rsid w:val="0092197B"/>
    <w:rsid w:val="009379B6"/>
    <w:rsid w:val="009472EC"/>
    <w:rsid w:val="00976BA6"/>
    <w:rsid w:val="00986BF1"/>
    <w:rsid w:val="009925F9"/>
    <w:rsid w:val="00992BA8"/>
    <w:rsid w:val="009F29BE"/>
    <w:rsid w:val="009F36F6"/>
    <w:rsid w:val="00A07342"/>
    <w:rsid w:val="00AC344A"/>
    <w:rsid w:val="00AD2968"/>
    <w:rsid w:val="00AF37B8"/>
    <w:rsid w:val="00B05FFD"/>
    <w:rsid w:val="00B42D0B"/>
    <w:rsid w:val="00B44F50"/>
    <w:rsid w:val="00B60781"/>
    <w:rsid w:val="00B60D70"/>
    <w:rsid w:val="00B65CFC"/>
    <w:rsid w:val="00B8664D"/>
    <w:rsid w:val="00B92738"/>
    <w:rsid w:val="00BC7651"/>
    <w:rsid w:val="00BC7FC8"/>
    <w:rsid w:val="00C43A26"/>
    <w:rsid w:val="00C615A3"/>
    <w:rsid w:val="00C74358"/>
    <w:rsid w:val="00CB5E1C"/>
    <w:rsid w:val="00CB689E"/>
    <w:rsid w:val="00CD3F1F"/>
    <w:rsid w:val="00CE7312"/>
    <w:rsid w:val="00CF303E"/>
    <w:rsid w:val="00D03EC8"/>
    <w:rsid w:val="00D0749B"/>
    <w:rsid w:val="00D2359F"/>
    <w:rsid w:val="00D67633"/>
    <w:rsid w:val="00DE237A"/>
    <w:rsid w:val="00E2722B"/>
    <w:rsid w:val="00E34714"/>
    <w:rsid w:val="00E453B9"/>
    <w:rsid w:val="00E55FDE"/>
    <w:rsid w:val="00E6382B"/>
    <w:rsid w:val="00E873CA"/>
    <w:rsid w:val="00E9464B"/>
    <w:rsid w:val="00E960EA"/>
    <w:rsid w:val="00EB4292"/>
    <w:rsid w:val="00EC37E6"/>
    <w:rsid w:val="00EC6E8E"/>
    <w:rsid w:val="00EF3F14"/>
    <w:rsid w:val="00F1632F"/>
    <w:rsid w:val="00F17D6F"/>
    <w:rsid w:val="00F3264D"/>
    <w:rsid w:val="00F347E5"/>
    <w:rsid w:val="00F437C3"/>
    <w:rsid w:val="00F4574D"/>
    <w:rsid w:val="00F51BA7"/>
    <w:rsid w:val="00F547BF"/>
    <w:rsid w:val="00F552E2"/>
    <w:rsid w:val="00F93DA3"/>
    <w:rsid w:val="00FA17A5"/>
    <w:rsid w:val="00FA43D6"/>
    <w:rsid w:val="00FC4A30"/>
    <w:rsid w:val="00FE653D"/>
    <w:rsid w:val="00FF2484"/>
    <w:rsid w:val="00FF5D6E"/>
    <w:rsid w:val="00FF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2EE0CB-BD21-4A78-8B60-D179A641E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qFormat/>
    <w:pPr>
      <w:spacing w:before="240" w:after="60"/>
      <w:outlineLvl w:val="6"/>
    </w:pPr>
  </w:style>
  <w:style w:type="paragraph" w:styleId="Nadpis8">
    <w:name w:val="heading 8"/>
    <w:basedOn w:val="Normlny"/>
    <w:next w:val="Normlny"/>
    <w:qFormat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qFormat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ocked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ocked/>
    <w:rPr>
      <w:rFonts w:cs="Times New Roman"/>
      <w:b/>
      <w:bCs/>
      <w:sz w:val="28"/>
      <w:szCs w:val="28"/>
    </w:rPr>
  </w:style>
  <w:style w:type="character" w:customStyle="1" w:styleId="Nadpis5Char">
    <w:name w:val="Nadpis 5 Char"/>
    <w:locked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semiHidden/>
    <w:locked/>
    <w:rPr>
      <w:rFonts w:cs="Times New Roman"/>
      <w:b/>
      <w:bCs/>
    </w:rPr>
  </w:style>
  <w:style w:type="character" w:customStyle="1" w:styleId="Nadpis7Char">
    <w:name w:val="Nadpis 7 Char"/>
    <w:semiHidden/>
    <w:locked/>
    <w:rPr>
      <w:rFonts w:cs="Times New Roman"/>
      <w:sz w:val="24"/>
      <w:szCs w:val="24"/>
    </w:rPr>
  </w:style>
  <w:style w:type="character" w:customStyle="1" w:styleId="Nadpis8Char">
    <w:name w:val="Nadpis 8 Char"/>
    <w:semiHidden/>
    <w:locked/>
    <w:rPr>
      <w:rFonts w:cs="Times New Roman"/>
      <w:i/>
      <w:iCs/>
      <w:sz w:val="24"/>
      <w:szCs w:val="24"/>
    </w:rPr>
  </w:style>
  <w:style w:type="character" w:customStyle="1" w:styleId="Nadpis9Char">
    <w:name w:val="Nadpis 9 Char"/>
    <w:semiHidden/>
    <w:locked/>
    <w:rPr>
      <w:rFonts w:ascii="Cambria" w:hAnsi="Cambria" w:cs="Times New Roman"/>
    </w:rPr>
  </w:style>
  <w:style w:type="paragraph" w:styleId="Nzov">
    <w:name w:val="Title"/>
    <w:basedOn w:val="Normlny"/>
    <w:next w:val="Normlny"/>
    <w:qFormat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ocked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y"/>
    <w:next w:val="Normlny"/>
    <w:qFormat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ocked/>
    <w:rPr>
      <w:rFonts w:ascii="Cambria" w:hAnsi="Cambria" w:cs="Times New Roman"/>
      <w:sz w:val="24"/>
      <w:szCs w:val="24"/>
    </w:rPr>
  </w:style>
  <w:style w:type="character" w:styleId="Siln">
    <w:name w:val="Strong"/>
    <w:qFormat/>
    <w:rPr>
      <w:rFonts w:cs="Times New Roman"/>
      <w:b/>
      <w:bCs/>
    </w:rPr>
  </w:style>
  <w:style w:type="character" w:styleId="Zvraznenie">
    <w:name w:val="Emphasis"/>
    <w:qFormat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semiHidden/>
    <w:unhideWhenUsed/>
    <w:qFormat/>
    <w:pPr>
      <w:outlineLvl w:val="9"/>
    </w:pPr>
  </w:style>
  <w:style w:type="paragraph" w:customStyle="1" w:styleId="TopHeader">
    <w:name w:val="Top Header"/>
    <w:basedOn w:val="Normlny"/>
    <w:qFormat/>
    <w:pPr>
      <w:jc w:val="center"/>
    </w:pPr>
    <w:rPr>
      <w:b/>
      <w:bCs/>
      <w:szCs w:val="22"/>
    </w:rPr>
  </w:style>
  <w:style w:type="paragraph" w:styleId="Zkladntext">
    <w:name w:val="Body Text"/>
    <w:basedOn w:val="Normlny"/>
    <w:semiHidden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locked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semiHidden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semiHidden/>
    <w:locked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semiHidden/>
    <w:rPr>
      <w:rFonts w:cs="Times New Roman"/>
      <w:vertAlign w:val="superscript"/>
    </w:rPr>
  </w:style>
  <w:style w:type="paragraph" w:styleId="Zkladntext2">
    <w:name w:val="Body Text 2"/>
    <w:basedOn w:val="Normlny"/>
    <w:semiHidden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ocked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semiHidden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locked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locked/>
    <w:rPr>
      <w:rFonts w:ascii="Times New Roman" w:hAnsi="Times New Roman" w:cs="Times New Roman"/>
      <w:lang w:val="sk-SK" w:eastAsia="cs-CZ"/>
    </w:rPr>
  </w:style>
  <w:style w:type="character" w:styleId="slostrany">
    <w:name w:val="page number"/>
    <w:semiHidden/>
    <w:rPr>
      <w:rFonts w:cs="Times New Roman"/>
    </w:rPr>
  </w:style>
  <w:style w:type="paragraph" w:styleId="Zarkazkladnhotextu3">
    <w:name w:val="Body Text Indent 3"/>
    <w:basedOn w:val="Normlny"/>
    <w:semiHidden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locked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semiHidden/>
    <w:locked/>
    <w:rPr>
      <w:rFonts w:ascii="Tahoma" w:hAnsi="Tahoma" w:cs="Tahoma"/>
      <w:sz w:val="16"/>
      <w:szCs w:val="16"/>
      <w:lang w:val="sk-SK" w:eastAsia="cs-CZ"/>
    </w:rPr>
  </w:style>
  <w:style w:type="paragraph" w:styleId="Odsekzoznamu">
    <w:name w:val="List Paragraph"/>
    <w:basedOn w:val="Normlny"/>
    <w:uiPriority w:val="99"/>
    <w:qFormat/>
    <w:rsid w:val="00654A71"/>
    <w:pPr>
      <w:spacing w:after="200" w:line="276" w:lineRule="auto"/>
      <w:ind w:left="720"/>
      <w:contextualSpacing/>
    </w:pPr>
    <w:rPr>
      <w:szCs w:val="36"/>
    </w:rPr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locked/>
    <w:rPr>
      <w:rFonts w:ascii="Times New Roman" w:hAnsi="Times New Roman" w:cs="Times New Roman"/>
      <w:lang w:val="sk-SK" w:eastAsia="cs-CZ"/>
    </w:rPr>
  </w:style>
  <w:style w:type="paragraph" w:styleId="Revzia">
    <w:name w:val="Revision"/>
    <w:hidden/>
    <w:uiPriority w:val="99"/>
    <w:semiHidden/>
    <w:rsid w:val="001F14A3"/>
    <w:rPr>
      <w:rFonts w:ascii="Arial Narrow" w:hAnsi="Arial Narrow" w:cs="Times New Roman"/>
      <w:sz w:val="22"/>
      <w:szCs w:val="24"/>
      <w:lang w:eastAsia="en-US"/>
    </w:rPr>
  </w:style>
  <w:style w:type="paragraph" w:customStyle="1" w:styleId="Default">
    <w:name w:val="Default"/>
    <w:rsid w:val="005D442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45DA1-1C62-4D85-B815-015490F94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1826</Words>
  <Characters>10409</Characters>
  <Application>Microsoft Office Word</Application>
  <DocSecurity>0</DocSecurity>
  <Lines>86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12211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cp:lastModifiedBy>Rumanová Katarína</cp:lastModifiedBy>
  <cp:revision>11</cp:revision>
  <cp:lastPrinted>2019-03-22T19:10:00Z</cp:lastPrinted>
  <dcterms:created xsi:type="dcterms:W3CDTF">2019-06-25T09:20:00Z</dcterms:created>
  <dcterms:modified xsi:type="dcterms:W3CDTF">2021-06-07T09:38:00Z</dcterms:modified>
</cp:coreProperties>
</file>