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0BAC" w:rsidRDefault="00620BAC">
      <w:pPr>
        <w:pageBreakBefore/>
        <w:jc w:val="center"/>
        <w:rPr>
          <w:rFonts w:ascii="Arial" w:eastAsia="TimesNewRomanPS-BoldMT" w:hAnsi="Arial" w:cs="Arial"/>
          <w:b/>
          <w:bCs/>
        </w:rPr>
      </w:pPr>
      <w:r>
        <w:rPr>
          <w:rFonts w:ascii="Arial" w:eastAsia="TimesNewRomanPS-BoldMT" w:hAnsi="Arial" w:cs="Arial"/>
          <w:b/>
          <w:bCs/>
        </w:rPr>
        <w:t>I. Všeobecné informácie</w:t>
      </w:r>
    </w:p>
    <w:p w:rsidR="00620BAC" w:rsidRDefault="00620BAC">
      <w:pPr>
        <w:jc w:val="center"/>
        <w:rPr>
          <w:rFonts w:ascii="Arial" w:eastAsia="TimesNewRomanPS-BoldMT" w:hAnsi="Arial" w:cs="Arial"/>
          <w:b/>
          <w:bCs/>
        </w:rPr>
      </w:pPr>
    </w:p>
    <w:p w:rsidR="00620BAC" w:rsidRDefault="00620BAC">
      <w:pPr>
        <w:rPr>
          <w:rFonts w:ascii="Arial" w:eastAsia="TimesNewRomanPS-BoldMT" w:hAnsi="Arial" w:cs="Arial"/>
          <w:bCs/>
          <w:sz w:val="20"/>
          <w:szCs w:val="20"/>
        </w:rPr>
      </w:pPr>
      <w:r>
        <w:rPr>
          <w:rFonts w:ascii="Arial" w:eastAsia="TimesNewRomanPS-BoldMT" w:hAnsi="Arial" w:cs="Arial"/>
          <w:b/>
          <w:bCs/>
          <w:sz w:val="20"/>
          <w:szCs w:val="20"/>
        </w:rPr>
        <w:t>a) Údaje o konsolidovanom celku</w:t>
      </w:r>
    </w:p>
    <w:p w:rsidR="00620BAC" w:rsidRDefault="00620BAC">
      <w:pPr>
        <w:rPr>
          <w:rFonts w:ascii="Arial" w:eastAsia="TimesNewRomanPS-BoldMT" w:hAnsi="Arial" w:cs="Arial"/>
          <w:bCs/>
          <w:sz w:val="20"/>
          <w:szCs w:val="20"/>
        </w:rPr>
      </w:pPr>
      <w:r>
        <w:rPr>
          <w:rFonts w:ascii="Arial" w:eastAsia="TimesNewRomanPS-BoldMT" w:hAnsi="Arial" w:cs="Arial"/>
          <w:bCs/>
          <w:sz w:val="20"/>
          <w:szCs w:val="20"/>
        </w:rPr>
        <w:t>Spoločnosť nie j</w:t>
      </w:r>
      <w:r w:rsidR="00BC713E">
        <w:rPr>
          <w:rFonts w:ascii="Arial" w:eastAsia="TimesNewRomanPS-BoldMT" w:hAnsi="Arial" w:cs="Arial"/>
          <w:bCs/>
          <w:sz w:val="20"/>
          <w:szCs w:val="20"/>
        </w:rPr>
        <w:t>e súčasťou konsolidovaného celku</w:t>
      </w:r>
    </w:p>
    <w:p w:rsidR="00620BAC" w:rsidRDefault="00620BAC">
      <w:pPr>
        <w:rPr>
          <w:rFonts w:ascii="Arial" w:eastAsia="TimesNewRomanPS-BoldMT" w:hAnsi="Arial" w:cs="Arial"/>
          <w:bCs/>
          <w:sz w:val="20"/>
          <w:szCs w:val="20"/>
        </w:rPr>
      </w:pPr>
    </w:p>
    <w:p w:rsidR="00620BAC" w:rsidRDefault="00620BAC">
      <w:pPr>
        <w:rPr>
          <w:rFonts w:ascii="Arial" w:eastAsia="TimesNewRomanPS-BoldMT" w:hAnsi="Arial" w:cs="Arial"/>
          <w:bCs/>
          <w:sz w:val="20"/>
          <w:szCs w:val="20"/>
        </w:rPr>
      </w:pPr>
      <w:r>
        <w:rPr>
          <w:rFonts w:ascii="Arial" w:eastAsia="TimesNewRomanPS-BoldMT" w:hAnsi="Arial" w:cs="Arial"/>
          <w:b/>
          <w:bCs/>
          <w:sz w:val="20"/>
          <w:szCs w:val="20"/>
        </w:rPr>
        <w:t>b) Priemerný prepočítaný počet zamestnancov</w:t>
      </w:r>
    </w:p>
    <w:p w:rsidR="00620BAC" w:rsidRDefault="00620BAC">
      <w:pPr>
        <w:rPr>
          <w:rFonts w:ascii="Arial" w:eastAsia="TimesNewRomanPS-BoldMT" w:hAnsi="Arial" w:cs="Arial"/>
          <w:b/>
          <w:bCs/>
        </w:rPr>
      </w:pPr>
      <w:r>
        <w:rPr>
          <w:rFonts w:ascii="Arial" w:eastAsia="TimesNewRomanPS-BoldMT" w:hAnsi="Arial" w:cs="Arial"/>
          <w:bCs/>
          <w:sz w:val="20"/>
          <w:szCs w:val="20"/>
        </w:rPr>
        <w:t xml:space="preserve">Priemerný prepočítaný počet zamestnancov je </w:t>
      </w:r>
      <w:r w:rsidR="00272736">
        <w:rPr>
          <w:rFonts w:ascii="Arial" w:eastAsia="TimesNewRomanPS-BoldMT" w:hAnsi="Arial" w:cs="Arial"/>
          <w:bCs/>
          <w:sz w:val="20"/>
          <w:szCs w:val="20"/>
        </w:rPr>
        <w:t>4,8</w:t>
      </w:r>
    </w:p>
    <w:p w:rsidR="00620BAC" w:rsidRDefault="00620BAC">
      <w:pPr>
        <w:jc w:val="center"/>
        <w:rPr>
          <w:rFonts w:ascii="Arial" w:eastAsia="TimesNewRomanPS-BoldMT" w:hAnsi="Arial" w:cs="Arial"/>
          <w:b/>
          <w:bCs/>
        </w:rPr>
      </w:pPr>
    </w:p>
    <w:p w:rsidR="00620BAC" w:rsidRDefault="00620BAC">
      <w:pPr>
        <w:jc w:val="center"/>
        <w:rPr>
          <w:rFonts w:ascii="Arial" w:eastAsia="TimesNewRomanPS-BoldMT" w:hAnsi="Arial" w:cs="Arial"/>
          <w:b/>
          <w:bCs/>
        </w:rPr>
      </w:pPr>
    </w:p>
    <w:p w:rsidR="00620BAC" w:rsidRDefault="00620BAC">
      <w:pPr>
        <w:jc w:val="center"/>
        <w:rPr>
          <w:rFonts w:ascii="Arial" w:eastAsia="TimesNewRomanPS-BoldMT" w:hAnsi="Arial" w:cs="Arial"/>
          <w:b/>
          <w:bCs/>
          <w:sz w:val="20"/>
          <w:szCs w:val="20"/>
        </w:rPr>
      </w:pPr>
      <w:r>
        <w:rPr>
          <w:rFonts w:ascii="Arial" w:eastAsia="TimesNewRomanPS-BoldMT" w:hAnsi="Arial" w:cs="Arial"/>
          <w:b/>
          <w:bCs/>
        </w:rPr>
        <w:t>II.  Informácie o prijatých postupoch</w:t>
      </w:r>
    </w:p>
    <w:p w:rsidR="00620BAC" w:rsidRDefault="00620BAC">
      <w:pPr>
        <w:jc w:val="both"/>
        <w:rPr>
          <w:rFonts w:ascii="Arial" w:eastAsia="TimesNewRomanPS-BoldMT" w:hAnsi="Arial" w:cs="Arial"/>
          <w:b/>
          <w:bCs/>
          <w:sz w:val="20"/>
          <w:szCs w:val="20"/>
        </w:rPr>
      </w:pPr>
    </w:p>
    <w:p w:rsidR="00620BAC" w:rsidRDefault="00620BAC">
      <w:pPr>
        <w:jc w:val="both"/>
        <w:rPr>
          <w:rFonts w:ascii="Arial" w:hAnsi="Arial" w:cs="Arial"/>
          <w:sz w:val="20"/>
          <w:szCs w:val="20"/>
        </w:rPr>
      </w:pPr>
      <w:r>
        <w:rPr>
          <w:rFonts w:ascii="Arial" w:eastAsia="TimesNewRomanPS-BoldMT" w:hAnsi="Arial" w:cs="Arial"/>
          <w:b/>
          <w:bCs/>
          <w:sz w:val="20"/>
          <w:szCs w:val="20"/>
        </w:rPr>
        <w:t>a) Východiská pre zostavenie účtovnej závierky</w:t>
      </w:r>
    </w:p>
    <w:p w:rsidR="00272736" w:rsidRDefault="00620BAC">
      <w:pPr>
        <w:jc w:val="both"/>
        <w:rPr>
          <w:rFonts w:ascii="Arial" w:hAnsi="Arial" w:cs="Arial"/>
          <w:sz w:val="20"/>
          <w:szCs w:val="20"/>
        </w:rPr>
      </w:pPr>
      <w:r>
        <w:rPr>
          <w:rFonts w:ascii="Arial" w:hAnsi="Arial" w:cs="Arial"/>
          <w:sz w:val="20"/>
          <w:szCs w:val="20"/>
        </w:rPr>
        <w:t>Účtovná závierka bola zostavená za predpokladu, že spoločnosť bude nepretržite pokračovať vo svojej činnosti.</w:t>
      </w:r>
    </w:p>
    <w:p w:rsidR="00272736" w:rsidRDefault="00272736">
      <w:pPr>
        <w:jc w:val="both"/>
        <w:rPr>
          <w:rFonts w:ascii="Arial" w:hAnsi="Arial" w:cs="Arial"/>
          <w:sz w:val="20"/>
          <w:szCs w:val="20"/>
        </w:rPr>
      </w:pPr>
      <w:r>
        <w:rPr>
          <w:rFonts w:ascii="Arial" w:hAnsi="Arial" w:cs="Arial"/>
          <w:i/>
          <w:iCs/>
          <w:color w:val="222222"/>
          <w:sz w:val="20"/>
          <w:szCs w:val="20"/>
          <w:shd w:val="clear" w:color="auto" w:fill="FFFFFF"/>
        </w:rPr>
        <w:t>Na konci roku 2019 sa objavil Corona vírus, ktorý zapríčinil od prvých mesiacov roku 2020 pandémiu COVID-19 a negatívne ovplyvnil mnoho krajín. Aj keď sa v čase zverejnenia tejto účtovnej závierky situácia neustále mení, zdá sa, že negatívny vplyv na svetový obchod, na firmy aj na jednotlivcov môže byť vážnejší, ako sa pôvodne očakávalo. Pretože sa situácia stále vyvíja, vedenie účtovnej jednotky si nemyslí, že je možné poskytnúť kvantitatívne odhady potenciálneho vplyvu súčasnej situácie na účtovnú jednotku. Manažment neustále monitoruje potenciálny dopad situácie na spoločnosť. Všetky negatívne vplyvy resp. straty vzniknuté v roku 2020 zahrnula účtovná jednotka do účtovníctva a účtovnej závierky v roku 2020, vplyvy ktoré sa prejavia v roku 2021 budú zahrnuté do účtovníctva a účtovnej závierky v roku 2021. Aktuálne nie je možné bližšie kvantifikovať do akej miery môže táto situácia negatívne ovplyvniť budúci chod spoločnosti, vedenie účtovnej jednotky sa však domnieva, že nebude ohrozený predpoklad nepretržitého trvania účtovnej jednotky v nasledujúcom účtovnom období.</w:t>
      </w:r>
    </w:p>
    <w:p w:rsidR="00272736" w:rsidRDefault="00272736">
      <w:pPr>
        <w:jc w:val="both"/>
        <w:rPr>
          <w:rFonts w:ascii="Arial" w:hAnsi="Arial" w:cs="Arial"/>
          <w:sz w:val="20"/>
          <w:szCs w:val="20"/>
        </w:rPr>
      </w:pPr>
    </w:p>
    <w:p w:rsidR="00620BAC" w:rsidRDefault="00620BAC">
      <w:pPr>
        <w:jc w:val="both"/>
        <w:rPr>
          <w:rFonts w:ascii="Arial" w:hAnsi="Arial" w:cs="Arial"/>
          <w:sz w:val="20"/>
          <w:szCs w:val="20"/>
        </w:rPr>
      </w:pPr>
      <w:r>
        <w:rPr>
          <w:rFonts w:ascii="Arial" w:hAnsi="Arial" w:cs="Arial"/>
          <w:sz w:val="20"/>
          <w:szCs w:val="20"/>
        </w:rPr>
        <w:t>Účtovné metódy a všeobecné účtovné zásady boli účtovnou jednotkou konzistentne aplikované.</w:t>
      </w:r>
    </w:p>
    <w:p w:rsidR="00620BAC" w:rsidRDefault="00620BAC">
      <w:pPr>
        <w:jc w:val="both"/>
        <w:rPr>
          <w:rFonts w:ascii="Arial" w:hAnsi="Arial" w:cs="Arial"/>
          <w:sz w:val="20"/>
          <w:szCs w:val="20"/>
        </w:rPr>
      </w:pPr>
    </w:p>
    <w:p w:rsidR="00620BAC" w:rsidRDefault="00620BAC">
      <w:pPr>
        <w:jc w:val="both"/>
        <w:rPr>
          <w:rFonts w:ascii="Arial" w:hAnsi="Arial" w:cs="Arial"/>
          <w:sz w:val="20"/>
          <w:szCs w:val="20"/>
        </w:rPr>
      </w:pPr>
      <w:r>
        <w:rPr>
          <w:rFonts w:ascii="Arial" w:eastAsia="TimesNewRomanPS-BoldMT" w:hAnsi="Arial" w:cs="Arial"/>
          <w:b/>
          <w:bCs/>
          <w:sz w:val="20"/>
          <w:szCs w:val="20"/>
        </w:rPr>
        <w:t>(b) Dlhodobý nehmotný majetok a dlhodobý hmotný majetok</w:t>
      </w:r>
    </w:p>
    <w:p w:rsidR="00620BAC" w:rsidRDefault="00620BAC">
      <w:pPr>
        <w:jc w:val="both"/>
        <w:rPr>
          <w:rFonts w:ascii="Arial" w:hAnsi="Arial" w:cs="Arial"/>
          <w:sz w:val="20"/>
          <w:szCs w:val="20"/>
        </w:rPr>
      </w:pPr>
      <w:r>
        <w:rPr>
          <w:rFonts w:ascii="Arial" w:hAnsi="Arial" w:cs="Arial"/>
          <w:sz w:val="20"/>
          <w:szCs w:val="20"/>
        </w:rPr>
        <w:t>Dlhodobý majetok nakupovaný sa oceňuje obstarávacou cenou, ktorá zahŕňa cenu obstarania a náklady súvisiace s obstaraním (clo, prepravu, montáž, poistné a pod.)</w:t>
      </w:r>
    </w:p>
    <w:p w:rsidR="00620BAC" w:rsidRDefault="00620BAC">
      <w:pPr>
        <w:jc w:val="both"/>
        <w:rPr>
          <w:rFonts w:ascii="Arial" w:hAnsi="Arial" w:cs="Arial"/>
          <w:sz w:val="20"/>
          <w:szCs w:val="20"/>
        </w:rPr>
      </w:pPr>
    </w:p>
    <w:p w:rsidR="00620BAC" w:rsidRDefault="00620BAC">
      <w:pPr>
        <w:jc w:val="both"/>
        <w:rPr>
          <w:rFonts w:ascii="Arial" w:hAnsi="Arial" w:cs="Arial"/>
          <w:sz w:val="20"/>
          <w:szCs w:val="20"/>
        </w:rPr>
      </w:pPr>
      <w:r>
        <w:rPr>
          <w:rFonts w:ascii="Arial" w:hAnsi="Arial" w:cs="Arial"/>
          <w:sz w:val="20"/>
          <w:szCs w:val="20"/>
        </w:rPr>
        <w:t>Odpisy dlhodobého nehmotného majetku sú stanovené vychádzajúc z predpokladanej doby jeho používania a predpokladaného priebehu jeho opotrebenia. Odpisovať sa začína prvým dňom mesiaca nasledujúceho po uvedení dlhodobého majetku do používania. Drobný dlhodobý nehmotný majetok, ktorého obstarávacia cena (resp. vlastné náklady) je 1700 EUR a nižšia, sa odpisuje jednorazovo pri uvedení do používania. Predpokladaná doba používania, metóda odpisovania a odpisová sadzba sú uvedené v nasledujúcej tabuľke:</w:t>
      </w:r>
    </w:p>
    <w:p w:rsidR="00620BAC" w:rsidRDefault="00620BAC">
      <w:pPr>
        <w:jc w:val="both"/>
        <w:rPr>
          <w:rFonts w:ascii="Arial" w:hAnsi="Arial" w:cs="Arial"/>
          <w:sz w:val="20"/>
          <w:szCs w:val="20"/>
        </w:rPr>
      </w:pPr>
    </w:p>
    <w:tbl>
      <w:tblPr>
        <w:tblW w:w="0" w:type="auto"/>
        <w:tblInd w:w="108" w:type="dxa"/>
        <w:tblLayout w:type="fixed"/>
        <w:tblLook w:val="0000"/>
      </w:tblPr>
      <w:tblGrid>
        <w:gridCol w:w="2943"/>
        <w:gridCol w:w="2552"/>
        <w:gridCol w:w="2126"/>
        <w:gridCol w:w="2827"/>
      </w:tblGrid>
      <w:tr w:rsidR="00620BAC">
        <w:tc>
          <w:tcPr>
            <w:tcW w:w="2943" w:type="dxa"/>
            <w:tcBorders>
              <w:top w:val="single" w:sz="4" w:space="0" w:color="000000"/>
              <w:left w:val="single" w:sz="4" w:space="0" w:color="000000"/>
              <w:bottom w:val="single" w:sz="4" w:space="0" w:color="000000"/>
            </w:tcBorders>
            <w:shd w:val="clear" w:color="auto" w:fill="auto"/>
          </w:tcPr>
          <w:p w:rsidR="00620BAC" w:rsidRDefault="00620BAC">
            <w:pPr>
              <w:snapToGrid w:val="0"/>
              <w:jc w:val="both"/>
              <w:rPr>
                <w:rFonts w:ascii="Arial" w:hAnsi="Arial" w:cs="Arial"/>
                <w:sz w:val="20"/>
                <w:szCs w:val="20"/>
              </w:rPr>
            </w:pPr>
          </w:p>
        </w:tc>
        <w:tc>
          <w:tcPr>
            <w:tcW w:w="2552" w:type="dxa"/>
            <w:tcBorders>
              <w:top w:val="single" w:sz="4" w:space="0" w:color="000000"/>
              <w:left w:val="single" w:sz="4" w:space="0" w:color="000000"/>
              <w:bottom w:val="single" w:sz="4" w:space="0" w:color="000000"/>
            </w:tcBorders>
            <w:shd w:val="clear" w:color="auto" w:fill="auto"/>
          </w:tcPr>
          <w:p w:rsidR="00620BAC" w:rsidRDefault="00620BAC">
            <w:pPr>
              <w:snapToGrid w:val="0"/>
              <w:jc w:val="center"/>
              <w:rPr>
                <w:rFonts w:ascii="Arial" w:hAnsi="Arial" w:cs="Arial"/>
                <w:b/>
                <w:sz w:val="20"/>
                <w:szCs w:val="20"/>
              </w:rPr>
            </w:pPr>
            <w:r>
              <w:rPr>
                <w:rFonts w:ascii="Arial" w:hAnsi="Arial" w:cs="Arial"/>
                <w:b/>
                <w:sz w:val="20"/>
                <w:szCs w:val="20"/>
              </w:rPr>
              <w:t>Predpokladaná doba požívania</w:t>
            </w:r>
          </w:p>
        </w:tc>
        <w:tc>
          <w:tcPr>
            <w:tcW w:w="2126" w:type="dxa"/>
            <w:tcBorders>
              <w:top w:val="single" w:sz="4" w:space="0" w:color="000000"/>
              <w:left w:val="single" w:sz="4" w:space="0" w:color="000000"/>
              <w:bottom w:val="single" w:sz="4" w:space="0" w:color="000000"/>
            </w:tcBorders>
            <w:shd w:val="clear" w:color="auto" w:fill="auto"/>
          </w:tcPr>
          <w:p w:rsidR="00620BAC" w:rsidRDefault="00620BAC">
            <w:pPr>
              <w:snapToGrid w:val="0"/>
              <w:jc w:val="center"/>
              <w:rPr>
                <w:rFonts w:ascii="Arial" w:hAnsi="Arial" w:cs="Arial"/>
                <w:b/>
                <w:sz w:val="20"/>
                <w:szCs w:val="20"/>
              </w:rPr>
            </w:pPr>
            <w:r>
              <w:rPr>
                <w:rFonts w:ascii="Arial" w:hAnsi="Arial" w:cs="Arial"/>
                <w:b/>
                <w:sz w:val="20"/>
                <w:szCs w:val="20"/>
              </w:rPr>
              <w:t>Metóda odpisovania</w:t>
            </w:r>
          </w:p>
        </w:tc>
        <w:tc>
          <w:tcPr>
            <w:tcW w:w="2827" w:type="dxa"/>
            <w:tcBorders>
              <w:top w:val="single" w:sz="4" w:space="0" w:color="000000"/>
              <w:left w:val="single" w:sz="4" w:space="0" w:color="000000"/>
              <w:bottom w:val="single" w:sz="4" w:space="0" w:color="000000"/>
              <w:right w:val="single" w:sz="4" w:space="0" w:color="000000"/>
            </w:tcBorders>
            <w:shd w:val="clear" w:color="auto" w:fill="auto"/>
          </w:tcPr>
          <w:p w:rsidR="00620BAC" w:rsidRDefault="00620BAC">
            <w:pPr>
              <w:snapToGrid w:val="0"/>
              <w:jc w:val="center"/>
            </w:pPr>
            <w:r>
              <w:rPr>
                <w:rFonts w:ascii="Arial" w:hAnsi="Arial" w:cs="Arial"/>
                <w:b/>
                <w:sz w:val="20"/>
                <w:szCs w:val="20"/>
              </w:rPr>
              <w:t>Ročná odpisová sadzba</w:t>
            </w:r>
          </w:p>
        </w:tc>
      </w:tr>
      <w:tr w:rsidR="00620BAC">
        <w:tc>
          <w:tcPr>
            <w:tcW w:w="2943" w:type="dxa"/>
            <w:tcBorders>
              <w:top w:val="single" w:sz="4" w:space="0" w:color="000000"/>
              <w:left w:val="single" w:sz="4" w:space="0" w:color="000000"/>
              <w:bottom w:val="single" w:sz="4" w:space="0" w:color="000000"/>
            </w:tcBorders>
            <w:shd w:val="clear" w:color="auto" w:fill="auto"/>
          </w:tcPr>
          <w:p w:rsidR="00620BAC" w:rsidRDefault="00620BAC">
            <w:pPr>
              <w:snapToGrid w:val="0"/>
              <w:jc w:val="both"/>
              <w:rPr>
                <w:rFonts w:ascii="Arial" w:hAnsi="Arial" w:cs="Arial"/>
                <w:sz w:val="20"/>
                <w:szCs w:val="20"/>
              </w:rPr>
            </w:pPr>
            <w:r>
              <w:rPr>
                <w:rFonts w:ascii="Arial" w:hAnsi="Arial" w:cs="Arial"/>
                <w:sz w:val="20"/>
                <w:szCs w:val="20"/>
              </w:rPr>
              <w:t>Softvér</w:t>
            </w:r>
          </w:p>
        </w:tc>
        <w:tc>
          <w:tcPr>
            <w:tcW w:w="2552" w:type="dxa"/>
            <w:tcBorders>
              <w:top w:val="single" w:sz="4" w:space="0" w:color="000000"/>
              <w:left w:val="single" w:sz="4" w:space="0" w:color="000000"/>
              <w:bottom w:val="single" w:sz="4" w:space="0" w:color="000000"/>
            </w:tcBorders>
            <w:shd w:val="clear" w:color="auto" w:fill="auto"/>
          </w:tcPr>
          <w:p w:rsidR="00620BAC" w:rsidRDefault="00620BAC">
            <w:pPr>
              <w:snapToGrid w:val="0"/>
              <w:jc w:val="center"/>
              <w:rPr>
                <w:rFonts w:ascii="Arial" w:hAnsi="Arial" w:cs="Arial"/>
                <w:sz w:val="20"/>
                <w:szCs w:val="20"/>
              </w:rPr>
            </w:pPr>
            <w:r>
              <w:rPr>
                <w:rFonts w:ascii="Arial" w:hAnsi="Arial" w:cs="Arial"/>
                <w:sz w:val="20"/>
                <w:szCs w:val="20"/>
              </w:rPr>
              <w:t>4</w:t>
            </w:r>
          </w:p>
        </w:tc>
        <w:tc>
          <w:tcPr>
            <w:tcW w:w="2126" w:type="dxa"/>
            <w:tcBorders>
              <w:top w:val="single" w:sz="4" w:space="0" w:color="000000"/>
              <w:left w:val="single" w:sz="4" w:space="0" w:color="000000"/>
              <w:bottom w:val="single" w:sz="4" w:space="0" w:color="000000"/>
            </w:tcBorders>
            <w:shd w:val="clear" w:color="auto" w:fill="auto"/>
          </w:tcPr>
          <w:p w:rsidR="00620BAC" w:rsidRDefault="00620BAC">
            <w:pPr>
              <w:snapToGrid w:val="0"/>
              <w:jc w:val="center"/>
              <w:rPr>
                <w:rFonts w:ascii="Arial" w:hAnsi="Arial" w:cs="Arial"/>
                <w:sz w:val="20"/>
                <w:szCs w:val="20"/>
              </w:rPr>
            </w:pPr>
            <w:r>
              <w:rPr>
                <w:rFonts w:ascii="Arial" w:hAnsi="Arial" w:cs="Arial"/>
                <w:sz w:val="20"/>
                <w:szCs w:val="20"/>
              </w:rPr>
              <w:t>lineárna</w:t>
            </w:r>
          </w:p>
        </w:tc>
        <w:tc>
          <w:tcPr>
            <w:tcW w:w="2827" w:type="dxa"/>
            <w:tcBorders>
              <w:top w:val="single" w:sz="4" w:space="0" w:color="000000"/>
              <w:left w:val="single" w:sz="4" w:space="0" w:color="000000"/>
              <w:bottom w:val="single" w:sz="4" w:space="0" w:color="000000"/>
              <w:right w:val="single" w:sz="4" w:space="0" w:color="000000"/>
            </w:tcBorders>
            <w:shd w:val="clear" w:color="auto" w:fill="auto"/>
          </w:tcPr>
          <w:p w:rsidR="00620BAC" w:rsidRDefault="00620BAC">
            <w:pPr>
              <w:snapToGrid w:val="0"/>
              <w:jc w:val="center"/>
            </w:pPr>
            <w:r>
              <w:rPr>
                <w:rFonts w:ascii="Arial" w:hAnsi="Arial" w:cs="Arial"/>
                <w:sz w:val="20"/>
                <w:szCs w:val="20"/>
              </w:rPr>
              <w:t>25</w:t>
            </w:r>
          </w:p>
        </w:tc>
      </w:tr>
      <w:tr w:rsidR="00620BAC">
        <w:tc>
          <w:tcPr>
            <w:tcW w:w="2943" w:type="dxa"/>
            <w:tcBorders>
              <w:top w:val="single" w:sz="4" w:space="0" w:color="000000"/>
              <w:left w:val="single" w:sz="4" w:space="0" w:color="000000"/>
              <w:bottom w:val="single" w:sz="4" w:space="0" w:color="000000"/>
            </w:tcBorders>
            <w:shd w:val="clear" w:color="auto" w:fill="auto"/>
          </w:tcPr>
          <w:p w:rsidR="00620BAC" w:rsidRDefault="00620BAC">
            <w:pPr>
              <w:snapToGrid w:val="0"/>
              <w:jc w:val="both"/>
              <w:rPr>
                <w:rFonts w:ascii="Arial" w:hAnsi="Arial" w:cs="Arial"/>
                <w:sz w:val="20"/>
                <w:szCs w:val="20"/>
              </w:rPr>
            </w:pPr>
            <w:r>
              <w:rPr>
                <w:rFonts w:ascii="Arial" w:hAnsi="Arial" w:cs="Arial"/>
                <w:sz w:val="20"/>
                <w:szCs w:val="20"/>
              </w:rPr>
              <w:t>Oceniteľné práva /licencia/</w:t>
            </w:r>
          </w:p>
        </w:tc>
        <w:tc>
          <w:tcPr>
            <w:tcW w:w="2552" w:type="dxa"/>
            <w:tcBorders>
              <w:top w:val="single" w:sz="4" w:space="0" w:color="000000"/>
              <w:left w:val="single" w:sz="4" w:space="0" w:color="000000"/>
              <w:bottom w:val="single" w:sz="4" w:space="0" w:color="000000"/>
            </w:tcBorders>
            <w:shd w:val="clear" w:color="auto" w:fill="auto"/>
          </w:tcPr>
          <w:p w:rsidR="00620BAC" w:rsidRDefault="00620BAC">
            <w:pPr>
              <w:snapToGrid w:val="0"/>
              <w:jc w:val="center"/>
              <w:rPr>
                <w:rFonts w:ascii="Arial" w:hAnsi="Arial" w:cs="Arial"/>
                <w:sz w:val="20"/>
                <w:szCs w:val="20"/>
              </w:rPr>
            </w:pPr>
            <w:r>
              <w:rPr>
                <w:rFonts w:ascii="Arial" w:hAnsi="Arial" w:cs="Arial"/>
                <w:sz w:val="20"/>
                <w:szCs w:val="20"/>
              </w:rPr>
              <w:t>8</w:t>
            </w:r>
          </w:p>
        </w:tc>
        <w:tc>
          <w:tcPr>
            <w:tcW w:w="2126" w:type="dxa"/>
            <w:tcBorders>
              <w:top w:val="single" w:sz="4" w:space="0" w:color="000000"/>
              <w:left w:val="single" w:sz="4" w:space="0" w:color="000000"/>
              <w:bottom w:val="single" w:sz="4" w:space="0" w:color="000000"/>
            </w:tcBorders>
            <w:shd w:val="clear" w:color="auto" w:fill="auto"/>
          </w:tcPr>
          <w:p w:rsidR="00620BAC" w:rsidRDefault="00620BAC">
            <w:pPr>
              <w:snapToGrid w:val="0"/>
              <w:jc w:val="center"/>
              <w:rPr>
                <w:rFonts w:ascii="Arial" w:hAnsi="Arial" w:cs="Arial"/>
                <w:sz w:val="20"/>
                <w:szCs w:val="20"/>
              </w:rPr>
            </w:pPr>
            <w:r>
              <w:rPr>
                <w:rFonts w:ascii="Arial" w:hAnsi="Arial" w:cs="Arial"/>
                <w:sz w:val="20"/>
                <w:szCs w:val="20"/>
              </w:rPr>
              <w:t>lineárna</w:t>
            </w:r>
          </w:p>
        </w:tc>
        <w:tc>
          <w:tcPr>
            <w:tcW w:w="2827" w:type="dxa"/>
            <w:tcBorders>
              <w:top w:val="single" w:sz="4" w:space="0" w:color="000000"/>
              <w:left w:val="single" w:sz="4" w:space="0" w:color="000000"/>
              <w:bottom w:val="single" w:sz="4" w:space="0" w:color="000000"/>
              <w:right w:val="single" w:sz="4" w:space="0" w:color="000000"/>
            </w:tcBorders>
            <w:shd w:val="clear" w:color="auto" w:fill="auto"/>
          </w:tcPr>
          <w:p w:rsidR="00620BAC" w:rsidRDefault="00620BAC">
            <w:pPr>
              <w:snapToGrid w:val="0"/>
              <w:jc w:val="center"/>
            </w:pPr>
            <w:r>
              <w:rPr>
                <w:rFonts w:ascii="Arial" w:hAnsi="Arial" w:cs="Arial"/>
                <w:sz w:val="20"/>
                <w:szCs w:val="20"/>
              </w:rPr>
              <w:t>12,5</w:t>
            </w:r>
          </w:p>
        </w:tc>
      </w:tr>
      <w:tr w:rsidR="00620BAC">
        <w:tc>
          <w:tcPr>
            <w:tcW w:w="2943" w:type="dxa"/>
            <w:tcBorders>
              <w:top w:val="single" w:sz="4" w:space="0" w:color="000000"/>
              <w:left w:val="single" w:sz="4" w:space="0" w:color="000000"/>
              <w:bottom w:val="single" w:sz="4" w:space="0" w:color="000000"/>
            </w:tcBorders>
            <w:shd w:val="clear" w:color="auto" w:fill="auto"/>
          </w:tcPr>
          <w:p w:rsidR="00620BAC" w:rsidRDefault="00620BAC">
            <w:pPr>
              <w:snapToGrid w:val="0"/>
              <w:jc w:val="both"/>
              <w:rPr>
                <w:rFonts w:ascii="Arial" w:hAnsi="Arial" w:cs="Arial"/>
                <w:sz w:val="20"/>
                <w:szCs w:val="20"/>
              </w:rPr>
            </w:pPr>
            <w:r>
              <w:rPr>
                <w:rFonts w:ascii="Arial" w:hAnsi="Arial" w:cs="Arial"/>
                <w:sz w:val="20"/>
                <w:szCs w:val="20"/>
              </w:rPr>
              <w:t>Drobný nehmotný majetok</w:t>
            </w:r>
          </w:p>
        </w:tc>
        <w:tc>
          <w:tcPr>
            <w:tcW w:w="2552" w:type="dxa"/>
            <w:tcBorders>
              <w:top w:val="single" w:sz="4" w:space="0" w:color="000000"/>
              <w:left w:val="single" w:sz="4" w:space="0" w:color="000000"/>
              <w:bottom w:val="single" w:sz="4" w:space="0" w:color="000000"/>
            </w:tcBorders>
            <w:shd w:val="clear" w:color="auto" w:fill="auto"/>
          </w:tcPr>
          <w:p w:rsidR="00620BAC" w:rsidRDefault="00620BAC">
            <w:pPr>
              <w:snapToGrid w:val="0"/>
              <w:jc w:val="center"/>
              <w:rPr>
                <w:rFonts w:ascii="Arial" w:hAnsi="Arial" w:cs="Arial"/>
                <w:sz w:val="20"/>
                <w:szCs w:val="20"/>
              </w:rPr>
            </w:pPr>
            <w:r>
              <w:rPr>
                <w:rFonts w:ascii="Arial" w:hAnsi="Arial" w:cs="Arial"/>
                <w:sz w:val="20"/>
                <w:szCs w:val="20"/>
              </w:rPr>
              <w:t>rôzna</w:t>
            </w:r>
          </w:p>
        </w:tc>
        <w:tc>
          <w:tcPr>
            <w:tcW w:w="2126" w:type="dxa"/>
            <w:tcBorders>
              <w:top w:val="single" w:sz="4" w:space="0" w:color="000000"/>
              <w:left w:val="single" w:sz="4" w:space="0" w:color="000000"/>
              <w:bottom w:val="single" w:sz="4" w:space="0" w:color="000000"/>
            </w:tcBorders>
            <w:shd w:val="clear" w:color="auto" w:fill="auto"/>
          </w:tcPr>
          <w:p w:rsidR="00620BAC" w:rsidRDefault="00620BAC">
            <w:pPr>
              <w:snapToGrid w:val="0"/>
              <w:jc w:val="center"/>
              <w:rPr>
                <w:rFonts w:ascii="Arial" w:hAnsi="Arial" w:cs="Arial"/>
                <w:sz w:val="20"/>
                <w:szCs w:val="20"/>
              </w:rPr>
            </w:pPr>
            <w:r>
              <w:rPr>
                <w:rFonts w:ascii="Arial" w:hAnsi="Arial" w:cs="Arial"/>
                <w:sz w:val="20"/>
                <w:szCs w:val="20"/>
              </w:rPr>
              <w:t>jednorazový odpis</w:t>
            </w:r>
          </w:p>
        </w:tc>
        <w:tc>
          <w:tcPr>
            <w:tcW w:w="2827" w:type="dxa"/>
            <w:tcBorders>
              <w:top w:val="single" w:sz="4" w:space="0" w:color="000000"/>
              <w:left w:val="single" w:sz="4" w:space="0" w:color="000000"/>
              <w:bottom w:val="single" w:sz="4" w:space="0" w:color="000000"/>
              <w:right w:val="single" w:sz="4" w:space="0" w:color="000000"/>
            </w:tcBorders>
            <w:shd w:val="clear" w:color="auto" w:fill="auto"/>
          </w:tcPr>
          <w:p w:rsidR="00620BAC" w:rsidRDefault="00620BAC">
            <w:pPr>
              <w:snapToGrid w:val="0"/>
              <w:jc w:val="center"/>
            </w:pPr>
            <w:r>
              <w:rPr>
                <w:rFonts w:ascii="Arial" w:hAnsi="Arial" w:cs="Arial"/>
                <w:sz w:val="20"/>
                <w:szCs w:val="20"/>
              </w:rPr>
              <w:t>100</w:t>
            </w:r>
          </w:p>
        </w:tc>
      </w:tr>
    </w:tbl>
    <w:p w:rsidR="00620BAC" w:rsidRDefault="00620BAC">
      <w:pPr>
        <w:jc w:val="both"/>
      </w:pPr>
    </w:p>
    <w:p w:rsidR="00620BAC" w:rsidRDefault="00620BAC">
      <w:pPr>
        <w:jc w:val="both"/>
        <w:rPr>
          <w:rFonts w:ascii="Arial" w:hAnsi="Arial" w:cs="Arial"/>
          <w:sz w:val="20"/>
          <w:szCs w:val="20"/>
        </w:rPr>
      </w:pPr>
    </w:p>
    <w:p w:rsidR="00620BAC" w:rsidRDefault="00620BAC">
      <w:pPr>
        <w:jc w:val="both"/>
        <w:rPr>
          <w:rFonts w:ascii="Arial" w:hAnsi="Arial" w:cs="Arial"/>
          <w:sz w:val="20"/>
          <w:szCs w:val="20"/>
        </w:rPr>
      </w:pPr>
      <w:r>
        <w:rPr>
          <w:rFonts w:ascii="Arial" w:hAnsi="Arial" w:cs="Arial"/>
          <w:sz w:val="20"/>
          <w:szCs w:val="20"/>
        </w:rPr>
        <w:t>Odpisy dlhodobého hmotného majetku sú stanovené vychádzajúc z predpokladanej doby jeho používania a predpokladaného priebehu jeho opotrebenia. Odpisovať sa začína prvým dňom mesiaca nasledujúceho po uvedení dlhodobého majetku do používania. Drobný dlhodobý hmotný majetok, ktorého obstarávacia cena (resp. vlastné náklady) je 1 700 EUR a nižšia, sa odpisuje jednorazovo pri uvedení do používania. Pozemky sa neodpisujú. Predpokladaná doba používania, metóda odpisovania a odpisová sadzba sú uvedené v nasledujúcej tabuľke:</w:t>
      </w:r>
    </w:p>
    <w:p w:rsidR="00620BAC" w:rsidRDefault="00620BAC">
      <w:pPr>
        <w:jc w:val="both"/>
        <w:rPr>
          <w:rFonts w:ascii="Arial" w:hAnsi="Arial" w:cs="Arial"/>
          <w:sz w:val="20"/>
          <w:szCs w:val="20"/>
        </w:rPr>
      </w:pPr>
    </w:p>
    <w:tbl>
      <w:tblPr>
        <w:tblW w:w="0" w:type="auto"/>
        <w:tblInd w:w="108" w:type="dxa"/>
        <w:tblLayout w:type="fixed"/>
        <w:tblLook w:val="0000"/>
      </w:tblPr>
      <w:tblGrid>
        <w:gridCol w:w="3227"/>
        <w:gridCol w:w="2268"/>
        <w:gridCol w:w="2126"/>
        <w:gridCol w:w="2827"/>
      </w:tblGrid>
      <w:tr w:rsidR="00620BAC">
        <w:tc>
          <w:tcPr>
            <w:tcW w:w="3227" w:type="dxa"/>
            <w:tcBorders>
              <w:top w:val="single" w:sz="4" w:space="0" w:color="000000"/>
              <w:left w:val="single" w:sz="4" w:space="0" w:color="000000"/>
              <w:bottom w:val="single" w:sz="4" w:space="0" w:color="000000"/>
            </w:tcBorders>
            <w:shd w:val="clear" w:color="auto" w:fill="auto"/>
          </w:tcPr>
          <w:p w:rsidR="00620BAC" w:rsidRDefault="00620BAC">
            <w:pPr>
              <w:snapToGrid w:val="0"/>
              <w:jc w:val="both"/>
              <w:rPr>
                <w:rFonts w:ascii="Arial" w:hAnsi="Arial" w:cs="Arial"/>
                <w:sz w:val="20"/>
                <w:szCs w:val="20"/>
              </w:rPr>
            </w:pPr>
          </w:p>
        </w:tc>
        <w:tc>
          <w:tcPr>
            <w:tcW w:w="2268" w:type="dxa"/>
            <w:tcBorders>
              <w:top w:val="single" w:sz="4" w:space="0" w:color="000000"/>
              <w:left w:val="single" w:sz="4" w:space="0" w:color="000000"/>
              <w:bottom w:val="single" w:sz="4" w:space="0" w:color="000000"/>
            </w:tcBorders>
            <w:shd w:val="clear" w:color="auto" w:fill="auto"/>
          </w:tcPr>
          <w:p w:rsidR="00620BAC" w:rsidRDefault="00620BAC">
            <w:pPr>
              <w:snapToGrid w:val="0"/>
              <w:jc w:val="center"/>
              <w:rPr>
                <w:rFonts w:ascii="Arial" w:hAnsi="Arial" w:cs="Arial"/>
                <w:b/>
                <w:sz w:val="20"/>
                <w:szCs w:val="20"/>
              </w:rPr>
            </w:pPr>
            <w:r>
              <w:rPr>
                <w:rFonts w:ascii="Arial" w:hAnsi="Arial" w:cs="Arial"/>
                <w:b/>
                <w:sz w:val="20"/>
                <w:szCs w:val="20"/>
              </w:rPr>
              <w:t>Predpokladaná doba požívania</w:t>
            </w:r>
          </w:p>
        </w:tc>
        <w:tc>
          <w:tcPr>
            <w:tcW w:w="2126" w:type="dxa"/>
            <w:tcBorders>
              <w:top w:val="single" w:sz="4" w:space="0" w:color="000000"/>
              <w:left w:val="single" w:sz="4" w:space="0" w:color="000000"/>
              <w:bottom w:val="single" w:sz="4" w:space="0" w:color="000000"/>
            </w:tcBorders>
            <w:shd w:val="clear" w:color="auto" w:fill="auto"/>
          </w:tcPr>
          <w:p w:rsidR="00620BAC" w:rsidRDefault="00620BAC">
            <w:pPr>
              <w:snapToGrid w:val="0"/>
              <w:jc w:val="center"/>
              <w:rPr>
                <w:rFonts w:ascii="Arial" w:hAnsi="Arial" w:cs="Arial"/>
                <w:b/>
                <w:sz w:val="20"/>
                <w:szCs w:val="20"/>
              </w:rPr>
            </w:pPr>
            <w:r>
              <w:rPr>
                <w:rFonts w:ascii="Arial" w:hAnsi="Arial" w:cs="Arial"/>
                <w:b/>
                <w:sz w:val="20"/>
                <w:szCs w:val="20"/>
              </w:rPr>
              <w:t>Metóda odpisovania</w:t>
            </w:r>
          </w:p>
        </w:tc>
        <w:tc>
          <w:tcPr>
            <w:tcW w:w="2827" w:type="dxa"/>
            <w:tcBorders>
              <w:top w:val="single" w:sz="4" w:space="0" w:color="000000"/>
              <w:left w:val="single" w:sz="4" w:space="0" w:color="000000"/>
              <w:bottom w:val="single" w:sz="4" w:space="0" w:color="000000"/>
              <w:right w:val="single" w:sz="4" w:space="0" w:color="000000"/>
            </w:tcBorders>
            <w:shd w:val="clear" w:color="auto" w:fill="auto"/>
          </w:tcPr>
          <w:p w:rsidR="00620BAC" w:rsidRDefault="00620BAC">
            <w:pPr>
              <w:snapToGrid w:val="0"/>
              <w:jc w:val="center"/>
            </w:pPr>
            <w:r>
              <w:rPr>
                <w:rFonts w:ascii="Arial" w:hAnsi="Arial" w:cs="Arial"/>
                <w:b/>
                <w:sz w:val="20"/>
                <w:szCs w:val="20"/>
              </w:rPr>
              <w:t>Ročná odpisová sadzba</w:t>
            </w:r>
          </w:p>
        </w:tc>
      </w:tr>
      <w:tr w:rsidR="00620BAC">
        <w:tc>
          <w:tcPr>
            <w:tcW w:w="3227" w:type="dxa"/>
            <w:tcBorders>
              <w:top w:val="single" w:sz="4" w:space="0" w:color="000000"/>
              <w:left w:val="single" w:sz="4" w:space="0" w:color="000000"/>
              <w:bottom w:val="single" w:sz="4" w:space="0" w:color="000000"/>
            </w:tcBorders>
            <w:shd w:val="clear" w:color="auto" w:fill="auto"/>
          </w:tcPr>
          <w:p w:rsidR="00620BAC" w:rsidRDefault="00620BAC">
            <w:pPr>
              <w:snapToGrid w:val="0"/>
              <w:jc w:val="both"/>
              <w:rPr>
                <w:rFonts w:ascii="Arial" w:hAnsi="Arial" w:cs="Arial"/>
                <w:sz w:val="20"/>
                <w:szCs w:val="20"/>
              </w:rPr>
            </w:pPr>
            <w:r>
              <w:rPr>
                <w:rFonts w:ascii="Arial" w:hAnsi="Arial" w:cs="Arial"/>
                <w:sz w:val="20"/>
                <w:szCs w:val="20"/>
              </w:rPr>
              <w:t>Stavby</w:t>
            </w:r>
          </w:p>
        </w:tc>
        <w:tc>
          <w:tcPr>
            <w:tcW w:w="2268" w:type="dxa"/>
            <w:tcBorders>
              <w:top w:val="single" w:sz="4" w:space="0" w:color="000000"/>
              <w:left w:val="single" w:sz="4" w:space="0" w:color="000000"/>
              <w:bottom w:val="single" w:sz="4" w:space="0" w:color="000000"/>
            </w:tcBorders>
            <w:shd w:val="clear" w:color="auto" w:fill="auto"/>
          </w:tcPr>
          <w:p w:rsidR="00620BAC" w:rsidRDefault="00620BAC">
            <w:pPr>
              <w:snapToGrid w:val="0"/>
              <w:jc w:val="center"/>
              <w:rPr>
                <w:rFonts w:ascii="Arial" w:hAnsi="Arial" w:cs="Arial"/>
                <w:sz w:val="20"/>
                <w:szCs w:val="20"/>
              </w:rPr>
            </w:pPr>
            <w:r>
              <w:rPr>
                <w:rFonts w:ascii="Arial" w:hAnsi="Arial" w:cs="Arial"/>
                <w:sz w:val="20"/>
                <w:szCs w:val="20"/>
              </w:rPr>
              <w:t>20/40</w:t>
            </w:r>
          </w:p>
        </w:tc>
        <w:tc>
          <w:tcPr>
            <w:tcW w:w="2126" w:type="dxa"/>
            <w:tcBorders>
              <w:top w:val="single" w:sz="4" w:space="0" w:color="000000"/>
              <w:left w:val="single" w:sz="4" w:space="0" w:color="000000"/>
              <w:bottom w:val="single" w:sz="4" w:space="0" w:color="000000"/>
            </w:tcBorders>
            <w:shd w:val="clear" w:color="auto" w:fill="auto"/>
          </w:tcPr>
          <w:p w:rsidR="00620BAC" w:rsidRDefault="00620BAC">
            <w:pPr>
              <w:snapToGrid w:val="0"/>
              <w:jc w:val="center"/>
              <w:rPr>
                <w:rFonts w:ascii="Arial" w:hAnsi="Arial" w:cs="Arial"/>
                <w:sz w:val="20"/>
                <w:szCs w:val="20"/>
              </w:rPr>
            </w:pPr>
            <w:r>
              <w:rPr>
                <w:rFonts w:ascii="Arial" w:hAnsi="Arial" w:cs="Arial"/>
                <w:sz w:val="20"/>
                <w:szCs w:val="20"/>
              </w:rPr>
              <w:t>lineárna</w:t>
            </w:r>
          </w:p>
        </w:tc>
        <w:tc>
          <w:tcPr>
            <w:tcW w:w="2827" w:type="dxa"/>
            <w:tcBorders>
              <w:top w:val="single" w:sz="4" w:space="0" w:color="000000"/>
              <w:left w:val="single" w:sz="4" w:space="0" w:color="000000"/>
              <w:bottom w:val="single" w:sz="4" w:space="0" w:color="000000"/>
              <w:right w:val="single" w:sz="4" w:space="0" w:color="000000"/>
            </w:tcBorders>
            <w:shd w:val="clear" w:color="auto" w:fill="auto"/>
          </w:tcPr>
          <w:p w:rsidR="00620BAC" w:rsidRDefault="00620BAC">
            <w:pPr>
              <w:snapToGrid w:val="0"/>
              <w:jc w:val="center"/>
            </w:pPr>
            <w:r>
              <w:rPr>
                <w:rFonts w:ascii="Arial" w:hAnsi="Arial" w:cs="Arial"/>
                <w:sz w:val="20"/>
                <w:szCs w:val="20"/>
              </w:rPr>
              <w:t>5</w:t>
            </w:r>
          </w:p>
        </w:tc>
      </w:tr>
      <w:tr w:rsidR="00620BAC">
        <w:tc>
          <w:tcPr>
            <w:tcW w:w="3227" w:type="dxa"/>
            <w:tcBorders>
              <w:top w:val="single" w:sz="4" w:space="0" w:color="000000"/>
              <w:left w:val="single" w:sz="4" w:space="0" w:color="000000"/>
              <w:bottom w:val="single" w:sz="4" w:space="0" w:color="000000"/>
            </w:tcBorders>
            <w:shd w:val="clear" w:color="auto" w:fill="auto"/>
          </w:tcPr>
          <w:p w:rsidR="00620BAC" w:rsidRDefault="00620BAC">
            <w:pPr>
              <w:snapToGrid w:val="0"/>
              <w:rPr>
                <w:rFonts w:ascii="Arial" w:hAnsi="Arial" w:cs="Arial"/>
                <w:sz w:val="20"/>
                <w:szCs w:val="20"/>
              </w:rPr>
            </w:pPr>
            <w:r>
              <w:rPr>
                <w:rFonts w:ascii="Arial" w:hAnsi="Arial" w:cs="Arial"/>
                <w:sz w:val="20"/>
                <w:szCs w:val="20"/>
              </w:rPr>
              <w:t>Jednotlivé oddeliteľné súčasti zabudované v stavbách určené na samostatné odpisovanie</w:t>
            </w:r>
          </w:p>
        </w:tc>
        <w:tc>
          <w:tcPr>
            <w:tcW w:w="2268" w:type="dxa"/>
            <w:tcBorders>
              <w:top w:val="single" w:sz="4" w:space="0" w:color="000000"/>
              <w:left w:val="single" w:sz="4" w:space="0" w:color="000000"/>
              <w:bottom w:val="single" w:sz="4" w:space="0" w:color="000000"/>
            </w:tcBorders>
            <w:shd w:val="clear" w:color="auto" w:fill="auto"/>
            <w:vAlign w:val="center"/>
          </w:tcPr>
          <w:p w:rsidR="00620BAC" w:rsidRDefault="00620BAC">
            <w:pPr>
              <w:snapToGrid w:val="0"/>
              <w:jc w:val="center"/>
              <w:rPr>
                <w:rFonts w:ascii="Arial" w:hAnsi="Arial" w:cs="Arial"/>
                <w:sz w:val="20"/>
                <w:szCs w:val="20"/>
              </w:rPr>
            </w:pPr>
            <w:r>
              <w:rPr>
                <w:rFonts w:ascii="Arial" w:hAnsi="Arial" w:cs="Arial"/>
                <w:sz w:val="20"/>
                <w:szCs w:val="20"/>
              </w:rPr>
              <w:t>12</w:t>
            </w:r>
          </w:p>
        </w:tc>
        <w:tc>
          <w:tcPr>
            <w:tcW w:w="2126" w:type="dxa"/>
            <w:tcBorders>
              <w:top w:val="single" w:sz="4" w:space="0" w:color="000000"/>
              <w:left w:val="single" w:sz="4" w:space="0" w:color="000000"/>
              <w:bottom w:val="single" w:sz="4" w:space="0" w:color="000000"/>
            </w:tcBorders>
            <w:shd w:val="clear" w:color="auto" w:fill="auto"/>
            <w:vAlign w:val="center"/>
          </w:tcPr>
          <w:p w:rsidR="00620BAC" w:rsidRDefault="00620BAC">
            <w:pPr>
              <w:snapToGrid w:val="0"/>
              <w:jc w:val="center"/>
              <w:rPr>
                <w:rFonts w:ascii="Arial" w:hAnsi="Arial" w:cs="Arial"/>
                <w:sz w:val="20"/>
                <w:szCs w:val="20"/>
              </w:rPr>
            </w:pPr>
            <w:r>
              <w:rPr>
                <w:rFonts w:ascii="Arial" w:hAnsi="Arial" w:cs="Arial"/>
                <w:sz w:val="20"/>
                <w:szCs w:val="20"/>
              </w:rPr>
              <w:t>lineárna</w:t>
            </w:r>
          </w:p>
        </w:tc>
        <w:tc>
          <w:tcPr>
            <w:tcW w:w="28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20BAC" w:rsidRDefault="00620BAC">
            <w:pPr>
              <w:snapToGrid w:val="0"/>
              <w:jc w:val="center"/>
            </w:pPr>
            <w:r>
              <w:rPr>
                <w:rFonts w:ascii="Arial" w:hAnsi="Arial" w:cs="Arial"/>
                <w:sz w:val="20"/>
                <w:szCs w:val="20"/>
              </w:rPr>
              <w:t>8,33</w:t>
            </w:r>
          </w:p>
        </w:tc>
      </w:tr>
      <w:tr w:rsidR="00620BAC">
        <w:tc>
          <w:tcPr>
            <w:tcW w:w="3227" w:type="dxa"/>
            <w:tcBorders>
              <w:top w:val="single" w:sz="4" w:space="0" w:color="000000"/>
              <w:left w:val="single" w:sz="4" w:space="0" w:color="000000"/>
              <w:bottom w:val="single" w:sz="4" w:space="0" w:color="000000"/>
            </w:tcBorders>
            <w:shd w:val="clear" w:color="auto" w:fill="auto"/>
          </w:tcPr>
          <w:p w:rsidR="00620BAC" w:rsidRDefault="00620BAC">
            <w:pPr>
              <w:snapToGrid w:val="0"/>
              <w:jc w:val="both"/>
              <w:rPr>
                <w:rFonts w:ascii="Arial" w:hAnsi="Arial" w:cs="Arial"/>
                <w:sz w:val="20"/>
                <w:szCs w:val="20"/>
              </w:rPr>
            </w:pPr>
            <w:r>
              <w:rPr>
                <w:rFonts w:ascii="Arial" w:hAnsi="Arial" w:cs="Arial"/>
                <w:sz w:val="20"/>
                <w:szCs w:val="20"/>
              </w:rPr>
              <w:t>Stroje, prístroje a zariadenia</w:t>
            </w:r>
          </w:p>
        </w:tc>
        <w:tc>
          <w:tcPr>
            <w:tcW w:w="2268" w:type="dxa"/>
            <w:tcBorders>
              <w:top w:val="single" w:sz="4" w:space="0" w:color="000000"/>
              <w:left w:val="single" w:sz="4" w:space="0" w:color="000000"/>
              <w:bottom w:val="single" w:sz="4" w:space="0" w:color="000000"/>
            </w:tcBorders>
            <w:shd w:val="clear" w:color="auto" w:fill="auto"/>
          </w:tcPr>
          <w:p w:rsidR="00620BAC" w:rsidRDefault="00620BAC">
            <w:pPr>
              <w:snapToGrid w:val="0"/>
              <w:jc w:val="center"/>
              <w:rPr>
                <w:rFonts w:ascii="Arial" w:hAnsi="Arial" w:cs="Arial"/>
                <w:sz w:val="20"/>
                <w:szCs w:val="20"/>
              </w:rPr>
            </w:pPr>
            <w:r>
              <w:rPr>
                <w:rFonts w:ascii="Arial" w:hAnsi="Arial" w:cs="Arial"/>
                <w:sz w:val="20"/>
                <w:szCs w:val="20"/>
              </w:rPr>
              <w:t>4-6</w:t>
            </w:r>
          </w:p>
        </w:tc>
        <w:tc>
          <w:tcPr>
            <w:tcW w:w="2126" w:type="dxa"/>
            <w:tcBorders>
              <w:top w:val="single" w:sz="4" w:space="0" w:color="000000"/>
              <w:left w:val="single" w:sz="4" w:space="0" w:color="000000"/>
              <w:bottom w:val="single" w:sz="4" w:space="0" w:color="000000"/>
            </w:tcBorders>
            <w:shd w:val="clear" w:color="auto" w:fill="auto"/>
          </w:tcPr>
          <w:p w:rsidR="00620BAC" w:rsidRDefault="00620BAC">
            <w:pPr>
              <w:snapToGrid w:val="0"/>
              <w:jc w:val="center"/>
              <w:rPr>
                <w:rFonts w:ascii="Arial" w:hAnsi="Arial" w:cs="Arial"/>
                <w:sz w:val="20"/>
                <w:szCs w:val="20"/>
              </w:rPr>
            </w:pPr>
            <w:r>
              <w:rPr>
                <w:rFonts w:ascii="Arial" w:hAnsi="Arial" w:cs="Arial"/>
                <w:sz w:val="20"/>
                <w:szCs w:val="20"/>
              </w:rPr>
              <w:t>lineárna</w:t>
            </w:r>
          </w:p>
        </w:tc>
        <w:tc>
          <w:tcPr>
            <w:tcW w:w="2827" w:type="dxa"/>
            <w:tcBorders>
              <w:top w:val="single" w:sz="4" w:space="0" w:color="000000"/>
              <w:left w:val="single" w:sz="4" w:space="0" w:color="000000"/>
              <w:bottom w:val="single" w:sz="4" w:space="0" w:color="000000"/>
              <w:right w:val="single" w:sz="4" w:space="0" w:color="000000"/>
            </w:tcBorders>
            <w:shd w:val="clear" w:color="auto" w:fill="auto"/>
          </w:tcPr>
          <w:p w:rsidR="00620BAC" w:rsidRDefault="00620BAC">
            <w:pPr>
              <w:snapToGrid w:val="0"/>
              <w:jc w:val="center"/>
            </w:pPr>
            <w:r>
              <w:rPr>
                <w:rFonts w:ascii="Arial" w:hAnsi="Arial" w:cs="Arial"/>
                <w:sz w:val="20"/>
                <w:szCs w:val="20"/>
              </w:rPr>
              <w:t>16,67-25</w:t>
            </w:r>
          </w:p>
        </w:tc>
      </w:tr>
      <w:tr w:rsidR="00620BAC">
        <w:tc>
          <w:tcPr>
            <w:tcW w:w="3227" w:type="dxa"/>
            <w:tcBorders>
              <w:top w:val="single" w:sz="4" w:space="0" w:color="000000"/>
              <w:left w:val="single" w:sz="4" w:space="0" w:color="000000"/>
              <w:bottom w:val="single" w:sz="4" w:space="0" w:color="000000"/>
            </w:tcBorders>
            <w:shd w:val="clear" w:color="auto" w:fill="auto"/>
          </w:tcPr>
          <w:p w:rsidR="00620BAC" w:rsidRDefault="00620BAC">
            <w:pPr>
              <w:snapToGrid w:val="0"/>
              <w:jc w:val="both"/>
              <w:rPr>
                <w:rFonts w:ascii="Arial" w:hAnsi="Arial" w:cs="Arial"/>
                <w:sz w:val="20"/>
                <w:szCs w:val="20"/>
              </w:rPr>
            </w:pPr>
            <w:r>
              <w:rPr>
                <w:rFonts w:ascii="Arial" w:hAnsi="Arial" w:cs="Arial"/>
                <w:sz w:val="20"/>
                <w:szCs w:val="20"/>
              </w:rPr>
              <w:lastRenderedPageBreak/>
              <w:t>Dopravné prostriedky</w:t>
            </w:r>
          </w:p>
        </w:tc>
        <w:tc>
          <w:tcPr>
            <w:tcW w:w="2268" w:type="dxa"/>
            <w:tcBorders>
              <w:top w:val="single" w:sz="4" w:space="0" w:color="000000"/>
              <w:left w:val="single" w:sz="4" w:space="0" w:color="000000"/>
              <w:bottom w:val="single" w:sz="4" w:space="0" w:color="000000"/>
            </w:tcBorders>
            <w:shd w:val="clear" w:color="auto" w:fill="auto"/>
          </w:tcPr>
          <w:p w:rsidR="00620BAC" w:rsidRDefault="00620BAC">
            <w:pPr>
              <w:snapToGrid w:val="0"/>
              <w:jc w:val="center"/>
              <w:rPr>
                <w:rFonts w:ascii="Arial" w:hAnsi="Arial" w:cs="Arial"/>
                <w:sz w:val="20"/>
                <w:szCs w:val="20"/>
              </w:rPr>
            </w:pPr>
            <w:r>
              <w:rPr>
                <w:rFonts w:ascii="Arial" w:hAnsi="Arial" w:cs="Arial"/>
                <w:sz w:val="20"/>
                <w:szCs w:val="20"/>
              </w:rPr>
              <w:t>4</w:t>
            </w:r>
          </w:p>
        </w:tc>
        <w:tc>
          <w:tcPr>
            <w:tcW w:w="2126" w:type="dxa"/>
            <w:tcBorders>
              <w:top w:val="single" w:sz="4" w:space="0" w:color="000000"/>
              <w:left w:val="single" w:sz="4" w:space="0" w:color="000000"/>
              <w:bottom w:val="single" w:sz="4" w:space="0" w:color="000000"/>
            </w:tcBorders>
            <w:shd w:val="clear" w:color="auto" w:fill="auto"/>
          </w:tcPr>
          <w:p w:rsidR="00620BAC" w:rsidRDefault="00620BAC">
            <w:pPr>
              <w:snapToGrid w:val="0"/>
              <w:jc w:val="center"/>
              <w:rPr>
                <w:rFonts w:ascii="Arial" w:hAnsi="Arial" w:cs="Arial"/>
                <w:sz w:val="20"/>
                <w:szCs w:val="20"/>
              </w:rPr>
            </w:pPr>
            <w:r>
              <w:rPr>
                <w:rFonts w:ascii="Arial" w:hAnsi="Arial" w:cs="Arial"/>
                <w:sz w:val="20"/>
                <w:szCs w:val="20"/>
              </w:rPr>
              <w:t>lineárna</w:t>
            </w:r>
          </w:p>
        </w:tc>
        <w:tc>
          <w:tcPr>
            <w:tcW w:w="2827" w:type="dxa"/>
            <w:tcBorders>
              <w:top w:val="single" w:sz="4" w:space="0" w:color="000000"/>
              <w:left w:val="single" w:sz="4" w:space="0" w:color="000000"/>
              <w:bottom w:val="single" w:sz="4" w:space="0" w:color="000000"/>
              <w:right w:val="single" w:sz="4" w:space="0" w:color="000000"/>
            </w:tcBorders>
            <w:shd w:val="clear" w:color="auto" w:fill="auto"/>
          </w:tcPr>
          <w:p w:rsidR="00620BAC" w:rsidRDefault="00620BAC">
            <w:pPr>
              <w:snapToGrid w:val="0"/>
              <w:jc w:val="center"/>
            </w:pPr>
            <w:r>
              <w:rPr>
                <w:rFonts w:ascii="Arial" w:hAnsi="Arial" w:cs="Arial"/>
                <w:sz w:val="20"/>
                <w:szCs w:val="20"/>
              </w:rPr>
              <w:t>25</w:t>
            </w:r>
          </w:p>
        </w:tc>
      </w:tr>
      <w:tr w:rsidR="00620BAC">
        <w:tc>
          <w:tcPr>
            <w:tcW w:w="3227" w:type="dxa"/>
            <w:tcBorders>
              <w:top w:val="single" w:sz="4" w:space="0" w:color="000000"/>
              <w:left w:val="single" w:sz="4" w:space="0" w:color="000000"/>
              <w:bottom w:val="single" w:sz="4" w:space="0" w:color="000000"/>
            </w:tcBorders>
            <w:shd w:val="clear" w:color="auto" w:fill="auto"/>
          </w:tcPr>
          <w:p w:rsidR="00620BAC" w:rsidRDefault="00620BAC">
            <w:pPr>
              <w:snapToGrid w:val="0"/>
              <w:jc w:val="both"/>
              <w:rPr>
                <w:rFonts w:ascii="Arial" w:hAnsi="Arial" w:cs="Arial"/>
                <w:sz w:val="20"/>
                <w:szCs w:val="20"/>
              </w:rPr>
            </w:pPr>
            <w:r>
              <w:rPr>
                <w:rFonts w:ascii="Arial" w:hAnsi="Arial" w:cs="Arial"/>
                <w:sz w:val="20"/>
                <w:szCs w:val="20"/>
              </w:rPr>
              <w:t>Drobný hmotný majetok</w:t>
            </w:r>
          </w:p>
        </w:tc>
        <w:tc>
          <w:tcPr>
            <w:tcW w:w="2268" w:type="dxa"/>
            <w:tcBorders>
              <w:top w:val="single" w:sz="4" w:space="0" w:color="000000"/>
              <w:left w:val="single" w:sz="4" w:space="0" w:color="000000"/>
              <w:bottom w:val="single" w:sz="4" w:space="0" w:color="000000"/>
            </w:tcBorders>
            <w:shd w:val="clear" w:color="auto" w:fill="auto"/>
          </w:tcPr>
          <w:p w:rsidR="00620BAC" w:rsidRDefault="00620BAC">
            <w:pPr>
              <w:snapToGrid w:val="0"/>
              <w:jc w:val="center"/>
              <w:rPr>
                <w:rFonts w:ascii="Arial" w:hAnsi="Arial" w:cs="Arial"/>
                <w:sz w:val="20"/>
                <w:szCs w:val="20"/>
              </w:rPr>
            </w:pPr>
            <w:r>
              <w:rPr>
                <w:rFonts w:ascii="Arial" w:hAnsi="Arial" w:cs="Arial"/>
                <w:sz w:val="20"/>
                <w:szCs w:val="20"/>
              </w:rPr>
              <w:t>rôzna</w:t>
            </w:r>
          </w:p>
        </w:tc>
        <w:tc>
          <w:tcPr>
            <w:tcW w:w="2126" w:type="dxa"/>
            <w:tcBorders>
              <w:top w:val="single" w:sz="4" w:space="0" w:color="000000"/>
              <w:left w:val="single" w:sz="4" w:space="0" w:color="000000"/>
              <w:bottom w:val="single" w:sz="4" w:space="0" w:color="000000"/>
            </w:tcBorders>
            <w:shd w:val="clear" w:color="auto" w:fill="auto"/>
          </w:tcPr>
          <w:p w:rsidR="00620BAC" w:rsidRDefault="00620BAC">
            <w:pPr>
              <w:snapToGrid w:val="0"/>
              <w:jc w:val="center"/>
              <w:rPr>
                <w:rFonts w:ascii="Arial" w:hAnsi="Arial" w:cs="Arial"/>
                <w:sz w:val="20"/>
                <w:szCs w:val="20"/>
              </w:rPr>
            </w:pPr>
            <w:r>
              <w:rPr>
                <w:rFonts w:ascii="Arial" w:hAnsi="Arial" w:cs="Arial"/>
                <w:sz w:val="20"/>
                <w:szCs w:val="20"/>
              </w:rPr>
              <w:t>jednorazový odpis</w:t>
            </w:r>
          </w:p>
        </w:tc>
        <w:tc>
          <w:tcPr>
            <w:tcW w:w="2827" w:type="dxa"/>
            <w:tcBorders>
              <w:top w:val="single" w:sz="4" w:space="0" w:color="000000"/>
              <w:left w:val="single" w:sz="4" w:space="0" w:color="000000"/>
              <w:bottom w:val="single" w:sz="4" w:space="0" w:color="000000"/>
              <w:right w:val="single" w:sz="4" w:space="0" w:color="000000"/>
            </w:tcBorders>
            <w:shd w:val="clear" w:color="auto" w:fill="auto"/>
          </w:tcPr>
          <w:p w:rsidR="00620BAC" w:rsidRDefault="00620BAC">
            <w:pPr>
              <w:snapToGrid w:val="0"/>
              <w:jc w:val="center"/>
            </w:pPr>
            <w:r>
              <w:rPr>
                <w:rFonts w:ascii="Arial" w:hAnsi="Arial" w:cs="Arial"/>
                <w:sz w:val="20"/>
                <w:szCs w:val="20"/>
              </w:rPr>
              <w:t>100</w:t>
            </w:r>
          </w:p>
        </w:tc>
      </w:tr>
    </w:tbl>
    <w:p w:rsidR="00620BAC" w:rsidRDefault="00620BAC">
      <w:pPr>
        <w:jc w:val="both"/>
      </w:pPr>
    </w:p>
    <w:p w:rsidR="00620BAC" w:rsidRDefault="00620BAC">
      <w:pPr>
        <w:jc w:val="both"/>
        <w:rPr>
          <w:rFonts w:ascii="Arial" w:eastAsia="TimesNewRomanPSMT" w:hAnsi="Arial" w:cs="Arial"/>
          <w:sz w:val="20"/>
          <w:szCs w:val="20"/>
        </w:rPr>
      </w:pPr>
      <w:r>
        <w:rPr>
          <w:rFonts w:ascii="Arial" w:eastAsia="TimesNewRomanPS-BoldMT" w:hAnsi="Arial" w:cs="Arial"/>
          <w:b/>
          <w:bCs/>
          <w:sz w:val="20"/>
          <w:szCs w:val="20"/>
        </w:rPr>
        <w:t>(c) Cenné papiere a podiely</w:t>
      </w:r>
    </w:p>
    <w:p w:rsidR="00620BAC" w:rsidRDefault="00620BAC">
      <w:pPr>
        <w:autoSpaceDE w:val="0"/>
        <w:jc w:val="both"/>
        <w:rPr>
          <w:rFonts w:ascii="Arial" w:eastAsia="TimesNewRomanPS-BoldMT" w:hAnsi="Arial" w:cs="Arial"/>
          <w:b/>
          <w:bCs/>
          <w:sz w:val="20"/>
          <w:szCs w:val="20"/>
        </w:rPr>
      </w:pPr>
      <w:r>
        <w:rPr>
          <w:rFonts w:ascii="Arial" w:eastAsia="TimesNewRomanPSMT" w:hAnsi="Arial" w:cs="Arial"/>
          <w:sz w:val="20"/>
          <w:szCs w:val="20"/>
        </w:rPr>
        <w:t>Cenné papiere a podiely (okrem cenných papierov na obchodovanie) sa oceňujú obstarávacími cenami vrátane nákladov súvisiacich s obstaraním. Od obstarávacej ceny je odpočítané zníženie hodnoty cenných papierov a podielov. Cenné papiere na obchodovanie sa pri ich obstaraní oceňujú reálnou hodnotou.</w:t>
      </w:r>
    </w:p>
    <w:p w:rsidR="00620BAC" w:rsidRDefault="00620BAC">
      <w:pPr>
        <w:autoSpaceDE w:val="0"/>
        <w:jc w:val="both"/>
        <w:rPr>
          <w:rFonts w:ascii="Arial" w:eastAsia="TimesNewRomanPS-BoldMT" w:hAnsi="Arial" w:cs="Arial"/>
          <w:b/>
          <w:bCs/>
          <w:sz w:val="20"/>
          <w:szCs w:val="20"/>
        </w:rPr>
      </w:pPr>
    </w:p>
    <w:p w:rsidR="00620BAC" w:rsidRDefault="00620BAC">
      <w:pPr>
        <w:autoSpaceDE w:val="0"/>
        <w:jc w:val="both"/>
        <w:rPr>
          <w:rFonts w:ascii="Arial" w:eastAsia="TimesNewRomanPSMT" w:hAnsi="Arial" w:cs="Arial"/>
          <w:sz w:val="20"/>
          <w:szCs w:val="20"/>
        </w:rPr>
      </w:pPr>
      <w:r>
        <w:rPr>
          <w:rFonts w:ascii="Arial" w:eastAsia="TimesNewRomanPS-BoldMT" w:hAnsi="Arial" w:cs="Arial"/>
          <w:b/>
          <w:bCs/>
          <w:sz w:val="20"/>
          <w:szCs w:val="20"/>
        </w:rPr>
        <w:t>(d) Zásoby</w:t>
      </w:r>
    </w:p>
    <w:p w:rsidR="00620BAC" w:rsidRDefault="00620BAC">
      <w:pPr>
        <w:autoSpaceDE w:val="0"/>
        <w:jc w:val="both"/>
        <w:rPr>
          <w:rFonts w:ascii="Arial" w:eastAsia="TimesNewRomanPS-BoldMT" w:hAnsi="Arial" w:cs="Arial"/>
          <w:b/>
          <w:bCs/>
          <w:sz w:val="20"/>
          <w:szCs w:val="20"/>
        </w:rPr>
      </w:pPr>
      <w:r>
        <w:rPr>
          <w:rFonts w:ascii="Arial" w:eastAsia="TimesNewRomanPSMT" w:hAnsi="Arial" w:cs="Arial"/>
          <w:sz w:val="20"/>
          <w:szCs w:val="20"/>
        </w:rPr>
        <w:t>Zásoby sa oceňujú obstarávacou cenou (nakupované zásoby) alebo vlastnými nákladmi (zásoby vytvorené vlastnou činnosťou). Obstarávacia cena zahŕňa cenu zásob a náklady súvisiace s obstaraním (clo, prepravu, poistné, provízie, skonto a pod.). Úroky z cudzích zdrojov nie sú súčasťou obstarávacej ceny. Nakupované zásoby sa oceňujú váženým aritmetickým priemerom z obstarávacích cien. Vlastné náklady zahŕňajú priame náklady (priamy materiál, priame mzdy a ostatné priame náklady) a časť nepriamych nákladov bezprostredne súvisiacich s vytvorením zásob vlastnou činnosťou (výrobná réžia). Výrobná réžia sa do vlastných nákladov zahŕňa v závislosti od stupňa rozpracovanosti týchto zásob. Správna réžia a odbytové náklady nie sú súčasťou vlastných nákladov. Súčasťou vlastných nákladov nie sú úroky z cudzích zdrojov. Čistá realizačná hodnota je predpokladaná predajná cena znížená o predpokladané náklady na ich dokončenie a o predpokladané náklady súvisiace s ich predajom. Zníženie hodnoty zásob sa zohľadňuje vytvorením opravnej položky.</w:t>
      </w:r>
    </w:p>
    <w:p w:rsidR="00620BAC" w:rsidRDefault="00620BAC">
      <w:pPr>
        <w:autoSpaceDE w:val="0"/>
        <w:jc w:val="both"/>
        <w:rPr>
          <w:rFonts w:ascii="Arial" w:eastAsia="TimesNewRomanPS-BoldMT" w:hAnsi="Arial" w:cs="Arial"/>
          <w:b/>
          <w:bCs/>
          <w:sz w:val="20"/>
          <w:szCs w:val="20"/>
        </w:rPr>
      </w:pPr>
    </w:p>
    <w:p w:rsidR="00620BAC" w:rsidRDefault="00620BAC">
      <w:pPr>
        <w:autoSpaceDE w:val="0"/>
        <w:jc w:val="both"/>
        <w:rPr>
          <w:rFonts w:ascii="Arial" w:eastAsia="TimesNewRomanPSMT" w:hAnsi="Arial" w:cs="Arial"/>
          <w:sz w:val="20"/>
          <w:szCs w:val="20"/>
        </w:rPr>
      </w:pPr>
      <w:r>
        <w:rPr>
          <w:rFonts w:ascii="Arial" w:eastAsia="TimesNewRomanPS-BoldMT" w:hAnsi="Arial" w:cs="Arial"/>
          <w:b/>
          <w:bCs/>
          <w:sz w:val="20"/>
          <w:szCs w:val="20"/>
        </w:rPr>
        <w:t>(e) Zákazková výroba</w:t>
      </w:r>
    </w:p>
    <w:p w:rsidR="00620BAC" w:rsidRDefault="00620BAC">
      <w:pPr>
        <w:autoSpaceDE w:val="0"/>
        <w:jc w:val="both"/>
        <w:rPr>
          <w:rFonts w:ascii="Arial" w:eastAsia="TimesNewRomanPSMT" w:hAnsi="Arial" w:cs="Arial"/>
          <w:sz w:val="20"/>
          <w:szCs w:val="20"/>
        </w:rPr>
      </w:pPr>
      <w:r>
        <w:rPr>
          <w:rFonts w:ascii="Arial" w:eastAsia="TimesNewRomanPSMT" w:hAnsi="Arial" w:cs="Arial"/>
          <w:sz w:val="20"/>
          <w:szCs w:val="20"/>
        </w:rPr>
        <w:t>Zákazková výroba sa vykazuje použitím metódy stupňa dokončenia zákazky.</w:t>
      </w:r>
    </w:p>
    <w:p w:rsidR="00620BAC" w:rsidRDefault="00620BAC">
      <w:pPr>
        <w:autoSpaceDE w:val="0"/>
        <w:jc w:val="both"/>
        <w:rPr>
          <w:rFonts w:ascii="Arial" w:eastAsia="TimesNewRomanPSMT" w:hAnsi="Arial" w:cs="Arial"/>
          <w:sz w:val="20"/>
          <w:szCs w:val="20"/>
        </w:rPr>
      </w:pPr>
    </w:p>
    <w:p w:rsidR="00620BAC" w:rsidRDefault="00620BAC">
      <w:pPr>
        <w:autoSpaceDE w:val="0"/>
        <w:jc w:val="both"/>
        <w:rPr>
          <w:rFonts w:ascii="Arial" w:eastAsia="TimesNewRomanPS-BoldItalicMT" w:hAnsi="Arial" w:cs="Arial"/>
          <w:b/>
          <w:bCs/>
          <w:i/>
          <w:iCs/>
          <w:sz w:val="20"/>
          <w:szCs w:val="20"/>
        </w:rPr>
      </w:pPr>
      <w:r>
        <w:rPr>
          <w:rFonts w:ascii="Arial" w:eastAsia="TimesNewRomanPS-BoldMT" w:hAnsi="Arial" w:cs="Arial"/>
          <w:b/>
          <w:bCs/>
          <w:sz w:val="20"/>
          <w:szCs w:val="20"/>
        </w:rPr>
        <w:t>(f) Zákazková výstavba nehnuteľnosti</w:t>
      </w:r>
    </w:p>
    <w:p w:rsidR="00620BAC" w:rsidRDefault="00620BAC">
      <w:pPr>
        <w:autoSpaceDE w:val="0"/>
        <w:jc w:val="both"/>
        <w:rPr>
          <w:rFonts w:ascii="Arial" w:eastAsia="TimesNewRomanPSMT" w:hAnsi="Arial" w:cs="Arial"/>
          <w:sz w:val="20"/>
          <w:szCs w:val="20"/>
        </w:rPr>
      </w:pPr>
      <w:r>
        <w:rPr>
          <w:rFonts w:ascii="Arial" w:eastAsia="TimesNewRomanPS-BoldItalicMT" w:hAnsi="Arial" w:cs="Arial"/>
          <w:b/>
          <w:bCs/>
          <w:i/>
          <w:iCs/>
          <w:sz w:val="20"/>
          <w:szCs w:val="20"/>
        </w:rPr>
        <w:t>Zákazková výstavba nehnuteľnosti – priebežný transfer</w:t>
      </w:r>
    </w:p>
    <w:p w:rsidR="00620BAC" w:rsidRDefault="00620BAC">
      <w:pPr>
        <w:autoSpaceDE w:val="0"/>
        <w:jc w:val="both"/>
        <w:rPr>
          <w:rStyle w:val="Predvolenpsmoodseku1"/>
          <w:rFonts w:ascii="Arial" w:eastAsia="TimesNewRomanPS-BoldItalicMT" w:hAnsi="Arial" w:cs="Arial"/>
          <w:b/>
          <w:bCs/>
          <w:i/>
          <w:iCs/>
          <w:sz w:val="20"/>
          <w:szCs w:val="20"/>
        </w:rPr>
      </w:pPr>
      <w:r>
        <w:rPr>
          <w:rFonts w:ascii="Arial" w:eastAsia="TimesNewRomanPSMT" w:hAnsi="Arial" w:cs="Arial"/>
          <w:sz w:val="20"/>
          <w:szCs w:val="20"/>
        </w:rPr>
        <w:t>Zákazková výstavba nehnuteľnosti určenej na predaj sa vykazuje podľa metódy stupňa dokončenia.</w:t>
      </w:r>
    </w:p>
    <w:p w:rsidR="00620BAC" w:rsidRDefault="00620BAC">
      <w:pPr>
        <w:autoSpaceDE w:val="0"/>
        <w:jc w:val="both"/>
        <w:rPr>
          <w:rStyle w:val="Predvolenpsmoodseku1"/>
          <w:rFonts w:ascii="Arial" w:eastAsia="TimesNewRomanPSMT" w:hAnsi="Arial" w:cs="Arial"/>
          <w:sz w:val="20"/>
          <w:szCs w:val="20"/>
        </w:rPr>
      </w:pPr>
      <w:r>
        <w:rPr>
          <w:rStyle w:val="Predvolenpsmoodseku1"/>
          <w:rFonts w:ascii="Arial" w:eastAsia="TimesNewRomanPS-BoldItalicMT" w:hAnsi="Arial" w:cs="Arial"/>
          <w:b/>
          <w:bCs/>
          <w:i/>
          <w:iCs/>
          <w:sz w:val="20"/>
          <w:szCs w:val="20"/>
        </w:rPr>
        <w:t>Zákazková výstavba nehnuteľnosti – ostatn</w:t>
      </w:r>
      <w:r>
        <w:rPr>
          <w:rStyle w:val="Predvolenpsmoodseku1"/>
          <w:rFonts w:ascii="Arial" w:eastAsia="TimesNewRomanPSMT" w:hAnsi="Arial" w:cs="Arial"/>
          <w:sz w:val="20"/>
          <w:szCs w:val="20"/>
        </w:rPr>
        <w:t xml:space="preserve">á </w:t>
      </w:r>
      <w:r>
        <w:rPr>
          <w:rStyle w:val="Predvolenpsmoodseku1"/>
          <w:rFonts w:ascii="Arial" w:eastAsia="TimesNewRomanPS-BoldItalicMT" w:hAnsi="Arial" w:cs="Arial"/>
          <w:b/>
          <w:bCs/>
          <w:i/>
          <w:iCs/>
          <w:sz w:val="20"/>
          <w:szCs w:val="20"/>
        </w:rPr>
        <w:t>(nie priebežný transfer)</w:t>
      </w:r>
    </w:p>
    <w:p w:rsidR="00620BAC" w:rsidRDefault="00620BAC">
      <w:pPr>
        <w:autoSpaceDE w:val="0"/>
        <w:jc w:val="both"/>
        <w:rPr>
          <w:rFonts w:ascii="Arial" w:hAnsi="Arial" w:cs="Arial"/>
          <w:b/>
          <w:sz w:val="20"/>
          <w:szCs w:val="20"/>
        </w:rPr>
      </w:pPr>
      <w:r>
        <w:rPr>
          <w:rStyle w:val="Predvolenpsmoodseku1"/>
          <w:rFonts w:ascii="Arial" w:eastAsia="TimesNewRomanPSMT" w:hAnsi="Arial" w:cs="Arial"/>
          <w:sz w:val="20"/>
          <w:szCs w:val="20"/>
        </w:rPr>
        <w:t>Zákazková výstavba nehnuteľnosti určenej na predaj – ostatná (nie priebežný transfer) sa vykazuje metódou tzv. Nulového zisku, t. j. zisk sa vykáže až pri predaji nehnuteľnosti.</w:t>
      </w:r>
    </w:p>
    <w:p w:rsidR="00620BAC" w:rsidRDefault="00620BAC">
      <w:pPr>
        <w:jc w:val="both"/>
        <w:rPr>
          <w:rFonts w:ascii="Arial" w:hAnsi="Arial" w:cs="Arial"/>
          <w:b/>
          <w:sz w:val="20"/>
          <w:szCs w:val="20"/>
        </w:rPr>
      </w:pPr>
    </w:p>
    <w:p w:rsidR="00620BAC" w:rsidRDefault="00620BAC">
      <w:pPr>
        <w:jc w:val="both"/>
        <w:rPr>
          <w:rStyle w:val="Predvolenpsmoodseku1"/>
          <w:rFonts w:ascii="Arial" w:eastAsia="TimesNewRomanPSMT" w:hAnsi="Arial" w:cs="Arial"/>
          <w:sz w:val="20"/>
          <w:szCs w:val="20"/>
        </w:rPr>
      </w:pPr>
      <w:r>
        <w:rPr>
          <w:rStyle w:val="Predvolenpsmoodseku1"/>
          <w:rFonts w:ascii="Arial" w:eastAsia="TimesNewRomanPSMT" w:hAnsi="Arial" w:cs="Arial"/>
          <w:b/>
          <w:sz w:val="20"/>
          <w:szCs w:val="20"/>
        </w:rPr>
        <w:t>(g) Pohľadávky</w:t>
      </w:r>
    </w:p>
    <w:p w:rsidR="00620BAC" w:rsidRDefault="00620BAC">
      <w:pPr>
        <w:jc w:val="both"/>
        <w:rPr>
          <w:rFonts w:ascii="Arial" w:hAnsi="Arial" w:cs="Arial"/>
          <w:sz w:val="20"/>
          <w:szCs w:val="20"/>
        </w:rPr>
      </w:pPr>
      <w:r>
        <w:rPr>
          <w:rStyle w:val="Predvolenpsmoodseku1"/>
          <w:rFonts w:ascii="Arial" w:eastAsia="TimesNewRomanPSMT" w:hAnsi="Arial" w:cs="Arial"/>
          <w:sz w:val="20"/>
          <w:szCs w:val="20"/>
        </w:rPr>
        <w:t>Pohľadávky pri ich vzniku sa oceňujú ich menovitou hodnotou; postúpené pohľadávky a pohľadávky nadobudnuté vkladom do základného imania sa oceňujú obstarávacou cenou vrátane nákladov súvisiacich s obstaraním. Toto ocenenie sa znižuje o pochybné a nevymožiteľné pohľadávky.</w:t>
      </w:r>
    </w:p>
    <w:p w:rsidR="00620BAC" w:rsidRDefault="00620BAC">
      <w:pPr>
        <w:jc w:val="both"/>
        <w:rPr>
          <w:rFonts w:ascii="Arial" w:hAnsi="Arial" w:cs="Arial"/>
          <w:sz w:val="20"/>
          <w:szCs w:val="20"/>
        </w:rPr>
      </w:pPr>
    </w:p>
    <w:p w:rsidR="00620BAC" w:rsidRDefault="00620BAC">
      <w:pPr>
        <w:jc w:val="both"/>
        <w:rPr>
          <w:rStyle w:val="Predvolenpsmoodseku1"/>
          <w:rFonts w:ascii="Arial" w:eastAsia="TimesNewRomanPSMT" w:hAnsi="Arial" w:cs="Arial"/>
          <w:sz w:val="20"/>
          <w:szCs w:val="20"/>
        </w:rPr>
      </w:pPr>
      <w:r>
        <w:rPr>
          <w:rStyle w:val="Predvolenpsmoodseku1"/>
          <w:rFonts w:ascii="Arial" w:eastAsia="TimesNewRomanPSMT" w:hAnsi="Arial" w:cs="Arial"/>
          <w:b/>
          <w:sz w:val="20"/>
          <w:szCs w:val="20"/>
        </w:rPr>
        <w:t>(h) Peňažné prostriedky a ceniny</w:t>
      </w:r>
    </w:p>
    <w:p w:rsidR="00620BAC" w:rsidRDefault="00620BAC">
      <w:pPr>
        <w:jc w:val="both"/>
        <w:rPr>
          <w:rFonts w:ascii="Arial" w:hAnsi="Arial" w:cs="Arial"/>
          <w:b/>
          <w:sz w:val="20"/>
          <w:szCs w:val="20"/>
        </w:rPr>
      </w:pPr>
      <w:r>
        <w:rPr>
          <w:rStyle w:val="Predvolenpsmoodseku1"/>
          <w:rFonts w:ascii="Arial" w:eastAsia="TimesNewRomanPSMT" w:hAnsi="Arial" w:cs="Arial"/>
          <w:sz w:val="20"/>
          <w:szCs w:val="20"/>
        </w:rPr>
        <w:t>Peňažné prostriedky a ceniny sa oceňujú ich menovitou hodnotou. Zníženie ich hodnoty sa vyjadruje opravnou položkou.</w:t>
      </w:r>
    </w:p>
    <w:p w:rsidR="00620BAC" w:rsidRDefault="00620BAC">
      <w:pPr>
        <w:jc w:val="both"/>
        <w:rPr>
          <w:rFonts w:ascii="Arial" w:hAnsi="Arial" w:cs="Arial"/>
          <w:b/>
          <w:sz w:val="20"/>
          <w:szCs w:val="20"/>
        </w:rPr>
      </w:pPr>
    </w:p>
    <w:p w:rsidR="00620BAC" w:rsidRDefault="00620BAC">
      <w:pPr>
        <w:jc w:val="both"/>
        <w:rPr>
          <w:rStyle w:val="Predvolenpsmoodseku1"/>
          <w:rFonts w:ascii="Arial" w:eastAsia="TimesNewRomanPSMT" w:hAnsi="Arial" w:cs="Arial"/>
          <w:sz w:val="20"/>
          <w:szCs w:val="20"/>
        </w:rPr>
      </w:pPr>
      <w:r>
        <w:rPr>
          <w:rStyle w:val="Predvolenpsmoodseku1"/>
          <w:rFonts w:ascii="Arial" w:eastAsia="TimesNewRomanPSMT" w:hAnsi="Arial" w:cs="Arial"/>
          <w:b/>
          <w:sz w:val="20"/>
          <w:szCs w:val="20"/>
        </w:rPr>
        <w:t>(i) Náklady budúcich období a príjmy budúcich období</w:t>
      </w:r>
    </w:p>
    <w:p w:rsidR="00620BAC" w:rsidRDefault="00620BAC">
      <w:pPr>
        <w:jc w:val="both"/>
        <w:rPr>
          <w:rFonts w:ascii="Arial" w:hAnsi="Arial" w:cs="Arial"/>
          <w:sz w:val="20"/>
          <w:szCs w:val="20"/>
        </w:rPr>
      </w:pPr>
      <w:r>
        <w:rPr>
          <w:rStyle w:val="Predvolenpsmoodseku1"/>
          <w:rFonts w:ascii="Arial" w:eastAsia="TimesNewRomanPSMT" w:hAnsi="Arial" w:cs="Arial"/>
          <w:sz w:val="20"/>
          <w:szCs w:val="20"/>
        </w:rPr>
        <w:t>Náklady budúcich období a príjmy budúcich období sa vykazujú vo výške, ktorá je potrebná na dodržanie zásady vecnej a časovej súvislosti s účtovným obdobím.</w:t>
      </w:r>
    </w:p>
    <w:p w:rsidR="00620BAC" w:rsidRDefault="00620BAC">
      <w:pPr>
        <w:jc w:val="both"/>
        <w:rPr>
          <w:rFonts w:ascii="Arial" w:hAnsi="Arial" w:cs="Arial"/>
          <w:sz w:val="20"/>
          <w:szCs w:val="20"/>
        </w:rPr>
      </w:pPr>
    </w:p>
    <w:p w:rsidR="00620BAC" w:rsidRDefault="00620BAC">
      <w:pPr>
        <w:jc w:val="both"/>
        <w:rPr>
          <w:rStyle w:val="Predvolenpsmoodseku1"/>
          <w:rFonts w:ascii="Arial" w:eastAsia="TimesNewRomanPSMT" w:hAnsi="Arial" w:cs="Arial"/>
          <w:sz w:val="20"/>
          <w:szCs w:val="20"/>
        </w:rPr>
      </w:pPr>
      <w:r>
        <w:rPr>
          <w:rStyle w:val="Predvolenpsmoodseku1"/>
          <w:rFonts w:ascii="Arial" w:eastAsia="TimesNewRomanPSMT" w:hAnsi="Arial" w:cs="Arial"/>
          <w:b/>
          <w:sz w:val="20"/>
          <w:szCs w:val="20"/>
        </w:rPr>
        <w:t>(j) Rezervy</w:t>
      </w:r>
    </w:p>
    <w:p w:rsidR="00620BAC" w:rsidRDefault="00620BAC">
      <w:pPr>
        <w:jc w:val="both"/>
        <w:rPr>
          <w:rFonts w:ascii="Arial" w:hAnsi="Arial" w:cs="Arial"/>
          <w:sz w:val="20"/>
          <w:szCs w:val="20"/>
        </w:rPr>
      </w:pPr>
      <w:r>
        <w:rPr>
          <w:rStyle w:val="Predvolenpsmoodseku1"/>
          <w:rFonts w:ascii="Arial" w:eastAsia="TimesNewRomanPSMT" w:hAnsi="Arial" w:cs="Arial"/>
          <w:sz w:val="20"/>
          <w:szCs w:val="20"/>
        </w:rPr>
        <w:t>Rezervy sú záväzky s neurčitým časovým vymedzením alebo výškou; tvoria sa na krytie známych rizík alebo strát z podnikania. Oceňujú sa v očakávanej výške záväzku.</w:t>
      </w:r>
    </w:p>
    <w:p w:rsidR="00620BAC" w:rsidRDefault="00620BAC">
      <w:pPr>
        <w:jc w:val="both"/>
        <w:rPr>
          <w:rFonts w:ascii="Arial" w:hAnsi="Arial" w:cs="Arial"/>
          <w:sz w:val="20"/>
          <w:szCs w:val="20"/>
        </w:rPr>
      </w:pPr>
    </w:p>
    <w:p w:rsidR="00620BAC" w:rsidRDefault="00620BAC">
      <w:pPr>
        <w:jc w:val="both"/>
        <w:rPr>
          <w:rStyle w:val="Predvolenpsmoodseku1"/>
          <w:rFonts w:ascii="Arial" w:eastAsia="TimesNewRomanPSMT" w:hAnsi="Arial" w:cs="Arial"/>
          <w:sz w:val="20"/>
          <w:szCs w:val="20"/>
        </w:rPr>
      </w:pPr>
      <w:r>
        <w:rPr>
          <w:rStyle w:val="Predvolenpsmoodseku1"/>
          <w:rFonts w:ascii="Arial" w:eastAsia="TimesNewRomanPSMT" w:hAnsi="Arial" w:cs="Arial"/>
          <w:b/>
          <w:sz w:val="20"/>
          <w:szCs w:val="20"/>
        </w:rPr>
        <w:t>(k) Záväzky</w:t>
      </w:r>
    </w:p>
    <w:p w:rsidR="00620BAC" w:rsidRDefault="00620BAC">
      <w:pPr>
        <w:jc w:val="both"/>
        <w:rPr>
          <w:rFonts w:ascii="Arial" w:hAnsi="Arial" w:cs="Arial"/>
          <w:sz w:val="20"/>
          <w:szCs w:val="20"/>
        </w:rPr>
      </w:pPr>
      <w:r>
        <w:rPr>
          <w:rStyle w:val="Predvolenpsmoodseku1"/>
          <w:rFonts w:ascii="Arial" w:eastAsia="TimesNewRomanPSMT" w:hAnsi="Arial" w:cs="Arial"/>
          <w:sz w:val="20"/>
          <w:szCs w:val="20"/>
        </w:rPr>
        <w:t>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w:t>
      </w:r>
    </w:p>
    <w:p w:rsidR="00620BAC" w:rsidRDefault="00620BAC">
      <w:pPr>
        <w:jc w:val="both"/>
        <w:rPr>
          <w:rFonts w:ascii="Arial" w:hAnsi="Arial" w:cs="Arial"/>
          <w:sz w:val="20"/>
          <w:szCs w:val="20"/>
        </w:rPr>
      </w:pPr>
    </w:p>
    <w:p w:rsidR="00620BAC" w:rsidRDefault="00620BAC">
      <w:pPr>
        <w:jc w:val="both"/>
        <w:rPr>
          <w:rStyle w:val="Predvolenpsmoodseku1"/>
          <w:rFonts w:ascii="Arial" w:eastAsia="TimesNewRomanPSMT" w:hAnsi="Arial" w:cs="Arial"/>
          <w:sz w:val="20"/>
          <w:szCs w:val="20"/>
        </w:rPr>
      </w:pPr>
      <w:r>
        <w:rPr>
          <w:rStyle w:val="Predvolenpsmoodseku1"/>
          <w:rFonts w:ascii="Arial" w:eastAsia="TimesNewRomanPSMT" w:hAnsi="Arial" w:cs="Arial"/>
          <w:b/>
          <w:sz w:val="20"/>
          <w:szCs w:val="20"/>
        </w:rPr>
        <w:t>(l) Odložené dane</w:t>
      </w:r>
    </w:p>
    <w:p w:rsidR="00620BAC" w:rsidRDefault="00620BAC">
      <w:pPr>
        <w:jc w:val="both"/>
        <w:rPr>
          <w:rStyle w:val="Predvolenpsmoodseku1"/>
          <w:rFonts w:ascii="Arial" w:eastAsia="TimesNewRomanPSMT" w:hAnsi="Arial" w:cs="Arial"/>
          <w:sz w:val="20"/>
          <w:szCs w:val="20"/>
        </w:rPr>
      </w:pPr>
      <w:r>
        <w:rPr>
          <w:rStyle w:val="Predvolenpsmoodseku1"/>
          <w:rFonts w:ascii="Arial" w:eastAsia="TimesNewRomanPSMT" w:hAnsi="Arial" w:cs="Arial"/>
          <w:sz w:val="20"/>
          <w:szCs w:val="20"/>
        </w:rPr>
        <w:t>Odložené dane (odložená daňová pohľadávka a odložený daňový záväzok) sa vzťahujú na:</w:t>
      </w:r>
    </w:p>
    <w:p w:rsidR="00620BAC" w:rsidRDefault="00620BAC">
      <w:pPr>
        <w:jc w:val="both"/>
        <w:rPr>
          <w:rStyle w:val="Predvolenpsmoodseku1"/>
          <w:rFonts w:ascii="Arial" w:eastAsia="TimesNewRomanPSMT" w:hAnsi="Arial" w:cs="Arial"/>
          <w:sz w:val="20"/>
          <w:szCs w:val="20"/>
        </w:rPr>
      </w:pPr>
      <w:r>
        <w:rPr>
          <w:rStyle w:val="Predvolenpsmoodseku1"/>
          <w:rFonts w:ascii="Arial" w:eastAsia="TimesNewRomanPSMT" w:hAnsi="Arial" w:cs="Arial"/>
          <w:sz w:val="20"/>
          <w:szCs w:val="20"/>
        </w:rPr>
        <w:t>a) dočasné rozdiely medzi účtovnou hodnotou majetku a účtovnou hodnotou záväzkov vykázanou v súvahe a ich daňovou základňou,</w:t>
      </w:r>
    </w:p>
    <w:p w:rsidR="00620BAC" w:rsidRDefault="00620BAC">
      <w:pPr>
        <w:jc w:val="both"/>
        <w:rPr>
          <w:rStyle w:val="Predvolenpsmoodseku1"/>
          <w:rFonts w:ascii="Arial" w:eastAsia="TimesNewRomanPSMT" w:hAnsi="Arial" w:cs="Arial"/>
          <w:sz w:val="20"/>
          <w:szCs w:val="20"/>
        </w:rPr>
      </w:pPr>
      <w:r>
        <w:rPr>
          <w:rStyle w:val="Predvolenpsmoodseku1"/>
          <w:rFonts w:ascii="Arial" w:eastAsia="TimesNewRomanPSMT" w:hAnsi="Arial" w:cs="Arial"/>
          <w:sz w:val="20"/>
          <w:szCs w:val="20"/>
        </w:rPr>
        <w:t>b) možnosť umorovať daňovú stratu v budúcnosti, ktorou sa rozumie možnosť odpočítať daňovú stratu od základu dane v budúcnosti,</w:t>
      </w:r>
    </w:p>
    <w:p w:rsidR="00620BAC" w:rsidRDefault="00620BAC">
      <w:pPr>
        <w:jc w:val="both"/>
        <w:rPr>
          <w:rFonts w:ascii="Arial" w:hAnsi="Arial" w:cs="Arial"/>
          <w:b/>
          <w:sz w:val="20"/>
          <w:szCs w:val="20"/>
        </w:rPr>
      </w:pPr>
      <w:r>
        <w:rPr>
          <w:rStyle w:val="Predvolenpsmoodseku1"/>
          <w:rFonts w:ascii="Arial" w:eastAsia="TimesNewRomanPSMT" w:hAnsi="Arial" w:cs="Arial"/>
          <w:sz w:val="20"/>
          <w:szCs w:val="20"/>
        </w:rPr>
        <w:t>c) možnosť previesť nevyužité daňové odpočty a iné daňové nároky do budúcich období.</w:t>
      </w:r>
    </w:p>
    <w:p w:rsidR="00620BAC" w:rsidRDefault="00620BAC">
      <w:pPr>
        <w:jc w:val="both"/>
        <w:rPr>
          <w:rFonts w:ascii="Arial" w:hAnsi="Arial" w:cs="Arial"/>
          <w:b/>
          <w:sz w:val="20"/>
          <w:szCs w:val="20"/>
        </w:rPr>
      </w:pPr>
    </w:p>
    <w:p w:rsidR="00620BAC" w:rsidRDefault="00620BAC">
      <w:pPr>
        <w:jc w:val="both"/>
        <w:rPr>
          <w:rStyle w:val="Predvolenpsmoodseku1"/>
          <w:rFonts w:ascii="Arial" w:eastAsia="TimesNewRomanPSMT" w:hAnsi="Arial" w:cs="Arial"/>
          <w:sz w:val="20"/>
          <w:szCs w:val="20"/>
        </w:rPr>
      </w:pPr>
      <w:r>
        <w:rPr>
          <w:rStyle w:val="Predvolenpsmoodseku1"/>
          <w:rFonts w:ascii="Arial" w:eastAsia="TimesNewRomanPSMT" w:hAnsi="Arial" w:cs="Arial"/>
          <w:b/>
          <w:sz w:val="20"/>
          <w:szCs w:val="20"/>
        </w:rPr>
        <w:lastRenderedPageBreak/>
        <w:t>(m) Výdavky budúcich období a výnosy budúcich období</w:t>
      </w:r>
    </w:p>
    <w:p w:rsidR="00620BAC" w:rsidRDefault="00620BAC">
      <w:pPr>
        <w:jc w:val="both"/>
        <w:rPr>
          <w:rFonts w:ascii="Arial" w:hAnsi="Arial" w:cs="Arial"/>
          <w:sz w:val="20"/>
          <w:szCs w:val="20"/>
        </w:rPr>
      </w:pPr>
      <w:r>
        <w:rPr>
          <w:rStyle w:val="Predvolenpsmoodseku1"/>
          <w:rFonts w:ascii="Arial" w:eastAsia="TimesNewRomanPSMT" w:hAnsi="Arial" w:cs="Arial"/>
          <w:sz w:val="20"/>
          <w:szCs w:val="20"/>
        </w:rPr>
        <w:t>Výdavky budúcich období a výnosy budúcich období sa vykazujú vo výške, ktorá je potrebná na dodržanie zásady vecnej a časovej súvislosti s účtovným obdobím.</w:t>
      </w:r>
    </w:p>
    <w:p w:rsidR="00620BAC" w:rsidRDefault="00620BAC">
      <w:pPr>
        <w:jc w:val="both"/>
        <w:rPr>
          <w:rFonts w:ascii="Arial" w:hAnsi="Arial" w:cs="Arial"/>
          <w:sz w:val="20"/>
          <w:szCs w:val="20"/>
        </w:rPr>
      </w:pPr>
    </w:p>
    <w:p w:rsidR="00620BAC" w:rsidRDefault="00620BAC">
      <w:pPr>
        <w:autoSpaceDE w:val="0"/>
        <w:jc w:val="both"/>
        <w:rPr>
          <w:rFonts w:ascii="Arial" w:eastAsia="TimesNewRomanPSMT" w:hAnsi="Arial" w:cs="Arial"/>
          <w:sz w:val="20"/>
          <w:szCs w:val="20"/>
        </w:rPr>
      </w:pPr>
      <w:r>
        <w:rPr>
          <w:rFonts w:ascii="Arial" w:hAnsi="Arial" w:cs="Arial"/>
          <w:b/>
          <w:sz w:val="20"/>
          <w:szCs w:val="20"/>
        </w:rPr>
        <w:t>(p) Prenájom (lízing)</w:t>
      </w:r>
    </w:p>
    <w:p w:rsidR="00620BAC" w:rsidRDefault="00620BAC">
      <w:pPr>
        <w:autoSpaceDE w:val="0"/>
        <w:jc w:val="both"/>
        <w:rPr>
          <w:rFonts w:ascii="Arial" w:eastAsia="TimesNewRomanPSMT" w:hAnsi="Arial" w:cs="Arial"/>
          <w:sz w:val="20"/>
          <w:szCs w:val="20"/>
        </w:rPr>
      </w:pPr>
      <w:r>
        <w:rPr>
          <w:rFonts w:ascii="Arial" w:eastAsia="TimesNewRomanPSMT" w:hAnsi="Arial" w:cs="Arial"/>
          <w:sz w:val="20"/>
          <w:szCs w:val="20"/>
        </w:rPr>
        <w:t>Majetok prenajatý na základe operatívneho prenájmu vykazuje ako svoj majetok jeho vlastník, nie nájomca. Finančný prenájom je obstaranie dlhodobého hmotného majetku na základe nájomnej zmluvy s dojednaným právom kúpy prenajatej veci za dohodnuté platby počas dohodnutej doby nájmu. Majetok prenajatý formou finančného prenájmu vykazuje ako svoj majetok a odpisuje ho jeho nájomca, nie vlastník. Prijatie majetku nájomcom sa v účtovníctve nájomcu účtuje v deň prijatia majetku na ťarchu príslušného účtu majetku so súvzťažným zápisom v prospech účtu 474 – Záväzky z nájmu vo výške dohodnutých platieb znížených o nerealizované finančné náklady. Súčasťou dohodnutých platieb je aj kúpna cena, za ktorú na konci dohodnutej doby finančného prenájmu prechádza vlastnícke právo k prenajatému majetku z prenajímateľa na nájomcu. Dohodnutá doba nájmu je najmenej 60 % doby odpisovania podľa daňových predpisov, minimálne však 3 roky. Platba nájomného je alokovaná medzi splátku istiny a finančné náklady, vypočítané metódou efektívnej úrokovej miery. Finančné náklady sa účtujú na ťarchu účtu 562 – Úroky.</w:t>
      </w:r>
    </w:p>
    <w:p w:rsidR="00620BAC" w:rsidRDefault="00620BAC">
      <w:pPr>
        <w:autoSpaceDE w:val="0"/>
        <w:jc w:val="both"/>
        <w:rPr>
          <w:rFonts w:ascii="Arial" w:eastAsia="TimesNewRomanPSMT" w:hAnsi="Arial" w:cs="Arial"/>
          <w:sz w:val="20"/>
          <w:szCs w:val="20"/>
        </w:rPr>
      </w:pPr>
    </w:p>
    <w:p w:rsidR="00620BAC" w:rsidRDefault="00620BAC">
      <w:pPr>
        <w:autoSpaceDE w:val="0"/>
        <w:jc w:val="both"/>
        <w:rPr>
          <w:rFonts w:ascii="Arial" w:eastAsia="TimesNewRomanPSMT" w:hAnsi="Arial" w:cs="Arial"/>
          <w:sz w:val="20"/>
          <w:szCs w:val="20"/>
        </w:rPr>
      </w:pPr>
      <w:r>
        <w:rPr>
          <w:rFonts w:ascii="Arial" w:eastAsia="TimesNewRomanPS-BoldMT" w:hAnsi="Arial" w:cs="Arial"/>
          <w:b/>
          <w:bCs/>
          <w:sz w:val="20"/>
          <w:szCs w:val="20"/>
        </w:rPr>
        <w:t>(q) Deriváty</w:t>
      </w:r>
    </w:p>
    <w:p w:rsidR="00620BAC" w:rsidRDefault="00620BAC">
      <w:pPr>
        <w:autoSpaceDE w:val="0"/>
        <w:jc w:val="both"/>
        <w:rPr>
          <w:rFonts w:ascii="Arial" w:eastAsia="TimesNewRomanPSMT" w:hAnsi="Arial" w:cs="Arial"/>
          <w:sz w:val="20"/>
          <w:szCs w:val="20"/>
        </w:rPr>
      </w:pPr>
      <w:r>
        <w:rPr>
          <w:rFonts w:ascii="Arial" w:eastAsia="TimesNewRomanPSMT" w:hAnsi="Arial" w:cs="Arial"/>
          <w:sz w:val="20"/>
          <w:szCs w:val="20"/>
        </w:rPr>
        <w:t>Deriváty sa oceňujú reálnou hodnotou. Zmeny reálnych hodnôt zabezpečovacích derivátov sa účtujú bez vplyvu na výsledok hospodárenia, priamo do vlastného imania. Zmeny reálnych hodnôt derivátov určených na obchodovanie na tuzemskej burze, zahraničnej burze alebo na inom verejnom trhu sa účtujú s vplyvom na výsledok hospodárenia. Zmeny reálnych hodnôt derivátov určených na obchodovanie na neverejnom trhu sa účtujú bez vplyvu na výsledok hospodárenia, priamo do vlastného imania.</w:t>
      </w:r>
    </w:p>
    <w:p w:rsidR="00620BAC" w:rsidRDefault="00620BAC">
      <w:pPr>
        <w:autoSpaceDE w:val="0"/>
        <w:jc w:val="both"/>
        <w:rPr>
          <w:rFonts w:ascii="Arial" w:eastAsia="TimesNewRomanPSMT" w:hAnsi="Arial" w:cs="Arial"/>
          <w:sz w:val="20"/>
          <w:szCs w:val="20"/>
        </w:rPr>
      </w:pPr>
    </w:p>
    <w:p w:rsidR="00620BAC" w:rsidRDefault="00620BAC">
      <w:pPr>
        <w:autoSpaceDE w:val="0"/>
        <w:jc w:val="both"/>
        <w:rPr>
          <w:rFonts w:ascii="Arial" w:eastAsia="TimesNewRomanPSMT" w:hAnsi="Arial" w:cs="Arial"/>
          <w:sz w:val="20"/>
          <w:szCs w:val="20"/>
        </w:rPr>
      </w:pPr>
      <w:r>
        <w:rPr>
          <w:rFonts w:ascii="Arial" w:eastAsia="TimesNewRomanPS-BoldMT" w:hAnsi="Arial" w:cs="Arial"/>
          <w:b/>
          <w:bCs/>
          <w:sz w:val="20"/>
          <w:szCs w:val="20"/>
        </w:rPr>
        <w:t>(r) Majetok a záväzky zabezpečené derivátmi</w:t>
      </w:r>
    </w:p>
    <w:p w:rsidR="00620BAC" w:rsidRDefault="00620BAC">
      <w:pPr>
        <w:autoSpaceDE w:val="0"/>
        <w:jc w:val="both"/>
        <w:rPr>
          <w:rFonts w:ascii="Arial" w:eastAsia="TimesNewRomanPSMT" w:hAnsi="Arial" w:cs="Arial"/>
          <w:sz w:val="20"/>
          <w:szCs w:val="20"/>
        </w:rPr>
      </w:pPr>
      <w:r>
        <w:rPr>
          <w:rFonts w:ascii="Arial" w:eastAsia="TimesNewRomanPSMT" w:hAnsi="Arial" w:cs="Arial"/>
          <w:sz w:val="20"/>
          <w:szCs w:val="20"/>
        </w:rPr>
        <w:t>Majetok a záväzky zabezpečené derivátmi sa oceňujú reálnou hodnotou. Zmeny reálnych hodnôt majetku a záväzkov zabezpečených derivátmi sa účtujú bez vplyvu na výsledok hospodárenia, priamo do vlastného imania.</w:t>
      </w:r>
    </w:p>
    <w:p w:rsidR="00620BAC" w:rsidRDefault="00620BAC">
      <w:pPr>
        <w:autoSpaceDE w:val="0"/>
        <w:jc w:val="both"/>
        <w:rPr>
          <w:rFonts w:ascii="Arial" w:eastAsia="TimesNewRomanPSMT" w:hAnsi="Arial" w:cs="Arial"/>
          <w:sz w:val="20"/>
          <w:szCs w:val="20"/>
        </w:rPr>
      </w:pPr>
    </w:p>
    <w:p w:rsidR="00620BAC" w:rsidRDefault="00620BAC">
      <w:pPr>
        <w:autoSpaceDE w:val="0"/>
        <w:jc w:val="both"/>
        <w:rPr>
          <w:rFonts w:ascii="Arial" w:eastAsia="TimesNewRomanPSMT" w:hAnsi="Arial" w:cs="Arial"/>
          <w:sz w:val="20"/>
          <w:szCs w:val="20"/>
        </w:rPr>
      </w:pPr>
      <w:r>
        <w:rPr>
          <w:rFonts w:ascii="Arial" w:eastAsia="TimesNewRomanPS-BoldMT" w:hAnsi="Arial" w:cs="Arial"/>
          <w:b/>
          <w:bCs/>
          <w:sz w:val="20"/>
          <w:szCs w:val="20"/>
        </w:rPr>
        <w:t>(s) Cudzia mena</w:t>
      </w:r>
    </w:p>
    <w:p w:rsidR="00620BAC" w:rsidRDefault="00620BAC">
      <w:pPr>
        <w:autoSpaceDE w:val="0"/>
        <w:jc w:val="both"/>
        <w:rPr>
          <w:rFonts w:ascii="Arial" w:eastAsia="TimesNewRomanPSMT" w:hAnsi="Arial" w:cs="Arial"/>
          <w:sz w:val="20"/>
          <w:szCs w:val="20"/>
        </w:rPr>
      </w:pPr>
      <w:r>
        <w:rPr>
          <w:rFonts w:ascii="Arial" w:eastAsia="TimesNewRomanPSMT" w:hAnsi="Arial" w:cs="Arial"/>
          <w:sz w:val="20"/>
          <w:szCs w:val="20"/>
        </w:rPr>
        <w:t>Majetok a záväzky vyjadrené v cudzej mene sa ku dňu uskutočnenia účtovného prípadu prepočítavajú na menu euro referenčným výmenným kurzom určeným a vyhláseným Európskou centrálnou bankou alebo Národnou bankou Slovenska v deň predchádzajúci dňu uskutočnenia účtovného prípadu.</w:t>
      </w:r>
    </w:p>
    <w:p w:rsidR="00620BAC" w:rsidRDefault="00620BAC">
      <w:pPr>
        <w:autoSpaceDE w:val="0"/>
        <w:jc w:val="both"/>
        <w:rPr>
          <w:rFonts w:ascii="Arial" w:eastAsia="TimesNewRomanPSMT" w:hAnsi="Arial" w:cs="Arial"/>
          <w:sz w:val="20"/>
          <w:szCs w:val="20"/>
        </w:rPr>
      </w:pPr>
      <w:r>
        <w:rPr>
          <w:rFonts w:ascii="Arial" w:eastAsia="TimesNewRomanPSMT" w:hAnsi="Arial" w:cs="Arial"/>
          <w:sz w:val="20"/>
          <w:szCs w:val="20"/>
        </w:rPr>
        <w:t>Na ocenenie prírastku cudzej meny nakúpenej za euro sa použije kurz, za ktorý bola táto cudzia mena nakúpená. Na úbytok rovnakej cudzej meny v hotovosti alebo z devízového účtu sa na prepočet cudzej meny na eurá použije referenčný výmenný kurz určený a vyhlásený Európskou centrálnou bankou alebo Národnou bankou Slovenska v deň predchádzajúci dňu uskutočnenia účtovného prípadu.</w:t>
      </w:r>
    </w:p>
    <w:p w:rsidR="00620BAC" w:rsidRDefault="00620BAC">
      <w:pPr>
        <w:autoSpaceDE w:val="0"/>
        <w:jc w:val="both"/>
        <w:rPr>
          <w:rFonts w:ascii="Arial" w:eastAsia="TimesNewRomanPSMT" w:hAnsi="Arial" w:cs="Arial"/>
          <w:sz w:val="20"/>
          <w:szCs w:val="20"/>
        </w:rPr>
      </w:pPr>
      <w:r>
        <w:rPr>
          <w:rFonts w:ascii="Arial" w:eastAsia="TimesNewRomanPSMT" w:hAnsi="Arial" w:cs="Arial"/>
          <w:sz w:val="20"/>
          <w:szCs w:val="20"/>
        </w:rPr>
        <w:t>Majetok a záväzky vyjadrené v cudzej mene (okrem prijatých a poskytnutých preddavkov) sa ku dňu, ku ktorému sa zostavuje účtovná závierka, prepočítavajú na menu euro referenčným výmenným kurzom určeným a vyhláseným Európskou centrálnou bankou alebo Národnou bankou Slovenska v deň, ku ktorému sa zostavuje účtovná závierka, a účtujú sa s vplyvom na výsledok hospodárenia. Prijaté a poskytnuté preddavky v cudzej mene prostredníctvom účtu vedeného v tejto cudzej mene sa prepočítavajú na menu euro referenčným výmenným kurzom určeným a vyhláseným Európskou centrálnou bankou alebo Národnou</w:t>
      </w:r>
    </w:p>
    <w:p w:rsidR="00620BAC" w:rsidRDefault="00620BAC">
      <w:pPr>
        <w:autoSpaceDE w:val="0"/>
        <w:jc w:val="both"/>
        <w:rPr>
          <w:rFonts w:ascii="Arial" w:eastAsia="TimesNewRomanPSMT" w:hAnsi="Arial" w:cs="Arial"/>
          <w:sz w:val="20"/>
          <w:szCs w:val="20"/>
        </w:rPr>
      </w:pPr>
      <w:r>
        <w:rPr>
          <w:rFonts w:ascii="Arial" w:eastAsia="TimesNewRomanPSMT" w:hAnsi="Arial" w:cs="Arial"/>
          <w:sz w:val="20"/>
          <w:szCs w:val="20"/>
        </w:rPr>
        <w:t>bankou Slovenska v deň predchádzajúci dňu uskutočnenia účtovného prípadu. Ku dňu, ku ktorému sa zostavuje účtovná závierka, sa už neprepočítavajú. Prijaté a poskytnuté preddavky v cudzej mene na účet zriadený v eurách a z účtu zriadeného v eurách sa prepočítavajú na menu euro kurzom, za ktorý boli tieto hodnoty nakúpené alebo predané.</w:t>
      </w:r>
    </w:p>
    <w:p w:rsidR="00620BAC" w:rsidRDefault="00620BAC">
      <w:pPr>
        <w:autoSpaceDE w:val="0"/>
        <w:jc w:val="both"/>
        <w:rPr>
          <w:rFonts w:ascii="Arial" w:eastAsia="TimesNewRomanPSMT" w:hAnsi="Arial" w:cs="Arial"/>
          <w:sz w:val="20"/>
          <w:szCs w:val="20"/>
        </w:rPr>
      </w:pPr>
    </w:p>
    <w:p w:rsidR="00620BAC" w:rsidRDefault="00620BAC">
      <w:pPr>
        <w:autoSpaceDE w:val="0"/>
        <w:jc w:val="both"/>
        <w:rPr>
          <w:rStyle w:val="Predvolenpsmoodseku1"/>
          <w:rFonts w:ascii="Arial" w:eastAsia="TimesNewRomanPSMT" w:hAnsi="Arial" w:cs="Arial"/>
          <w:sz w:val="20"/>
          <w:szCs w:val="20"/>
        </w:rPr>
      </w:pPr>
      <w:r>
        <w:rPr>
          <w:rStyle w:val="Predvolenpsmoodseku1"/>
          <w:rFonts w:ascii="Arial" w:eastAsia="TimesNewRomanPSMT" w:hAnsi="Arial" w:cs="Arial"/>
          <w:b/>
          <w:sz w:val="20"/>
          <w:szCs w:val="20"/>
        </w:rPr>
        <w:t>(t) Výnosy</w:t>
      </w:r>
    </w:p>
    <w:p w:rsidR="00620BAC" w:rsidRDefault="00620BAC">
      <w:pPr>
        <w:autoSpaceDE w:val="0"/>
        <w:jc w:val="both"/>
        <w:rPr>
          <w:rFonts w:ascii="Arial" w:eastAsia="TimesNewRomanPSMT" w:hAnsi="Arial" w:cs="Arial"/>
          <w:sz w:val="20"/>
          <w:szCs w:val="20"/>
        </w:rPr>
      </w:pPr>
      <w:r>
        <w:rPr>
          <w:rStyle w:val="Predvolenpsmoodseku1"/>
          <w:rFonts w:ascii="Arial" w:eastAsia="TimesNewRomanPSMT" w:hAnsi="Arial" w:cs="Arial"/>
          <w:sz w:val="20"/>
          <w:szCs w:val="20"/>
        </w:rPr>
        <w:t>Tržby za vlastné výkony a tovar neobsahujú daň z pridanej hodnoty. Sú tiež znížené o zľavy a zrážky (rabaty, bonusy,</w:t>
      </w:r>
      <w:r>
        <w:rPr>
          <w:rStyle w:val="Predvolenpsmoodseku1"/>
          <w:rFonts w:ascii="Arial" w:hAnsi="Arial" w:cs="Arial"/>
          <w:sz w:val="20"/>
          <w:szCs w:val="20"/>
        </w:rPr>
        <w:t xml:space="preserve"> </w:t>
      </w:r>
      <w:r>
        <w:rPr>
          <w:rStyle w:val="Predvolenpsmoodseku1"/>
          <w:rFonts w:ascii="Arial" w:eastAsia="TimesNewRomanPSMT" w:hAnsi="Arial" w:cs="Arial"/>
          <w:sz w:val="20"/>
          <w:szCs w:val="20"/>
        </w:rPr>
        <w:t>skontá, dobropisy a pod.), bez ohľadu na to, či zákazník mal vopred na zľavu nárok, alebo či ide o dodatočne uznanú</w:t>
      </w:r>
      <w:r>
        <w:rPr>
          <w:rStyle w:val="Predvolenpsmoodseku1"/>
          <w:rFonts w:ascii="Arial" w:hAnsi="Arial" w:cs="Arial"/>
          <w:sz w:val="20"/>
          <w:szCs w:val="20"/>
        </w:rPr>
        <w:t xml:space="preserve"> </w:t>
      </w:r>
      <w:r>
        <w:rPr>
          <w:rStyle w:val="Predvolenpsmoodseku1"/>
          <w:rFonts w:ascii="Arial" w:eastAsia="TimesNewRomanPSMT" w:hAnsi="Arial" w:cs="Arial"/>
          <w:sz w:val="20"/>
          <w:szCs w:val="20"/>
        </w:rPr>
        <w:t>zľavu.</w:t>
      </w:r>
    </w:p>
    <w:p w:rsidR="00620BAC" w:rsidRDefault="00620BAC">
      <w:pPr>
        <w:autoSpaceDE w:val="0"/>
        <w:jc w:val="both"/>
        <w:rPr>
          <w:rFonts w:ascii="Arial" w:eastAsia="TimesNewRomanPSMT" w:hAnsi="Arial" w:cs="Arial"/>
          <w:sz w:val="20"/>
          <w:szCs w:val="20"/>
        </w:rPr>
      </w:pPr>
    </w:p>
    <w:p w:rsidR="00620BAC" w:rsidRDefault="00620BAC">
      <w:pPr>
        <w:autoSpaceDE w:val="0"/>
        <w:jc w:val="both"/>
        <w:rPr>
          <w:rFonts w:ascii="Arial" w:eastAsia="TimesNewRomanPSMT" w:hAnsi="Arial" w:cs="Arial"/>
          <w:sz w:val="20"/>
          <w:szCs w:val="20"/>
        </w:rPr>
      </w:pPr>
    </w:p>
    <w:p w:rsidR="00620BAC" w:rsidRDefault="00620BAC">
      <w:pPr>
        <w:autoSpaceDE w:val="0"/>
        <w:jc w:val="center"/>
      </w:pPr>
      <w:r>
        <w:rPr>
          <w:rStyle w:val="Predvolenpsmoodseku1"/>
          <w:rFonts w:ascii="Arial" w:eastAsia="TimesNewRomanPSMT" w:hAnsi="Arial" w:cs="Arial"/>
          <w:b/>
        </w:rPr>
        <w:t>III. Informácie, ktoré vysvetľujú a dopĺňajú súvahu a výkaz ziskov a strát</w:t>
      </w:r>
    </w:p>
    <w:sectPr w:rsidR="00620BAC" w:rsidSect="00AD2300">
      <w:headerReference w:type="default" r:id="rId6"/>
      <w:footerReference w:type="default" r:id="rId7"/>
      <w:pgSz w:w="11906" w:h="16838"/>
      <w:pgMar w:top="1134" w:right="1134" w:bottom="1134" w:left="1134" w:header="708" w:footer="708" w:gutter="0"/>
      <w:cols w:space="708"/>
      <w:docGrid w:linePitch="600" w:charSpace="3276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44979" w:rsidRDefault="00344979">
      <w:pPr>
        <w:spacing w:line="240" w:lineRule="auto"/>
      </w:pPr>
      <w:r>
        <w:separator/>
      </w:r>
    </w:p>
  </w:endnote>
  <w:endnote w:type="continuationSeparator" w:id="1">
    <w:p w:rsidR="00344979" w:rsidRDefault="00344979">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TimesNewRomanPS-BoldMT">
    <w:altName w:val="Times New Roman"/>
    <w:charset w:val="EE"/>
    <w:family w:val="auto"/>
    <w:pitch w:val="default"/>
    <w:sig w:usb0="00000000" w:usb1="00000000" w:usb2="00000000" w:usb3="00000000" w:csb0="00000000" w:csb1="00000000"/>
  </w:font>
  <w:font w:name="TimesNewRomanPSMT">
    <w:charset w:val="EE"/>
    <w:family w:val="roman"/>
    <w:pitch w:val="default"/>
    <w:sig w:usb0="00000000" w:usb1="00000000" w:usb2="00000000" w:usb3="00000000" w:csb0="00000000" w:csb1="00000000"/>
  </w:font>
  <w:font w:name="TimesNewRomanPS-BoldItalicMT">
    <w:charset w:val="EE"/>
    <w:family w:val="script"/>
    <w:pitch w:val="default"/>
    <w:sig w:usb0="00000000" w:usb1="00000000" w:usb2="00000000" w:usb3="00000000" w:csb0="0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BAC" w:rsidRDefault="00B74CE1">
    <w:pPr>
      <w:pStyle w:val="Pta"/>
      <w:jc w:val="center"/>
    </w:pPr>
    <w:fldSimple w:instr=" PAGE ">
      <w:r w:rsidR="00272736">
        <w:rPr>
          <w:noProof/>
        </w:rPr>
        <w:t>2</w:t>
      </w:r>
    </w:fldSimple>
  </w:p>
  <w:p w:rsidR="00620BAC" w:rsidRDefault="00620BAC">
    <w:pPr>
      <w:pStyle w:val="Pt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44979" w:rsidRDefault="00344979">
      <w:pPr>
        <w:spacing w:line="240" w:lineRule="auto"/>
      </w:pPr>
      <w:r>
        <w:separator/>
      </w:r>
    </w:p>
  </w:footnote>
  <w:footnote w:type="continuationSeparator" w:id="1">
    <w:p w:rsidR="00344979" w:rsidRDefault="00344979">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08D" w:rsidRDefault="00620BAC">
    <w:pPr>
      <w:pStyle w:val="Hlavika"/>
      <w:rPr>
        <w:b/>
      </w:rPr>
    </w:pPr>
    <w:r>
      <w:rPr>
        <w:b/>
      </w:rPr>
      <w:t>Poznámky Úč MÚJ 3 -01                           IČO:</w:t>
    </w:r>
    <w:r w:rsidR="00272736">
      <w:rPr>
        <w:b/>
      </w:rPr>
      <w:t>47992841</w:t>
    </w:r>
    <w:r>
      <w:rPr>
        <w:b/>
      </w:rPr>
      <w:t xml:space="preserve">                 DIČ:</w:t>
    </w:r>
    <w:r w:rsidR="00272736">
      <w:rPr>
        <w:b/>
      </w:rPr>
      <w:t xml:space="preserve"> 2024183051</w:t>
    </w:r>
  </w:p>
  <w:p w:rsidR="00956931" w:rsidRDefault="00956931">
    <w:pPr>
      <w:pStyle w:val="Hlavika"/>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09"/>
  <w:hyphenationZone w:val="425"/>
  <w:defaultTableStyle w:val="Normlny"/>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0"/>
    <w:footnote w:id="1"/>
  </w:footnotePr>
  <w:endnotePr>
    <w:endnote w:id="0"/>
    <w:endnote w:id="1"/>
  </w:endnotePr>
  <w:compat>
    <w:spaceForUL/>
    <w:balanceSingleByteDoubleByteWidth/>
    <w:doNotLeaveBackslashAlone/>
    <w:ulTrailSpace/>
    <w:adjustLineHeightInTable/>
  </w:compat>
  <w:rsids>
    <w:rsidRoot w:val="00115145"/>
    <w:rsid w:val="000F54B8"/>
    <w:rsid w:val="001018AE"/>
    <w:rsid w:val="00103964"/>
    <w:rsid w:val="00112868"/>
    <w:rsid w:val="00115145"/>
    <w:rsid w:val="00134262"/>
    <w:rsid w:val="00157AFA"/>
    <w:rsid w:val="001C5828"/>
    <w:rsid w:val="001F149D"/>
    <w:rsid w:val="00272736"/>
    <w:rsid w:val="002D4422"/>
    <w:rsid w:val="00344979"/>
    <w:rsid w:val="00366878"/>
    <w:rsid w:val="00413A57"/>
    <w:rsid w:val="004B259C"/>
    <w:rsid w:val="00541BC9"/>
    <w:rsid w:val="005946E2"/>
    <w:rsid w:val="005971E9"/>
    <w:rsid w:val="00620BAC"/>
    <w:rsid w:val="00745A69"/>
    <w:rsid w:val="00774305"/>
    <w:rsid w:val="00862C7E"/>
    <w:rsid w:val="00864F25"/>
    <w:rsid w:val="008D4F88"/>
    <w:rsid w:val="009037CF"/>
    <w:rsid w:val="009251BC"/>
    <w:rsid w:val="009321D4"/>
    <w:rsid w:val="00956931"/>
    <w:rsid w:val="009C20BE"/>
    <w:rsid w:val="00A058AA"/>
    <w:rsid w:val="00A72F8D"/>
    <w:rsid w:val="00AD2300"/>
    <w:rsid w:val="00AD5FCA"/>
    <w:rsid w:val="00B74CE1"/>
    <w:rsid w:val="00BC713E"/>
    <w:rsid w:val="00BF6472"/>
    <w:rsid w:val="00C4208D"/>
    <w:rsid w:val="00C50531"/>
    <w:rsid w:val="00CA78F7"/>
    <w:rsid w:val="00D54209"/>
    <w:rsid w:val="00DC4F8D"/>
    <w:rsid w:val="00E21C29"/>
    <w:rsid w:val="00E82471"/>
    <w:rsid w:val="00F119A8"/>
    <w:rsid w:val="00F814AD"/>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k-SK" w:eastAsia="sk-S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AD2300"/>
    <w:pPr>
      <w:widowControl w:val="0"/>
      <w:suppressAutoHyphens/>
      <w:spacing w:line="100" w:lineRule="atLeast"/>
      <w:textAlignment w:val="baseline"/>
    </w:pPr>
    <w:rPr>
      <w:rFonts w:eastAsia="SimSun" w:cs="Mangal"/>
      <w:kern w:val="1"/>
      <w:sz w:val="24"/>
      <w:szCs w:val="24"/>
      <w:lang w:eastAsia="hi-IN" w:bidi="hi-IN"/>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Absatz-Standardschriftart">
    <w:name w:val="Absatz-Standardschriftart"/>
    <w:rsid w:val="00AD2300"/>
  </w:style>
  <w:style w:type="character" w:customStyle="1" w:styleId="WW-Absatz-Standardschriftart">
    <w:name w:val="WW-Absatz-Standardschriftart"/>
    <w:rsid w:val="00AD2300"/>
  </w:style>
  <w:style w:type="character" w:customStyle="1" w:styleId="Predvolenpsmoodseku1">
    <w:name w:val="Predvolené písmo odseku1"/>
    <w:rsid w:val="00AD2300"/>
  </w:style>
  <w:style w:type="character" w:customStyle="1" w:styleId="Symbolypreslovanie">
    <w:name w:val="Symboly pre číslovanie"/>
    <w:rsid w:val="00AD2300"/>
  </w:style>
  <w:style w:type="character" w:customStyle="1" w:styleId="HlavikaChar">
    <w:name w:val="Hlavička Char"/>
    <w:basedOn w:val="Predvolenpsmoodseku1"/>
    <w:rsid w:val="00AD2300"/>
    <w:rPr>
      <w:szCs w:val="21"/>
    </w:rPr>
  </w:style>
  <w:style w:type="character" w:customStyle="1" w:styleId="PtaChar">
    <w:name w:val="Päta Char"/>
    <w:basedOn w:val="Predvolenpsmoodseku1"/>
    <w:rsid w:val="00AD2300"/>
    <w:rPr>
      <w:szCs w:val="21"/>
    </w:rPr>
  </w:style>
  <w:style w:type="character" w:customStyle="1" w:styleId="TextbublinyChar">
    <w:name w:val="Text bubliny Char"/>
    <w:basedOn w:val="Predvolenpsmoodseku1"/>
    <w:rsid w:val="00AD2300"/>
    <w:rPr>
      <w:rFonts w:ascii="Tahoma" w:hAnsi="Tahoma" w:cs="Tahoma"/>
      <w:sz w:val="16"/>
      <w:szCs w:val="14"/>
    </w:rPr>
  </w:style>
  <w:style w:type="paragraph" w:customStyle="1" w:styleId="Nadpis">
    <w:name w:val="Nadpis"/>
    <w:basedOn w:val="Normlny"/>
    <w:next w:val="Zkladntext"/>
    <w:rsid w:val="00AD2300"/>
    <w:pPr>
      <w:keepNext/>
      <w:spacing w:before="240" w:after="120"/>
    </w:pPr>
    <w:rPr>
      <w:rFonts w:ascii="Arial" w:eastAsia="Lucida Sans Unicode" w:hAnsi="Arial"/>
      <w:sz w:val="28"/>
      <w:szCs w:val="28"/>
    </w:rPr>
  </w:style>
  <w:style w:type="paragraph" w:styleId="Zkladntext">
    <w:name w:val="Body Text"/>
    <w:basedOn w:val="Normlny"/>
    <w:rsid w:val="00AD2300"/>
    <w:pPr>
      <w:spacing w:after="120"/>
    </w:pPr>
  </w:style>
  <w:style w:type="paragraph" w:styleId="Zoznam">
    <w:name w:val="List"/>
    <w:basedOn w:val="Zkladntext"/>
    <w:rsid w:val="00AD2300"/>
  </w:style>
  <w:style w:type="paragraph" w:customStyle="1" w:styleId="Popisok">
    <w:name w:val="Popisok"/>
    <w:basedOn w:val="Normlny"/>
    <w:rsid w:val="00AD2300"/>
    <w:pPr>
      <w:suppressLineNumbers/>
      <w:spacing w:before="120" w:after="120"/>
    </w:pPr>
    <w:rPr>
      <w:i/>
      <w:iCs/>
    </w:rPr>
  </w:style>
  <w:style w:type="paragraph" w:customStyle="1" w:styleId="Index">
    <w:name w:val="Index"/>
    <w:basedOn w:val="Normlny"/>
    <w:rsid w:val="00AD2300"/>
    <w:pPr>
      <w:suppressLineNumbers/>
    </w:pPr>
  </w:style>
  <w:style w:type="paragraph" w:customStyle="1" w:styleId="Normlny1">
    <w:name w:val="Normálny1"/>
    <w:rsid w:val="00AD2300"/>
    <w:pPr>
      <w:widowControl w:val="0"/>
      <w:suppressAutoHyphens/>
      <w:spacing w:line="100" w:lineRule="atLeast"/>
      <w:textAlignment w:val="baseline"/>
    </w:pPr>
    <w:rPr>
      <w:rFonts w:eastAsia="SimSun" w:cs="Mangal"/>
      <w:kern w:val="1"/>
      <w:sz w:val="24"/>
      <w:szCs w:val="24"/>
      <w:lang w:eastAsia="hi-IN" w:bidi="hi-IN"/>
    </w:rPr>
  </w:style>
  <w:style w:type="paragraph" w:customStyle="1" w:styleId="Nzov1">
    <w:name w:val="Názov1"/>
    <w:basedOn w:val="Normlny"/>
    <w:next w:val="Zkladntext"/>
    <w:rsid w:val="00AD2300"/>
    <w:pPr>
      <w:keepNext/>
      <w:spacing w:before="240" w:after="120"/>
    </w:pPr>
    <w:rPr>
      <w:rFonts w:ascii="Arial" w:hAnsi="Arial" w:cs="Arial"/>
      <w:sz w:val="28"/>
      <w:szCs w:val="28"/>
    </w:rPr>
  </w:style>
  <w:style w:type="paragraph" w:customStyle="1" w:styleId="Popis1">
    <w:name w:val="Popis1"/>
    <w:basedOn w:val="Normlny"/>
    <w:rsid w:val="00AD2300"/>
    <w:pPr>
      <w:suppressLineNumbers/>
      <w:spacing w:before="120" w:after="120"/>
    </w:pPr>
    <w:rPr>
      <w:i/>
      <w:iCs/>
    </w:rPr>
  </w:style>
  <w:style w:type="paragraph" w:styleId="Hlavika">
    <w:name w:val="header"/>
    <w:basedOn w:val="Normlny1"/>
    <w:rsid w:val="00AD2300"/>
    <w:pPr>
      <w:tabs>
        <w:tab w:val="center" w:pos="4536"/>
        <w:tab w:val="right" w:pos="9072"/>
      </w:tabs>
    </w:pPr>
    <w:rPr>
      <w:szCs w:val="21"/>
    </w:rPr>
  </w:style>
  <w:style w:type="paragraph" w:styleId="Pta">
    <w:name w:val="footer"/>
    <w:basedOn w:val="Normlny1"/>
    <w:rsid w:val="00AD2300"/>
    <w:pPr>
      <w:tabs>
        <w:tab w:val="center" w:pos="4536"/>
        <w:tab w:val="right" w:pos="9072"/>
      </w:tabs>
    </w:pPr>
    <w:rPr>
      <w:szCs w:val="21"/>
    </w:rPr>
  </w:style>
  <w:style w:type="paragraph" w:styleId="Textbubliny">
    <w:name w:val="Balloon Text"/>
    <w:basedOn w:val="Normlny1"/>
    <w:rsid w:val="00AD2300"/>
    <w:rPr>
      <w:rFonts w:ascii="Tahoma" w:hAnsi="Tahoma" w:cs="Tahoma"/>
      <w:sz w:val="16"/>
      <w:szCs w:val="14"/>
    </w:rPr>
  </w:style>
  <w:style w:type="paragraph" w:customStyle="1" w:styleId="Obsahtabuky">
    <w:name w:val="Obsah tabuľky"/>
    <w:basedOn w:val="Normlny"/>
    <w:rsid w:val="00AD2300"/>
    <w:pPr>
      <w:suppressLineNumbers/>
    </w:pPr>
  </w:style>
  <w:style w:type="paragraph" w:customStyle="1" w:styleId="Nadpistabuky">
    <w:name w:val="Nadpis tabuľky"/>
    <w:basedOn w:val="Obsahtabuky"/>
    <w:rsid w:val="00AD2300"/>
    <w:pPr>
      <w:jc w:val="center"/>
    </w:pPr>
    <w:rPr>
      <w:b/>
      <w:b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1616</Words>
  <Characters>9213</Characters>
  <Application>Microsoft Office Word</Application>
  <DocSecurity>0</DocSecurity>
  <Lines>76</Lines>
  <Paragraphs>21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10808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14</cp:revision>
  <cp:lastPrinted>2017-03-27T15:43:00Z</cp:lastPrinted>
  <dcterms:created xsi:type="dcterms:W3CDTF">2021-03-27T11:19:00Z</dcterms:created>
  <dcterms:modified xsi:type="dcterms:W3CDTF">2021-06-14T09:08:00Z</dcterms:modified>
</cp:coreProperties>
</file>