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BAC" w:rsidRDefault="00620BAC">
      <w:pPr>
        <w:pageBreakBefore/>
        <w:jc w:val="center"/>
        <w:rPr>
          <w:rFonts w:ascii="Arial" w:eastAsia="TimesNewRomanPS-BoldMT" w:hAnsi="Arial" w:cs="Arial"/>
          <w:b/>
          <w:bCs/>
        </w:rPr>
      </w:pPr>
      <w:r>
        <w:rPr>
          <w:rFonts w:ascii="Arial" w:eastAsia="TimesNewRomanPS-BoldMT" w:hAnsi="Arial" w:cs="Arial"/>
          <w:b/>
          <w:bCs/>
        </w:rPr>
        <w:t>I. Všeobecné informácie</w:t>
      </w:r>
    </w:p>
    <w:p w:rsidR="00620BAC" w:rsidRDefault="00620BAC">
      <w:pPr>
        <w:jc w:val="center"/>
        <w:rPr>
          <w:rFonts w:ascii="Arial" w:eastAsia="TimesNewRomanPS-BoldMT" w:hAnsi="Arial" w:cs="Arial"/>
          <w:b/>
          <w:bCs/>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a) Údaje o konsolidovanom celku</w:t>
      </w:r>
    </w:p>
    <w:p w:rsidR="00620BAC" w:rsidRDefault="00620BAC">
      <w:pPr>
        <w:rPr>
          <w:rFonts w:ascii="Arial" w:eastAsia="TimesNewRomanPS-BoldMT" w:hAnsi="Arial" w:cs="Arial"/>
          <w:bCs/>
          <w:sz w:val="20"/>
          <w:szCs w:val="20"/>
        </w:rPr>
      </w:pPr>
      <w:r>
        <w:rPr>
          <w:rFonts w:ascii="Arial" w:eastAsia="TimesNewRomanPS-BoldMT" w:hAnsi="Arial" w:cs="Arial"/>
          <w:bCs/>
          <w:sz w:val="20"/>
          <w:szCs w:val="20"/>
        </w:rPr>
        <w:t>Spoločnosť nie j</w:t>
      </w:r>
      <w:r w:rsidR="00BC713E">
        <w:rPr>
          <w:rFonts w:ascii="Arial" w:eastAsia="TimesNewRomanPS-BoldMT" w:hAnsi="Arial" w:cs="Arial"/>
          <w:bCs/>
          <w:sz w:val="20"/>
          <w:szCs w:val="20"/>
        </w:rPr>
        <w:t>e súčasťou konsolidovaného celku</w:t>
      </w:r>
    </w:p>
    <w:p w:rsidR="00620BAC" w:rsidRDefault="00620BAC">
      <w:pPr>
        <w:rPr>
          <w:rFonts w:ascii="Arial" w:eastAsia="TimesNewRomanPS-BoldMT" w:hAnsi="Arial" w:cs="Arial"/>
          <w:bCs/>
          <w:sz w:val="20"/>
          <w:szCs w:val="20"/>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b) Priemerný prepočítaný počet zamestnancov</w:t>
      </w:r>
    </w:p>
    <w:p w:rsidR="00620BAC" w:rsidRDefault="00620BAC">
      <w:pPr>
        <w:rPr>
          <w:rFonts w:ascii="Arial" w:eastAsia="TimesNewRomanPS-BoldMT" w:hAnsi="Arial" w:cs="Arial"/>
          <w:b/>
          <w:bCs/>
        </w:rPr>
      </w:pPr>
      <w:r>
        <w:rPr>
          <w:rFonts w:ascii="Arial" w:eastAsia="TimesNewRomanPS-BoldMT" w:hAnsi="Arial" w:cs="Arial"/>
          <w:bCs/>
          <w:sz w:val="20"/>
          <w:szCs w:val="20"/>
        </w:rPr>
        <w:t xml:space="preserve">Priemerný prepočítaný počet zamestnancov je </w:t>
      </w:r>
      <w:r w:rsidR="007E3A77">
        <w:rPr>
          <w:rFonts w:ascii="Arial" w:eastAsia="TimesNewRomanPS-BoldMT" w:hAnsi="Arial" w:cs="Arial"/>
          <w:bCs/>
          <w:sz w:val="20"/>
          <w:szCs w:val="20"/>
        </w:rPr>
        <w:t>0</w:t>
      </w: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sz w:val="20"/>
          <w:szCs w:val="20"/>
        </w:rPr>
      </w:pPr>
      <w:r>
        <w:rPr>
          <w:rFonts w:ascii="Arial" w:eastAsia="TimesNewRomanPS-BoldMT" w:hAnsi="Arial" w:cs="Arial"/>
          <w:b/>
          <w:bCs/>
        </w:rPr>
        <w:t>II.  Informácie o prijatých postupoch</w:t>
      </w:r>
    </w:p>
    <w:p w:rsidR="00620BAC" w:rsidRDefault="00620BAC">
      <w:pPr>
        <w:jc w:val="both"/>
        <w:rPr>
          <w:rFonts w:ascii="Arial" w:eastAsia="TimesNewRomanPS-BoldMT" w:hAnsi="Arial" w:cs="Arial"/>
          <w:b/>
          <w:bCs/>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a) Východiská pre zostavenie účtovnej závierky</w:t>
      </w:r>
    </w:p>
    <w:p w:rsidR="00272736" w:rsidRDefault="00620BAC">
      <w:pPr>
        <w:jc w:val="both"/>
        <w:rPr>
          <w:rFonts w:ascii="Arial" w:hAnsi="Arial" w:cs="Arial"/>
          <w:sz w:val="20"/>
          <w:szCs w:val="20"/>
        </w:rPr>
      </w:pPr>
      <w:r>
        <w:rPr>
          <w:rFonts w:ascii="Arial" w:hAnsi="Arial" w:cs="Arial"/>
          <w:sz w:val="20"/>
          <w:szCs w:val="20"/>
        </w:rPr>
        <w:t>Účtovná závierka bola zostavená za predpokladu, že spoločnosť bude nepretržite pokračovať vo svojej činnosti.</w:t>
      </w:r>
    </w:p>
    <w:p w:rsidR="00272736" w:rsidRDefault="00272736">
      <w:pPr>
        <w:jc w:val="both"/>
        <w:rPr>
          <w:rFonts w:ascii="Arial" w:hAnsi="Arial" w:cs="Arial"/>
          <w:sz w:val="20"/>
          <w:szCs w:val="20"/>
        </w:rPr>
      </w:pPr>
      <w:r>
        <w:rPr>
          <w:rFonts w:ascii="Arial" w:hAnsi="Arial" w:cs="Arial"/>
          <w:i/>
          <w:iCs/>
          <w:color w:val="222222"/>
          <w:sz w:val="20"/>
          <w:szCs w:val="20"/>
          <w:shd w:val="clear" w:color="auto" w:fill="FFFFFF"/>
        </w:rPr>
        <w:t>Na konci roku 2019 sa objavil Corona vírus, ktorý zapríčinil od prvých mesiacov roku 2020 pandémiu COVID-19 a negatívne ovplyvnil mnoho krajín. Aj keď sa v čase zverejnenia tejto účtovnej závierky situácia neustále mení, zdá sa, že negatívny vplyv na svetový obchod, na firmy aj na jednotlivcov môže byť vážnejší, ako sa pôvodne očakávalo. Pretože sa situácia stále vyvíja, vedenie účtovnej jednotky si nemyslí, že je možné poskytnúť kvantitatívne odhady potenciálneho vplyvu súčasnej situácie na účtovnú jednotku. Manažment neustále monitoruje potenciálny dopad situácie na spoločnosť. Všetky negatívne vplyvy resp. straty vzniknuté v roku 2020 zahrnula účtovná jednotka do účtovníctva a účtovnej závierky v roku 2020, vplyvy ktoré sa prejavia v roku 2021 budú zahrnuté do účtovníctva a účtovnej závierky v roku 2021. Aktuálne nie je možné bližšie kvantifikovať do akej miery môže táto situácia negatívne ovplyvniť budúci chod spoločnosti, vedenie účtovnej jednotky sa však domnieva, že nebude ohrozený predpoklad nepretržitého trvania účtovnej jednotky v nasledujúcom účtovnom období.</w:t>
      </w:r>
    </w:p>
    <w:p w:rsidR="00272736" w:rsidRDefault="00272736">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Účtovné metódy a všeobecné účtovné zásady boli účtovnou jednotkou konzistentne aplikované.</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(b) Dlhodobý nehmotný majetok a dlhodobý hmotný majetok</w:t>
      </w:r>
    </w:p>
    <w:p w:rsidR="00620BAC" w:rsidRDefault="00620BAC">
      <w:pPr>
        <w:jc w:val="both"/>
        <w:rPr>
          <w:rFonts w:ascii="Arial" w:hAnsi="Arial" w:cs="Arial"/>
          <w:sz w:val="20"/>
          <w:szCs w:val="20"/>
        </w:rPr>
      </w:pPr>
      <w:r>
        <w:rPr>
          <w:rFonts w:ascii="Arial" w:hAnsi="Arial" w:cs="Arial"/>
          <w:sz w:val="20"/>
          <w:szCs w:val="20"/>
        </w:rPr>
        <w:t>Dlhodobý majetok nakupovaný sa oceňuje obstarávacou cenou, ktorá zahŕňa cenu obstarania a náklady súvisiace s obstaraním (clo, prepravu, montáž, poistné a pod.)</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1700 EUR a nižšia, sa odpisuje jednorazovo pri uvedení do používania.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2943"/>
        <w:gridCol w:w="2552"/>
        <w:gridCol w:w="2126"/>
        <w:gridCol w:w="2827"/>
      </w:tblGrid>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Softvér</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Oceniteľné práva /licencia/</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8</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nehmotný majetok</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3227"/>
        <w:gridCol w:w="2268"/>
        <w:gridCol w:w="2126"/>
        <w:gridCol w:w="2827"/>
      </w:tblGrid>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Stavby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20/40</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rPr>
                <w:rFonts w:ascii="Arial" w:hAnsi="Arial" w:cs="Arial"/>
                <w:sz w:val="20"/>
                <w:szCs w:val="20"/>
              </w:rPr>
            </w:pPr>
            <w:r>
              <w:rPr>
                <w:rFonts w:ascii="Arial" w:hAnsi="Arial" w:cs="Arial"/>
                <w:sz w:val="20"/>
                <w:szCs w:val="20"/>
              </w:rPr>
              <w:t>Jednotlivé oddeliteľné súčasti zabudované v stavbách určené na samostatné odpisovanie</w:t>
            </w:r>
          </w:p>
        </w:tc>
        <w:tc>
          <w:tcPr>
            <w:tcW w:w="2268"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12</w:t>
            </w:r>
          </w:p>
        </w:tc>
        <w:tc>
          <w:tcPr>
            <w:tcW w:w="2126"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0BAC" w:rsidRDefault="00620BAC">
            <w:pPr>
              <w:snapToGrid w:val="0"/>
              <w:jc w:val="center"/>
            </w:pPr>
            <w:r>
              <w:rPr>
                <w:rFonts w:ascii="Arial" w:hAnsi="Arial" w:cs="Arial"/>
                <w:sz w:val="20"/>
                <w:szCs w:val="20"/>
              </w:rPr>
              <w:t>8,33</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Stroje, prístroje a zariadenia</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4-6</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16,67-25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lastRenderedPageBreak/>
              <w:t>Dopravné prostriedky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hmotný majetok</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eastAsia="TimesNewRomanPSMT" w:hAnsi="Arial" w:cs="Arial"/>
          <w:sz w:val="20"/>
          <w:szCs w:val="20"/>
        </w:rPr>
      </w:pPr>
      <w:r>
        <w:rPr>
          <w:rFonts w:ascii="Arial" w:eastAsia="TimesNewRomanPS-BoldMT" w:hAnsi="Arial" w:cs="Arial"/>
          <w:b/>
          <w:bCs/>
          <w:sz w:val="20"/>
          <w:szCs w:val="20"/>
        </w:rPr>
        <w:t>(c) Cenné papiere a podiely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Cenné papiere a podiely (okrem cenných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(d) Zásoby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Zásoby sa oceňujú obstarávacou cenou (nakupované zásoby) alebo vlastnými nákladmi (zásoby vytvorené vlastnou činnosťou). Obstarávacia cena zahŕňa cenu zásob a náklady súvisiace s obstaraním (clo, prepravu, poistné, provízie, skonto a pod.). Úroky z cudzích zdrojov nie sú súčasťou obstarávacej ceny. Nakupované zásoby sa oceňujú váženým aritmetickým priemerom 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Čistá realizačná hodnota je predpokladaná predajná cena znížená o predpokladané náklady na ich dokončenie a o predpokladané náklady súvisiace s ich predajom. Zníženie hodnoty zásob sa zohľadňuje vytvorením opravnej položky.</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(e) Zákazková výroba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Zákazková výroba sa vykazuje použitím metódy stupňa dokončenia zákazky.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BoldItalicMT" w:hAnsi="Arial" w:cs="Arial"/>
          <w:b/>
          <w:bCs/>
          <w:i/>
          <w:iCs/>
          <w:sz w:val="20"/>
          <w:szCs w:val="20"/>
        </w:rPr>
      </w:pPr>
      <w:r>
        <w:rPr>
          <w:rFonts w:ascii="Arial" w:eastAsia="TimesNewRomanPS-BoldMT" w:hAnsi="Arial" w:cs="Arial"/>
          <w:b/>
          <w:bCs/>
          <w:sz w:val="20"/>
          <w:szCs w:val="20"/>
        </w:rPr>
        <w:t>(f) Zákazková výstavba nehnuteľnosti</w:t>
      </w:r>
    </w:p>
    <w:p w:rsidR="00620BAC" w:rsidRDefault="00620BAC">
      <w:pPr>
        <w:autoSpaceDE w:val="0"/>
        <w:jc w:val="both"/>
        <w:rPr>
          <w:rFonts w:ascii="Arial" w:eastAsia="TimesNewRomanPSMT" w:hAnsi="Arial" w:cs="Arial"/>
          <w:sz w:val="20"/>
          <w:szCs w:val="20"/>
        </w:rPr>
      </w:pPr>
      <w:r>
        <w:rPr>
          <w:rFonts w:ascii="Arial" w:eastAsia="TimesNewRomanPS-BoldItalicMT" w:hAnsi="Arial" w:cs="Arial"/>
          <w:b/>
          <w:bCs/>
          <w:i/>
          <w:iCs/>
          <w:sz w:val="20"/>
          <w:szCs w:val="20"/>
        </w:rPr>
        <w:t>Zákazková výstavba nehnuteľnosti – priebežný transfer</w:t>
      </w:r>
    </w:p>
    <w:p w:rsidR="00620BAC" w:rsidRDefault="00620BAC">
      <w:pPr>
        <w:autoSpaceDE w:val="0"/>
        <w:jc w:val="both"/>
        <w:rPr>
          <w:rStyle w:val="Predvolenpsmoodseku1"/>
          <w:rFonts w:ascii="Arial" w:eastAsia="TimesNewRomanPS-BoldItalicMT" w:hAnsi="Arial" w:cs="Arial"/>
          <w:b/>
          <w:bCs/>
          <w:i/>
          <w:iCs/>
          <w:sz w:val="20"/>
          <w:szCs w:val="20"/>
        </w:rPr>
      </w:pPr>
      <w:r>
        <w:rPr>
          <w:rFonts w:ascii="Arial" w:eastAsia="TimesNewRomanPSMT" w:hAnsi="Arial" w:cs="Arial"/>
          <w:sz w:val="20"/>
          <w:szCs w:val="20"/>
        </w:rPr>
        <w:t>Zákazková výstavba nehnuteľnosti určenej na predaj sa vykazuje podľa metódy stupňa dokončenia.</w:t>
      </w: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BoldItalicMT" w:hAnsi="Arial" w:cs="Arial"/>
          <w:b/>
          <w:bCs/>
          <w:i/>
          <w:iCs/>
          <w:sz w:val="20"/>
          <w:szCs w:val="20"/>
        </w:rPr>
        <w:t>Zákazková výstavba nehnuteľnosti – ostatn</w:t>
      </w:r>
      <w:r>
        <w:rPr>
          <w:rStyle w:val="Predvolenpsmoodseku1"/>
          <w:rFonts w:ascii="Arial" w:eastAsia="TimesNewRomanPSMT" w:hAnsi="Arial" w:cs="Arial"/>
          <w:sz w:val="20"/>
          <w:szCs w:val="20"/>
        </w:rPr>
        <w:t xml:space="preserve">á </w:t>
      </w:r>
      <w:r>
        <w:rPr>
          <w:rStyle w:val="Predvolenpsmoodseku1"/>
          <w:rFonts w:ascii="Arial" w:eastAsia="TimesNewRomanPS-BoldItalicMT" w:hAnsi="Arial" w:cs="Arial"/>
          <w:b/>
          <w:bCs/>
          <w:i/>
          <w:iCs/>
          <w:sz w:val="20"/>
          <w:szCs w:val="20"/>
        </w:rPr>
        <w:t>(nie priebežný transfer)</w:t>
      </w:r>
    </w:p>
    <w:p w:rsidR="00620BAC" w:rsidRDefault="00620BAC">
      <w:pPr>
        <w:autoSpaceDE w:val="0"/>
        <w:jc w:val="both"/>
        <w:rPr>
          <w:rFonts w:ascii="Arial" w:hAnsi="Arial" w:cs="Arial"/>
          <w:b/>
          <w:sz w:val="20"/>
          <w:szCs w:val="20"/>
        </w:rPr>
      </w:pPr>
      <w:r>
        <w:rPr>
          <w:rStyle w:val="Predvolenpsmoodseku1"/>
          <w:rFonts w:ascii="Arial" w:eastAsia="TimesNewRomanPSMT" w:hAnsi="Arial" w:cs="Arial"/>
          <w:sz w:val="20"/>
          <w:szCs w:val="20"/>
        </w:rPr>
        <w:t>Zákazková výstavba nehnuteľnosti určenej na predaj – ostatná (nie priebežný transfer) sa vykazuje metódou tzv. Nulového zisku, t. j. zisk sa vykáže až pri predaji nehnuteľnosti.</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(g) Pohľadávky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(h) Peňažné prostriedky a ceniny</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Peňažné prostriedky a ceniny sa oceňujú ich menovitou hodnotou. Zníženie ich hodnoty sa vyjadruje opravnou položkou.</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(i) Náklady budúcich období a príjmy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Náklady budúcich období a príjmy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(j) Rezervy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Rezervy sú záväzky s neurčitým časovým vymedzením alebo výškou; tvoria sa na krytie známych rizík alebo strát z podnikania. Oceňujú sa v očakávanej výške záväzku.</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(k) Záväzky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(l) Odložené dane</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Odložené dane (odložená daňová pohľadávka a odložený daňový záväzok) sa vzťahujú na:</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a) dočasné rozdiely medzi účtovnou hodnotou majetku a účtovnou hodnotou záväzkov vykázanou v súvahe a ich daňovou základňou,</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b) možnosť umorovať daňovú stratu v budúcnosti, ktorou sa rozumie možnosť odpočítať daňovú stratu od základu dane v budúcnosti,</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c) možnosť previesť nevyužité daňové odpočty a iné daňové nároky do budúcich období.</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lastRenderedPageBreak/>
        <w:t>(m) Výdavky budúcich období a výnosy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Výdavky budúcich období a výnosy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autoSpaceDE w:val="0"/>
        <w:jc w:val="both"/>
        <w:rPr>
          <w:rFonts w:ascii="Arial" w:eastAsia="TimesNewRomanPSMT" w:hAnsi="Arial" w:cs="Arial"/>
          <w:sz w:val="20"/>
          <w:szCs w:val="20"/>
        </w:rPr>
      </w:pPr>
      <w:r>
        <w:rPr>
          <w:rFonts w:ascii="Arial" w:hAnsi="Arial" w:cs="Arial"/>
          <w:b/>
          <w:sz w:val="20"/>
          <w:szCs w:val="20"/>
        </w:rPr>
        <w:t>(p) Prenájom (lízing)</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prenajatý na základe operatívneho prenájmu vykazuje ako svoj majetok jeho vlastník, nie nájomca.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(q) Deriváty</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 Zmeny reálnych hodnôt derivátov určených na obchodovanie na neverejnom trhu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(r) Majetok a záväzky zabezpečené derivátmi</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zabezpečené derivátmi sa oceňujú reálnou hodnotou. Zmeny reálnych hodnôt majetku a záväzkov zabezpečených derivátmi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(s) Cudzia mena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(t) Výnosy</w:t>
      </w:r>
    </w:p>
    <w:p w:rsidR="00620BAC" w:rsidRDefault="00620BAC">
      <w:pPr>
        <w:autoSpaceDE w:val="0"/>
        <w:jc w:val="both"/>
        <w:rPr>
          <w:rFonts w:ascii="Arial" w:eastAsia="TimesNewRomanPSMT" w:hAnsi="Arial" w:cs="Arial"/>
          <w:sz w:val="20"/>
          <w:szCs w:val="20"/>
        </w:rPr>
      </w:pPr>
      <w:r>
        <w:rPr>
          <w:rStyle w:val="Predvolenpsmoodseku1"/>
          <w:rFonts w:ascii="Arial" w:eastAsia="TimesNewRomanPSMT" w:hAnsi="Arial" w:cs="Arial"/>
          <w:sz w:val="20"/>
          <w:szCs w:val="20"/>
        </w:rPr>
        <w:t>Tržby za vlastné výkony a tovar neobsahujú daň z pridanej hodnoty. Sú tiež znížené o zľavy a zrážky (rabaty, bonusy,</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skontá, dobropisy a pod.), bez ohľadu na to, či zákazník mal vopred na zľavu nárok, alebo či ide o dodatočne uznanú</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zľavu.</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p>
    <w:p w:rsidR="00620BAC" w:rsidRDefault="00620BAC">
      <w:pPr>
        <w:autoSpaceDE w:val="0"/>
        <w:jc w:val="center"/>
      </w:pPr>
      <w:r>
        <w:rPr>
          <w:rStyle w:val="Predvolenpsmoodseku1"/>
          <w:rFonts w:ascii="Arial" w:eastAsia="TimesNewRomanPSMT" w:hAnsi="Arial" w:cs="Arial"/>
          <w:b/>
        </w:rPr>
        <w:t>III. Informácie, ktoré vysvetľujú a dopĺňajú súvahu a výkaz ziskov a strát</w:t>
      </w:r>
    </w:p>
    <w:sectPr w:rsidR="00620BAC" w:rsidSect="00AD2300">
      <w:headerReference w:type="default" r:id="rId6"/>
      <w:footerReference w:type="default" r:id="rId7"/>
      <w:pgSz w:w="11906" w:h="16838"/>
      <w:pgMar w:top="1134" w:right="1134" w:bottom="1134" w:left="1134"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4979" w:rsidRDefault="00344979">
      <w:pPr>
        <w:spacing w:line="240" w:lineRule="auto"/>
      </w:pPr>
      <w:r>
        <w:separator/>
      </w:r>
    </w:p>
  </w:endnote>
  <w:endnote w:type="continuationSeparator" w:id="1">
    <w:p w:rsidR="00344979" w:rsidRDefault="0034497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PS-BoldMT">
    <w:altName w:val="Times New Roman"/>
    <w:charset w:val="EE"/>
    <w:family w:val="auto"/>
    <w:pitch w:val="default"/>
    <w:sig w:usb0="00000000" w:usb1="00000000" w:usb2="00000000" w:usb3="00000000" w:csb0="00000000" w:csb1="00000000"/>
  </w:font>
  <w:font w:name="TimesNewRomanPSMT">
    <w:charset w:val="EE"/>
    <w:family w:val="roman"/>
    <w:pitch w:val="default"/>
    <w:sig w:usb0="00000000" w:usb1="00000000" w:usb2="00000000" w:usb3="00000000" w:csb0="00000000" w:csb1="00000000"/>
  </w:font>
  <w:font w:name="TimesNewRomanPS-BoldItalicMT">
    <w:charset w:val="EE"/>
    <w:family w:val="script"/>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BAC" w:rsidRDefault="008126E8">
    <w:pPr>
      <w:pStyle w:val="Pta"/>
      <w:jc w:val="center"/>
    </w:pPr>
    <w:fldSimple w:instr=" PAGE ">
      <w:r w:rsidR="007E3A77">
        <w:rPr>
          <w:noProof/>
        </w:rPr>
        <w:t>1</w:t>
      </w:r>
    </w:fldSimple>
  </w:p>
  <w:p w:rsidR="00620BAC" w:rsidRDefault="00620BAC">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4979" w:rsidRDefault="00344979">
      <w:pPr>
        <w:spacing w:line="240" w:lineRule="auto"/>
      </w:pPr>
      <w:r>
        <w:separator/>
      </w:r>
    </w:p>
  </w:footnote>
  <w:footnote w:type="continuationSeparator" w:id="1">
    <w:p w:rsidR="00344979" w:rsidRDefault="00344979">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208D" w:rsidRDefault="00620BAC">
    <w:pPr>
      <w:pStyle w:val="Hlavika"/>
      <w:rPr>
        <w:b/>
      </w:rPr>
    </w:pPr>
    <w:r>
      <w:rPr>
        <w:b/>
      </w:rPr>
      <w:t>Poznámky Úč MÚJ 3 -01                           IČO:</w:t>
    </w:r>
    <w:r w:rsidR="007E3A77">
      <w:rPr>
        <w:b/>
      </w:rPr>
      <w:t>52262847</w:t>
    </w:r>
    <w:r>
      <w:rPr>
        <w:b/>
      </w:rPr>
      <w:t xml:space="preserve">                 DIČ:</w:t>
    </w:r>
    <w:r w:rsidR="007E3A77">
      <w:rPr>
        <w:b/>
      </w:rPr>
      <w:t xml:space="preserve"> 2120951151</w:t>
    </w:r>
  </w:p>
  <w:p w:rsidR="00956931" w:rsidRDefault="00956931">
    <w:pPr>
      <w:pStyle w:val="Hlavika"/>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9"/>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0"/>
    <w:footnote w:id="1"/>
  </w:footnotePr>
  <w:endnotePr>
    <w:endnote w:id="0"/>
    <w:endnote w:id="1"/>
  </w:endnotePr>
  <w:compat>
    <w:spaceForUL/>
    <w:balanceSingleByteDoubleByteWidth/>
    <w:doNotLeaveBackslashAlone/>
    <w:ulTrailSpace/>
    <w:adjustLineHeightInTable/>
  </w:compat>
  <w:rsids>
    <w:rsidRoot w:val="00115145"/>
    <w:rsid w:val="000F54B8"/>
    <w:rsid w:val="001018AE"/>
    <w:rsid w:val="00103964"/>
    <w:rsid w:val="00112868"/>
    <w:rsid w:val="00115145"/>
    <w:rsid w:val="00134262"/>
    <w:rsid w:val="00157AFA"/>
    <w:rsid w:val="001C5828"/>
    <w:rsid w:val="001F149D"/>
    <w:rsid w:val="00272736"/>
    <w:rsid w:val="002D4422"/>
    <w:rsid w:val="00344979"/>
    <w:rsid w:val="00366878"/>
    <w:rsid w:val="00413A57"/>
    <w:rsid w:val="004B259C"/>
    <w:rsid w:val="00541BC9"/>
    <w:rsid w:val="005946E2"/>
    <w:rsid w:val="005971E9"/>
    <w:rsid w:val="00620BAC"/>
    <w:rsid w:val="00745A69"/>
    <w:rsid w:val="00774305"/>
    <w:rsid w:val="007E3A77"/>
    <w:rsid w:val="008126E8"/>
    <w:rsid w:val="00862C7E"/>
    <w:rsid w:val="00864F25"/>
    <w:rsid w:val="008D4F88"/>
    <w:rsid w:val="009037CF"/>
    <w:rsid w:val="009251BC"/>
    <w:rsid w:val="009321D4"/>
    <w:rsid w:val="00956931"/>
    <w:rsid w:val="009C20BE"/>
    <w:rsid w:val="00A058AA"/>
    <w:rsid w:val="00A72F8D"/>
    <w:rsid w:val="00AD2300"/>
    <w:rsid w:val="00AD5FCA"/>
    <w:rsid w:val="00B74CE1"/>
    <w:rsid w:val="00BC713E"/>
    <w:rsid w:val="00BF6472"/>
    <w:rsid w:val="00C4208D"/>
    <w:rsid w:val="00C50531"/>
    <w:rsid w:val="00CA78F7"/>
    <w:rsid w:val="00D54209"/>
    <w:rsid w:val="00DC4F8D"/>
    <w:rsid w:val="00E21C29"/>
    <w:rsid w:val="00E82471"/>
    <w:rsid w:val="00F119A8"/>
    <w:rsid w:val="00F814A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D2300"/>
    <w:pPr>
      <w:widowControl w:val="0"/>
      <w:suppressAutoHyphens/>
      <w:spacing w:line="100" w:lineRule="atLeast"/>
      <w:textAlignment w:val="baseline"/>
    </w:pPr>
    <w:rPr>
      <w:rFonts w:eastAsia="SimSun" w:cs="Mangal"/>
      <w:kern w:val="1"/>
      <w:sz w:val="24"/>
      <w:szCs w:val="24"/>
      <w:lang w:eastAsia="hi-I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Absatz-Standardschriftart">
    <w:name w:val="Absatz-Standardschriftart"/>
    <w:rsid w:val="00AD2300"/>
  </w:style>
  <w:style w:type="character" w:customStyle="1" w:styleId="WW-Absatz-Standardschriftart">
    <w:name w:val="WW-Absatz-Standardschriftart"/>
    <w:rsid w:val="00AD2300"/>
  </w:style>
  <w:style w:type="character" w:customStyle="1" w:styleId="Predvolenpsmoodseku1">
    <w:name w:val="Predvolené písmo odseku1"/>
    <w:rsid w:val="00AD2300"/>
  </w:style>
  <w:style w:type="character" w:customStyle="1" w:styleId="Symbolypreslovanie">
    <w:name w:val="Symboly pre číslovanie"/>
    <w:rsid w:val="00AD2300"/>
  </w:style>
  <w:style w:type="character" w:customStyle="1" w:styleId="HlavikaChar">
    <w:name w:val="Hlavička Char"/>
    <w:basedOn w:val="Predvolenpsmoodseku1"/>
    <w:rsid w:val="00AD2300"/>
    <w:rPr>
      <w:szCs w:val="21"/>
    </w:rPr>
  </w:style>
  <w:style w:type="character" w:customStyle="1" w:styleId="PtaChar">
    <w:name w:val="Päta Char"/>
    <w:basedOn w:val="Predvolenpsmoodseku1"/>
    <w:rsid w:val="00AD2300"/>
    <w:rPr>
      <w:szCs w:val="21"/>
    </w:rPr>
  </w:style>
  <w:style w:type="character" w:customStyle="1" w:styleId="TextbublinyChar">
    <w:name w:val="Text bubliny Char"/>
    <w:basedOn w:val="Predvolenpsmoodseku1"/>
    <w:rsid w:val="00AD2300"/>
    <w:rPr>
      <w:rFonts w:ascii="Tahoma" w:hAnsi="Tahoma" w:cs="Tahoma"/>
      <w:sz w:val="16"/>
      <w:szCs w:val="14"/>
    </w:rPr>
  </w:style>
  <w:style w:type="paragraph" w:customStyle="1" w:styleId="Nadpis">
    <w:name w:val="Nadpis"/>
    <w:basedOn w:val="Normlny"/>
    <w:next w:val="Zkladntext"/>
    <w:rsid w:val="00AD2300"/>
    <w:pPr>
      <w:keepNext/>
      <w:spacing w:before="240" w:after="120"/>
    </w:pPr>
    <w:rPr>
      <w:rFonts w:ascii="Arial" w:eastAsia="Lucida Sans Unicode" w:hAnsi="Arial"/>
      <w:sz w:val="28"/>
      <w:szCs w:val="28"/>
    </w:rPr>
  </w:style>
  <w:style w:type="paragraph" w:styleId="Zkladntext">
    <w:name w:val="Body Text"/>
    <w:basedOn w:val="Normlny"/>
    <w:rsid w:val="00AD2300"/>
    <w:pPr>
      <w:spacing w:after="120"/>
    </w:pPr>
  </w:style>
  <w:style w:type="paragraph" w:styleId="Zoznam">
    <w:name w:val="List"/>
    <w:basedOn w:val="Zkladntext"/>
    <w:rsid w:val="00AD2300"/>
  </w:style>
  <w:style w:type="paragraph" w:customStyle="1" w:styleId="Popisok">
    <w:name w:val="Popisok"/>
    <w:basedOn w:val="Normlny"/>
    <w:rsid w:val="00AD2300"/>
    <w:pPr>
      <w:suppressLineNumbers/>
      <w:spacing w:before="120" w:after="120"/>
    </w:pPr>
    <w:rPr>
      <w:i/>
      <w:iCs/>
    </w:rPr>
  </w:style>
  <w:style w:type="paragraph" w:customStyle="1" w:styleId="Index">
    <w:name w:val="Index"/>
    <w:basedOn w:val="Normlny"/>
    <w:rsid w:val="00AD2300"/>
    <w:pPr>
      <w:suppressLineNumbers/>
    </w:pPr>
  </w:style>
  <w:style w:type="paragraph" w:customStyle="1" w:styleId="Normlny1">
    <w:name w:val="Normálny1"/>
    <w:rsid w:val="00AD2300"/>
    <w:pPr>
      <w:widowControl w:val="0"/>
      <w:suppressAutoHyphens/>
      <w:spacing w:line="100" w:lineRule="atLeast"/>
      <w:textAlignment w:val="baseline"/>
    </w:pPr>
    <w:rPr>
      <w:rFonts w:eastAsia="SimSun" w:cs="Mangal"/>
      <w:kern w:val="1"/>
      <w:sz w:val="24"/>
      <w:szCs w:val="24"/>
      <w:lang w:eastAsia="hi-IN" w:bidi="hi-IN"/>
    </w:rPr>
  </w:style>
  <w:style w:type="paragraph" w:customStyle="1" w:styleId="Nzov1">
    <w:name w:val="Názov1"/>
    <w:basedOn w:val="Normlny"/>
    <w:next w:val="Zkladntext"/>
    <w:rsid w:val="00AD2300"/>
    <w:pPr>
      <w:keepNext/>
      <w:spacing w:before="240" w:after="120"/>
    </w:pPr>
    <w:rPr>
      <w:rFonts w:ascii="Arial" w:hAnsi="Arial" w:cs="Arial"/>
      <w:sz w:val="28"/>
      <w:szCs w:val="28"/>
    </w:rPr>
  </w:style>
  <w:style w:type="paragraph" w:customStyle="1" w:styleId="Popis1">
    <w:name w:val="Popis1"/>
    <w:basedOn w:val="Normlny"/>
    <w:rsid w:val="00AD2300"/>
    <w:pPr>
      <w:suppressLineNumbers/>
      <w:spacing w:before="120" w:after="120"/>
    </w:pPr>
    <w:rPr>
      <w:i/>
      <w:iCs/>
    </w:rPr>
  </w:style>
  <w:style w:type="paragraph" w:styleId="Hlavika">
    <w:name w:val="header"/>
    <w:basedOn w:val="Normlny1"/>
    <w:rsid w:val="00AD2300"/>
    <w:pPr>
      <w:tabs>
        <w:tab w:val="center" w:pos="4536"/>
        <w:tab w:val="right" w:pos="9072"/>
      </w:tabs>
    </w:pPr>
    <w:rPr>
      <w:szCs w:val="21"/>
    </w:rPr>
  </w:style>
  <w:style w:type="paragraph" w:styleId="Pta">
    <w:name w:val="footer"/>
    <w:basedOn w:val="Normlny1"/>
    <w:rsid w:val="00AD2300"/>
    <w:pPr>
      <w:tabs>
        <w:tab w:val="center" w:pos="4536"/>
        <w:tab w:val="right" w:pos="9072"/>
      </w:tabs>
    </w:pPr>
    <w:rPr>
      <w:szCs w:val="21"/>
    </w:rPr>
  </w:style>
  <w:style w:type="paragraph" w:styleId="Textbubliny">
    <w:name w:val="Balloon Text"/>
    <w:basedOn w:val="Normlny1"/>
    <w:rsid w:val="00AD2300"/>
    <w:rPr>
      <w:rFonts w:ascii="Tahoma" w:hAnsi="Tahoma" w:cs="Tahoma"/>
      <w:sz w:val="16"/>
      <w:szCs w:val="14"/>
    </w:rPr>
  </w:style>
  <w:style w:type="paragraph" w:customStyle="1" w:styleId="Obsahtabuky">
    <w:name w:val="Obsah tabuľky"/>
    <w:basedOn w:val="Normlny"/>
    <w:rsid w:val="00AD2300"/>
    <w:pPr>
      <w:suppressLineNumbers/>
    </w:pPr>
  </w:style>
  <w:style w:type="paragraph" w:customStyle="1" w:styleId="Nadpistabuky">
    <w:name w:val="Nadpis tabuľky"/>
    <w:basedOn w:val="Obsahtabuky"/>
    <w:rsid w:val="00AD2300"/>
    <w:pPr>
      <w:jc w:val="center"/>
    </w:pPr>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3</Pages>
  <Words>1615</Words>
  <Characters>9212</Characters>
  <Application>Microsoft Office Word</Application>
  <DocSecurity>0</DocSecurity>
  <Lines>76</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10806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15</cp:revision>
  <cp:lastPrinted>2017-03-27T15:43:00Z</cp:lastPrinted>
  <dcterms:created xsi:type="dcterms:W3CDTF">2021-03-27T11:19:00Z</dcterms:created>
  <dcterms:modified xsi:type="dcterms:W3CDTF">2021-06-14T10:05:00Z</dcterms:modified>
</cp:coreProperties>
</file>